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C7002">
      <w:pPr>
        <w:jc w:val="left"/>
        <w:rPr>
          <w:rFonts w:ascii="宋体" w:hAnsi="宋体"/>
          <w:sz w:val="28"/>
          <w:szCs w:val="28"/>
        </w:rPr>
      </w:pPr>
      <w:r>
        <w:rPr>
          <w:rFonts w:hint="eastAsia" w:ascii="宋体" w:hAnsi="宋体"/>
          <w:sz w:val="28"/>
          <w:szCs w:val="28"/>
        </w:rPr>
        <w:t>附件</w:t>
      </w:r>
      <w:r>
        <w:rPr>
          <w:rFonts w:ascii="宋体" w:hAnsi="宋体"/>
          <w:sz w:val="28"/>
          <w:szCs w:val="28"/>
        </w:rPr>
        <w:t>1</w:t>
      </w:r>
      <w:r>
        <w:rPr>
          <w:rFonts w:hint="eastAsia" w:ascii="宋体" w:hAnsi="宋体"/>
          <w:sz w:val="28"/>
          <w:szCs w:val="28"/>
        </w:rPr>
        <w:t>：</w:t>
      </w:r>
    </w:p>
    <w:p w14:paraId="0C88CB21">
      <w:pPr>
        <w:spacing w:line="560" w:lineRule="exact"/>
        <w:jc w:val="center"/>
        <w:rPr>
          <w:rFonts w:ascii="宋体" w:hAnsi="宋体"/>
          <w:b/>
          <w:sz w:val="36"/>
          <w:szCs w:val="36"/>
        </w:rPr>
      </w:pPr>
      <w:bookmarkStart w:id="3" w:name="_GoBack"/>
      <w:r>
        <w:rPr>
          <w:rFonts w:hint="eastAsia" w:ascii="宋体" w:hAnsi="宋体"/>
          <w:b/>
          <w:sz w:val="36"/>
          <w:szCs w:val="36"/>
        </w:rPr>
        <w:t>广西财经学院相思湖校区教学楼J栋工程项目“多测合一</w:t>
      </w:r>
      <w:r>
        <w:rPr>
          <w:rFonts w:hint="eastAsia" w:ascii="宋体" w:hAnsi="宋体"/>
          <w:b/>
          <w:sz w:val="36"/>
          <w:szCs w:val="36"/>
          <w:lang w:eastAsia="zh-CN"/>
        </w:rPr>
        <w:t>”</w:t>
      </w:r>
      <w:r>
        <w:rPr>
          <w:rFonts w:hint="eastAsia" w:ascii="宋体" w:hAnsi="宋体"/>
          <w:b/>
          <w:sz w:val="36"/>
          <w:szCs w:val="36"/>
        </w:rPr>
        <w:t>测绘服务询价采购报价单</w:t>
      </w:r>
    </w:p>
    <w:bookmarkEnd w:id="3"/>
    <w:tbl>
      <w:tblPr>
        <w:tblStyle w:val="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0"/>
        <w:gridCol w:w="8280"/>
      </w:tblGrid>
      <w:tr w14:paraId="5B0D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0" w:hRule="atLeast"/>
        </w:trPr>
        <w:tc>
          <w:tcPr>
            <w:tcW w:w="797" w:type="pct"/>
            <w:vAlign w:val="center"/>
          </w:tcPr>
          <w:p w14:paraId="29827049">
            <w:pPr>
              <w:jc w:val="center"/>
              <w:rPr>
                <w:rFonts w:ascii="宋体" w:hAnsi="宋体"/>
                <w:sz w:val="28"/>
                <w:szCs w:val="36"/>
              </w:rPr>
            </w:pPr>
            <w:r>
              <w:rPr>
                <w:rFonts w:ascii="宋体" w:hAnsi="宋体"/>
                <w:b/>
                <w:sz w:val="28"/>
                <w:szCs w:val="36"/>
              </w:rPr>
              <w:t>项目名称</w:t>
            </w:r>
          </w:p>
        </w:tc>
        <w:tc>
          <w:tcPr>
            <w:tcW w:w="4202" w:type="pct"/>
            <w:vAlign w:val="center"/>
          </w:tcPr>
          <w:p w14:paraId="6020074A">
            <w:pPr>
              <w:jc w:val="center"/>
              <w:rPr>
                <w:rFonts w:ascii="宋体" w:hAnsi="宋体"/>
                <w:b/>
                <w:sz w:val="28"/>
                <w:szCs w:val="36"/>
              </w:rPr>
            </w:pPr>
            <w:r>
              <w:rPr>
                <w:rFonts w:ascii="宋体" w:hAnsi="宋体"/>
                <w:b/>
                <w:sz w:val="28"/>
                <w:szCs w:val="36"/>
              </w:rPr>
              <w:t>项目规模及服务内容</w:t>
            </w:r>
          </w:p>
        </w:tc>
      </w:tr>
      <w:tr w14:paraId="3678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797" w:type="pct"/>
            <w:vAlign w:val="center"/>
          </w:tcPr>
          <w:p w14:paraId="64AA5A51">
            <w:pPr>
              <w:spacing w:line="560" w:lineRule="exact"/>
              <w:rPr>
                <w:rFonts w:ascii="宋体" w:hAnsi="宋体" w:eastAsia="仿宋"/>
                <w:b/>
                <w:sz w:val="28"/>
                <w:szCs w:val="36"/>
              </w:rPr>
            </w:pPr>
            <w:r>
              <w:rPr>
                <w:rFonts w:hint="eastAsia" w:ascii="仿宋" w:hAnsi="仿宋" w:eastAsia="仿宋" w:cs="仿宋"/>
                <w:bCs/>
                <w:sz w:val="24"/>
              </w:rPr>
              <w:t>广西财经学院相思湖校区教学楼J栋工程项目“多测合一</w:t>
            </w:r>
            <w:r>
              <w:rPr>
                <w:rFonts w:hint="eastAsia" w:ascii="仿宋" w:hAnsi="仿宋" w:eastAsia="仿宋" w:cs="仿宋"/>
                <w:bCs/>
                <w:sz w:val="24"/>
                <w:lang w:eastAsia="zh-CN"/>
              </w:rPr>
              <w:t>”</w:t>
            </w:r>
            <w:r>
              <w:rPr>
                <w:rFonts w:hint="eastAsia" w:ascii="仿宋" w:hAnsi="仿宋" w:eastAsia="仿宋" w:cs="仿宋"/>
                <w:bCs/>
                <w:sz w:val="24"/>
              </w:rPr>
              <w:t>测绘服务项目</w:t>
            </w:r>
          </w:p>
        </w:tc>
        <w:tc>
          <w:tcPr>
            <w:tcW w:w="4202" w:type="pct"/>
            <w:vAlign w:val="center"/>
          </w:tcPr>
          <w:p w14:paraId="41401487">
            <w:pPr>
              <w:spacing w:line="560" w:lineRule="exact"/>
              <w:ind w:firstLine="482" w:firstLineChars="200"/>
              <w:rPr>
                <w:rFonts w:ascii="仿宋" w:hAnsi="仿宋" w:eastAsia="仿宋" w:cs="仿宋"/>
                <w:b/>
                <w:sz w:val="24"/>
              </w:rPr>
            </w:pPr>
            <w:r>
              <w:rPr>
                <w:rFonts w:hint="eastAsia" w:ascii="仿宋" w:hAnsi="仿宋" w:eastAsia="仿宋" w:cs="仿宋"/>
                <w:b/>
                <w:sz w:val="24"/>
              </w:rPr>
              <w:t>（一）建设地点：</w:t>
            </w:r>
          </w:p>
          <w:p w14:paraId="3AC95E3F">
            <w:pPr>
              <w:spacing w:line="560" w:lineRule="exact"/>
              <w:ind w:firstLine="480" w:firstLineChars="200"/>
              <w:rPr>
                <w:rFonts w:ascii="仿宋" w:hAnsi="仿宋" w:eastAsia="仿宋" w:cs="仿宋"/>
                <w:bCs/>
                <w:sz w:val="24"/>
              </w:rPr>
            </w:pPr>
            <w:r>
              <w:rPr>
                <w:rFonts w:hint="eastAsia" w:ascii="仿宋" w:hAnsi="仿宋" w:eastAsia="仿宋" w:cs="仿宋"/>
                <w:bCs/>
                <w:sz w:val="24"/>
              </w:rPr>
              <w:t>南宁市西乡塘区大学西路189号，广西财经学院相思湖校区。</w:t>
            </w:r>
          </w:p>
          <w:p w14:paraId="3974894C">
            <w:pPr>
              <w:spacing w:line="560" w:lineRule="exact"/>
              <w:ind w:firstLine="482" w:firstLineChars="200"/>
              <w:rPr>
                <w:rFonts w:ascii="仿宋" w:hAnsi="仿宋" w:eastAsia="仿宋" w:cs="仿宋"/>
                <w:b/>
                <w:sz w:val="24"/>
              </w:rPr>
            </w:pPr>
            <w:r>
              <w:rPr>
                <w:rFonts w:hint="eastAsia" w:ascii="仿宋" w:hAnsi="仿宋" w:eastAsia="仿宋" w:cs="仿宋"/>
                <w:b/>
                <w:sz w:val="24"/>
              </w:rPr>
              <w:t>（二）项目概括：</w:t>
            </w:r>
          </w:p>
          <w:p w14:paraId="2EA825D5">
            <w:pPr>
              <w:pStyle w:val="4"/>
              <w:widowControl/>
              <w:wordWrap w:val="0"/>
              <w:spacing w:beforeAutospacing="0" w:afterAutospacing="0" w:line="420" w:lineRule="atLeast"/>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相思湖校区教学楼J栋工程项目于2022年03月30日完成了竣工验收；项目建设范围面积758.17平方米，总建筑面积4666.65平方米。为了完成竣工备案和产权登记等工作，现拟推进该项目规划条件初步核实、规划条件全面核实、房产测绘及不动产权籍调查等“多测合一”测绘工作。</w:t>
            </w:r>
          </w:p>
          <w:p w14:paraId="3B0612F4">
            <w:pPr>
              <w:widowControl/>
              <w:spacing w:line="560" w:lineRule="exact"/>
              <w:ind w:firstLine="482" w:firstLineChars="200"/>
              <w:jc w:val="left"/>
              <w:rPr>
                <w:rFonts w:ascii="仿宋" w:hAnsi="仿宋" w:eastAsia="仿宋" w:cs="仿宋"/>
                <w:b/>
                <w:sz w:val="24"/>
              </w:rPr>
            </w:pPr>
            <w:r>
              <w:rPr>
                <w:rFonts w:hint="eastAsia" w:ascii="仿宋" w:hAnsi="仿宋" w:eastAsia="仿宋" w:cs="仿宋"/>
                <w:b/>
                <w:sz w:val="24"/>
              </w:rPr>
              <w:t>（三）采购内容：</w:t>
            </w:r>
          </w:p>
          <w:p w14:paraId="03C022D1">
            <w:pPr>
              <w:pStyle w:val="4"/>
              <w:widowControl/>
              <w:wordWrap w:val="0"/>
              <w:spacing w:beforeAutospacing="0" w:afterAutospacing="0" w:line="420" w:lineRule="atLeast"/>
              <w:ind w:firstLine="480" w:firstLineChars="200"/>
              <w:jc w:val="both"/>
              <w:rPr>
                <w:rFonts w:ascii="仿宋_GB2312" w:hAnsi="仿宋_GB2312" w:eastAsia="仿宋_GB2312" w:cs="仿宋_GB2312"/>
                <w:color w:val="333333"/>
                <w:sz w:val="32"/>
                <w:szCs w:val="32"/>
              </w:rPr>
            </w:pPr>
            <w:r>
              <w:rPr>
                <w:rFonts w:hint="eastAsia" w:ascii="仿宋" w:hAnsi="仿宋" w:eastAsia="仿宋" w:cs="仿宋"/>
                <w:bCs/>
                <w:kern w:val="2"/>
                <w:sz w:val="24"/>
                <w:szCs w:val="24"/>
                <w:lang w:val="en-US" w:eastAsia="zh-CN" w:bidi="ar-SA"/>
              </w:rPr>
              <w:t>广西财经学院相思湖校区教学楼J栋工程项目“多测合一”测绘服务，包含规划条件初步核实、规划条件全面核实、房产测绘及不动产权籍调查等。</w:t>
            </w:r>
          </w:p>
          <w:p w14:paraId="72B58940">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w:t>
            </w:r>
            <w:r>
              <w:rPr>
                <w:rFonts w:hint="eastAsia" w:ascii="仿宋" w:hAnsi="仿宋" w:eastAsia="仿宋" w:cs="仿宋"/>
                <w:b/>
                <w:sz w:val="24"/>
                <w:lang w:eastAsia="zh-CN"/>
              </w:rPr>
              <w:t>四</w:t>
            </w:r>
            <w:r>
              <w:rPr>
                <w:rFonts w:hint="eastAsia" w:ascii="仿宋" w:hAnsi="仿宋" w:eastAsia="仿宋" w:cs="仿宋"/>
                <w:b/>
                <w:sz w:val="24"/>
              </w:rPr>
              <w:t>）服务周期：</w:t>
            </w:r>
          </w:p>
          <w:p w14:paraId="7E2ABCA1">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自成交通知书发出之日起至本工程完成竣工备案和产权登记之日止。</w:t>
            </w:r>
          </w:p>
          <w:p w14:paraId="4BBB8D25">
            <w:pPr>
              <w:widowControl/>
              <w:spacing w:line="560" w:lineRule="exact"/>
              <w:ind w:firstLine="482" w:firstLineChars="200"/>
              <w:jc w:val="left"/>
              <w:rPr>
                <w:rFonts w:hint="eastAsia" w:ascii="仿宋" w:hAnsi="仿宋" w:eastAsia="仿宋" w:cs="仿宋"/>
                <w:bCs/>
                <w:sz w:val="24"/>
              </w:rPr>
            </w:pPr>
            <w:r>
              <w:rPr>
                <w:rFonts w:hint="eastAsia" w:ascii="仿宋" w:hAnsi="仿宋" w:eastAsia="仿宋" w:cs="仿宋"/>
                <w:b/>
                <w:sz w:val="24"/>
              </w:rPr>
              <w:t>（五）编制周期：</w:t>
            </w:r>
            <w:r>
              <w:rPr>
                <w:rFonts w:hint="eastAsia" w:ascii="仿宋" w:hAnsi="仿宋" w:eastAsia="仿宋" w:cs="仿宋"/>
                <w:bCs/>
                <w:sz w:val="24"/>
              </w:rPr>
              <w:t>自签订合同且收到开始测绘的通知之日起20日历天内完成本项目的“多测合一”测绘服务工作。</w:t>
            </w:r>
          </w:p>
          <w:p w14:paraId="7FC61AA2">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w:t>
            </w:r>
            <w:r>
              <w:rPr>
                <w:rFonts w:hint="eastAsia" w:ascii="仿宋" w:hAnsi="仿宋" w:eastAsia="仿宋" w:cs="仿宋"/>
                <w:b/>
                <w:sz w:val="24"/>
                <w:lang w:eastAsia="zh-CN"/>
              </w:rPr>
              <w:t>六</w:t>
            </w:r>
            <w:r>
              <w:rPr>
                <w:rFonts w:hint="eastAsia" w:ascii="仿宋" w:hAnsi="仿宋" w:eastAsia="仿宋" w:cs="仿宋"/>
                <w:b/>
                <w:sz w:val="24"/>
              </w:rPr>
              <w:t>）成果要求：</w:t>
            </w:r>
          </w:p>
          <w:p w14:paraId="725E2A21">
            <w:pPr>
              <w:pStyle w:val="4"/>
              <w:widowControl/>
              <w:wordWrap w:val="0"/>
              <w:spacing w:beforeAutospacing="0" w:afterAutospacing="0" w:line="420" w:lineRule="atLeast"/>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1.合格，且满足国家及地方有关法律法规、政策及规划，行业现行规范、规程及标准等要求；2. “多测合一”项目应采用2000国家大地坐标系和1985国家高程基准；3. 测绘成果应满足建设工程项目审批、不动产登记等要求；4.所有成果材料，纸质一式四份，图纸（图片要求pdf格式、cad要求dwg格式）等电子文档刻成光盘一式两份。</w:t>
            </w:r>
          </w:p>
          <w:p w14:paraId="44CE0728">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w:t>
            </w:r>
            <w:r>
              <w:rPr>
                <w:rFonts w:hint="eastAsia" w:ascii="仿宋" w:hAnsi="仿宋" w:eastAsia="仿宋" w:cs="仿宋"/>
                <w:b/>
                <w:sz w:val="24"/>
                <w:lang w:eastAsia="zh-CN"/>
              </w:rPr>
              <w:t>七</w:t>
            </w:r>
            <w:r>
              <w:rPr>
                <w:rFonts w:hint="eastAsia" w:ascii="仿宋" w:hAnsi="仿宋" w:eastAsia="仿宋" w:cs="仿宋"/>
                <w:b/>
                <w:sz w:val="24"/>
              </w:rPr>
              <w:t>）其他要求：</w:t>
            </w:r>
          </w:p>
          <w:p w14:paraId="5BFF7B27">
            <w:pPr>
              <w:shd w:val="clear" w:color="auto" w:fill="FFFFFF"/>
              <w:spacing w:line="56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1.自行组织现场踏勘及调研工作，完成相关基础资料收集。2.由成交供应商配合办理审查手续，所涉及费用由成交供应商承担。3.服务周期内，因国家及地方有关政策、行业规范及标准变化引起的修改，修改补充所产生的费用由成交供应商承担。4.测绘服务机构应按照合同规定的要求组织开展测绘作业，测绘成果由测绘服务机构按规定完成质量检验后提交项目业主验收。项目业主验收合格后，通过“多测合一”信息系统提交相应测绘成果。相关主管部门对符合审批要求的成果入库归档。5.对于不符合审批要求的测绘成果，测绘服务机构须及时进行重测、修测、补测。</w:t>
            </w:r>
          </w:p>
          <w:p w14:paraId="23490E29">
            <w:pPr>
              <w:widowControl/>
              <w:spacing w:line="560" w:lineRule="exact"/>
              <w:ind w:left="479" w:leftChars="228" w:firstLine="0" w:firstLineChars="0"/>
              <w:jc w:val="left"/>
              <w:rPr>
                <w:rFonts w:ascii="仿宋" w:hAnsi="仿宋" w:eastAsia="仿宋" w:cs="仿宋"/>
                <w:b/>
                <w:sz w:val="24"/>
              </w:rPr>
            </w:pPr>
            <w:r>
              <w:rPr>
                <w:rFonts w:hint="eastAsia" w:ascii="仿宋" w:hAnsi="仿宋" w:eastAsia="仿宋" w:cs="仿宋"/>
                <w:b/>
                <w:sz w:val="24"/>
              </w:rPr>
              <w:t>（</w:t>
            </w:r>
            <w:r>
              <w:rPr>
                <w:rFonts w:hint="eastAsia" w:ascii="仿宋" w:hAnsi="仿宋" w:eastAsia="仿宋" w:cs="仿宋"/>
                <w:b/>
                <w:sz w:val="24"/>
                <w:lang w:eastAsia="zh-CN"/>
              </w:rPr>
              <w:t>八</w:t>
            </w:r>
            <w:r>
              <w:rPr>
                <w:rFonts w:hint="eastAsia" w:ascii="仿宋" w:hAnsi="仿宋" w:eastAsia="仿宋" w:cs="仿宋"/>
                <w:b/>
                <w:sz w:val="24"/>
              </w:rPr>
              <w:t>）上限控制价：</w:t>
            </w:r>
          </w:p>
          <w:p w14:paraId="4B9088EE">
            <w:pPr>
              <w:widowControl/>
              <w:spacing w:line="560" w:lineRule="exact"/>
              <w:ind w:firstLine="480" w:firstLineChars="200"/>
              <w:jc w:val="left"/>
              <w:rPr>
                <w:rFonts w:ascii="仿宋" w:hAnsi="仿宋" w:eastAsia="仿宋" w:cs="仿宋"/>
                <w:bCs/>
                <w:sz w:val="24"/>
                <w:u w:val="single"/>
              </w:rPr>
            </w:pPr>
            <w:r>
              <w:rPr>
                <w:rFonts w:hint="eastAsia" w:ascii="仿宋" w:hAnsi="仿宋" w:eastAsia="仿宋" w:cs="仿宋"/>
                <w:bCs/>
                <w:sz w:val="24"/>
                <w:u w:val="single"/>
              </w:rPr>
              <w:t>人民币(大写) 贰万贰仟捌佰叁拾壹元伍角叁分（小写）¥22831.53</w:t>
            </w:r>
            <w:r>
              <w:rPr>
                <w:rFonts w:hint="eastAsia" w:ascii="仿宋" w:hAnsi="仿宋" w:eastAsia="仿宋" w:cs="仿宋"/>
                <w:bCs/>
                <w:sz w:val="24"/>
                <w:u w:val="single"/>
              </w:rPr>
              <w:t>。供应商报价不得超过此金额，否则视为无效报价。</w:t>
            </w:r>
          </w:p>
          <w:p w14:paraId="2CFD20DA">
            <w:pPr>
              <w:widowControl/>
              <w:spacing w:line="560" w:lineRule="exact"/>
              <w:ind w:firstLine="482" w:firstLineChars="200"/>
              <w:jc w:val="left"/>
              <w:rPr>
                <w:rFonts w:ascii="仿宋" w:hAnsi="仿宋" w:eastAsia="仿宋" w:cs="仿宋"/>
                <w:b/>
                <w:sz w:val="24"/>
              </w:rPr>
            </w:pPr>
            <w:r>
              <w:rPr>
                <w:rFonts w:hint="eastAsia" w:ascii="仿宋" w:hAnsi="仿宋" w:eastAsia="仿宋" w:cs="仿宋"/>
                <w:b/>
                <w:sz w:val="24"/>
              </w:rPr>
              <w:t>（</w:t>
            </w:r>
            <w:r>
              <w:rPr>
                <w:rFonts w:hint="eastAsia" w:ascii="仿宋" w:hAnsi="仿宋" w:eastAsia="仿宋" w:cs="仿宋"/>
                <w:b/>
                <w:sz w:val="24"/>
                <w:lang w:eastAsia="zh-CN"/>
              </w:rPr>
              <w:t>九</w:t>
            </w:r>
            <w:r>
              <w:rPr>
                <w:rFonts w:hint="eastAsia" w:ascii="仿宋" w:hAnsi="仿宋" w:eastAsia="仿宋" w:cs="仿宋"/>
                <w:b/>
                <w:sz w:val="24"/>
              </w:rPr>
              <w:t>）供应商资格要求：</w:t>
            </w:r>
          </w:p>
          <w:p w14:paraId="56534DFF">
            <w:pPr>
              <w:pStyle w:val="4"/>
              <w:widowControl/>
              <w:wordWrap w:val="0"/>
              <w:spacing w:beforeAutospacing="0" w:afterAutospacing="0" w:line="420" w:lineRule="atLeast"/>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sz w:val="24"/>
              </w:rPr>
              <w:t>1.</w:t>
            </w:r>
            <w:r>
              <w:rPr>
                <w:rFonts w:hint="eastAsia" w:ascii="仿宋" w:hAnsi="仿宋" w:eastAsia="仿宋" w:cs="仿宋"/>
                <w:bCs/>
                <w:kern w:val="2"/>
                <w:sz w:val="24"/>
                <w:szCs w:val="24"/>
                <w:lang w:val="en-US" w:eastAsia="zh-CN" w:bidi="ar-SA"/>
              </w:rPr>
              <w:t>国内注册（指按国家有关规定要求注册的）经营本次采购服务的供应商；</w:t>
            </w:r>
          </w:p>
          <w:p w14:paraId="54E421D4">
            <w:pPr>
              <w:pStyle w:val="4"/>
              <w:widowControl/>
              <w:wordWrap w:val="0"/>
              <w:spacing w:beforeAutospacing="0" w:afterAutospacing="0" w:line="420" w:lineRule="atLeast"/>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sz w:val="24"/>
                <w:lang w:val="en-US" w:eastAsia="zh-CN"/>
              </w:rPr>
              <w:t>2</w:t>
            </w:r>
            <w:r>
              <w:rPr>
                <w:rFonts w:hint="eastAsia" w:ascii="仿宋" w:hAnsi="仿宋" w:eastAsia="仿宋" w:cs="仿宋"/>
                <w:bCs/>
                <w:sz w:val="24"/>
              </w:rPr>
              <w:t>.</w:t>
            </w:r>
            <w:r>
              <w:rPr>
                <w:rFonts w:hint="eastAsia" w:ascii="仿宋" w:hAnsi="仿宋" w:eastAsia="仿宋" w:cs="仿宋"/>
                <w:bCs/>
                <w:kern w:val="2"/>
                <w:sz w:val="24"/>
                <w:szCs w:val="24"/>
                <w:lang w:val="en-US" w:eastAsia="zh-CN" w:bidi="ar-SA"/>
              </w:rPr>
              <w:t>属于南宁市“多测合一”测绘服务机构名录库入库单位，具备工程测量、不动产测绘资质；</w:t>
            </w:r>
          </w:p>
          <w:p w14:paraId="4EF294F6">
            <w:pPr>
              <w:pStyle w:val="4"/>
              <w:widowControl/>
              <w:wordWrap w:val="0"/>
              <w:spacing w:beforeAutospacing="0" w:afterAutospacing="0" w:line="420" w:lineRule="atLeast"/>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sz w:val="24"/>
                <w:lang w:val="en-US" w:eastAsia="zh-CN"/>
              </w:rPr>
              <w:t>3</w:t>
            </w:r>
            <w:r>
              <w:rPr>
                <w:rFonts w:hint="eastAsia" w:ascii="仿宋" w:hAnsi="仿宋" w:eastAsia="仿宋" w:cs="仿宋"/>
                <w:bCs/>
                <w:sz w:val="24"/>
              </w:rPr>
              <w:t>.</w:t>
            </w:r>
            <w:r>
              <w:rPr>
                <w:rFonts w:hint="eastAsia" w:ascii="仿宋" w:hAnsi="仿宋" w:eastAsia="仿宋" w:cs="仿宋"/>
                <w:bCs/>
                <w:kern w:val="2"/>
                <w:sz w:val="24"/>
                <w:szCs w:val="24"/>
                <w:lang w:val="en-US" w:eastAsia="zh-CN" w:bidi="ar-SA"/>
              </w:rPr>
              <w:t>供应商负责人为同一人或者存在直接控股、管理关系的不同供应商，不得参加同一合同项下的采购活动；</w:t>
            </w:r>
          </w:p>
          <w:p w14:paraId="4B497E21">
            <w:pPr>
              <w:pStyle w:val="4"/>
              <w:widowControl/>
              <w:wordWrap w:val="0"/>
              <w:spacing w:beforeAutospacing="0" w:afterAutospacing="0" w:line="420" w:lineRule="atLeast"/>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sz w:val="24"/>
                <w:lang w:val="en-US" w:eastAsia="zh-CN"/>
              </w:rPr>
              <w:t>4</w:t>
            </w:r>
            <w:r>
              <w:rPr>
                <w:rFonts w:hint="eastAsia" w:ascii="仿宋" w:hAnsi="仿宋" w:eastAsia="仿宋" w:cs="仿宋"/>
                <w:bCs/>
                <w:sz w:val="24"/>
              </w:rPr>
              <w:t>.</w:t>
            </w:r>
            <w:r>
              <w:rPr>
                <w:rFonts w:hint="eastAsia" w:ascii="仿宋" w:hAnsi="仿宋" w:eastAsia="仿宋" w:cs="仿宋"/>
                <w:bCs/>
                <w:kern w:val="2"/>
                <w:sz w:val="24"/>
                <w:szCs w:val="24"/>
                <w:lang w:val="en-US" w:eastAsia="zh-CN" w:bidi="ar-SA"/>
              </w:rPr>
              <w:t>参加本采购活动前三年内在经营活动中没有重大违法记录和不良信用记录；</w:t>
            </w:r>
          </w:p>
          <w:p w14:paraId="5D788CE1">
            <w:pPr>
              <w:pStyle w:val="4"/>
              <w:widowControl/>
              <w:wordWrap w:val="0"/>
              <w:spacing w:beforeAutospacing="0" w:afterAutospacing="0" w:line="420" w:lineRule="atLeast"/>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sz w:val="24"/>
                <w:lang w:val="en-US" w:eastAsia="zh-CN"/>
              </w:rPr>
              <w:t>5</w:t>
            </w:r>
            <w:r>
              <w:rPr>
                <w:rFonts w:hint="eastAsia" w:ascii="仿宋" w:hAnsi="仿宋" w:eastAsia="仿宋" w:cs="仿宋"/>
                <w:bCs/>
                <w:sz w:val="24"/>
              </w:rPr>
              <w:t>.</w:t>
            </w:r>
            <w:r>
              <w:rPr>
                <w:rFonts w:hint="eastAsia" w:ascii="仿宋" w:hAnsi="仿宋" w:eastAsia="仿宋" w:cs="仿宋"/>
                <w:bCs/>
                <w:kern w:val="2"/>
                <w:sz w:val="24"/>
                <w:szCs w:val="24"/>
                <w:lang w:val="en-US" w:eastAsia="zh-CN" w:bidi="ar-SA"/>
              </w:rPr>
              <w:t>本项目不接受联合体报价。</w:t>
            </w:r>
          </w:p>
          <w:p w14:paraId="74C18C38">
            <w:pPr>
              <w:pStyle w:val="4"/>
              <w:widowControl/>
              <w:wordWrap w:val="0"/>
              <w:spacing w:beforeAutospacing="0" w:afterAutospacing="0" w:line="420" w:lineRule="atLeast"/>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sz w:val="24"/>
                <w:lang w:val="en-US" w:eastAsia="zh-CN"/>
              </w:rPr>
              <w:t>6</w:t>
            </w:r>
            <w:r>
              <w:rPr>
                <w:rFonts w:hint="eastAsia" w:ascii="仿宋" w:hAnsi="仿宋" w:eastAsia="仿宋" w:cs="仿宋"/>
                <w:bCs/>
                <w:sz w:val="24"/>
              </w:rPr>
              <w:t>.</w:t>
            </w:r>
            <w:r>
              <w:rPr>
                <w:rFonts w:hint="eastAsia" w:ascii="仿宋" w:hAnsi="仿宋" w:eastAsia="仿宋" w:cs="仿宋"/>
                <w:bCs/>
                <w:kern w:val="2"/>
                <w:sz w:val="24"/>
                <w:szCs w:val="24"/>
                <w:lang w:val="en-US" w:eastAsia="zh-CN" w:bidi="ar-SA"/>
              </w:rPr>
              <w:t>供应商与广西财经学院没有发生过经济纠纷或违约记录。</w:t>
            </w:r>
          </w:p>
          <w:p w14:paraId="402D438B">
            <w:pPr>
              <w:pStyle w:val="4"/>
              <w:widowControl/>
              <w:wordWrap w:val="0"/>
              <w:spacing w:beforeAutospacing="0" w:afterAutospacing="0" w:line="420" w:lineRule="atLeast"/>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sz w:val="24"/>
                <w:lang w:val="en-US" w:eastAsia="zh-CN"/>
              </w:rPr>
              <w:t>7</w:t>
            </w:r>
            <w:r>
              <w:rPr>
                <w:rFonts w:hint="eastAsia" w:ascii="仿宋" w:hAnsi="仿宋" w:eastAsia="仿宋" w:cs="仿宋"/>
                <w:bCs/>
                <w:sz w:val="24"/>
              </w:rPr>
              <w:t>.</w:t>
            </w:r>
            <w:r>
              <w:rPr>
                <w:rFonts w:hint="eastAsia" w:ascii="仿宋" w:hAnsi="仿宋" w:eastAsia="仿宋" w:cs="仿宋"/>
                <w:bCs/>
                <w:kern w:val="2"/>
                <w:sz w:val="24"/>
                <w:szCs w:val="24"/>
                <w:lang w:val="en-US" w:eastAsia="zh-CN" w:bidi="ar-SA"/>
              </w:rPr>
              <w:t>若供应商在采购人单位有三个以上（含三个）在建工程或未完成竣工验收项目的，不得参与本次采购活动。</w:t>
            </w:r>
          </w:p>
          <w:p w14:paraId="22577D28">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w:t>
            </w:r>
            <w:r>
              <w:rPr>
                <w:rFonts w:hint="eastAsia" w:ascii="仿宋" w:hAnsi="仿宋" w:eastAsia="仿宋" w:cs="仿宋"/>
                <w:b/>
                <w:lang w:eastAsia="zh-CN"/>
              </w:rPr>
              <w:t>十</w:t>
            </w:r>
            <w:r>
              <w:rPr>
                <w:rFonts w:hint="eastAsia" w:ascii="仿宋" w:hAnsi="仿宋" w:eastAsia="仿宋" w:cs="仿宋"/>
                <w:b/>
                <w:sz w:val="24"/>
              </w:rPr>
              <w:t>）服务团队及供应商要求：</w:t>
            </w:r>
          </w:p>
          <w:p w14:paraId="2C9F153F">
            <w:pPr>
              <w:pStyle w:val="4"/>
              <w:widowControl/>
              <w:wordWrap w:val="0"/>
              <w:spacing w:beforeAutospacing="0" w:afterAutospacing="0" w:line="400" w:lineRule="exact"/>
              <w:ind w:firstLine="480" w:firstLineChars="200"/>
              <w:jc w:val="both"/>
              <w:rPr>
                <w:rFonts w:hint="eastAsia" w:ascii="仿宋" w:hAnsi="仿宋" w:eastAsia="仿宋" w:cs="仿宋"/>
                <w:bCs/>
                <w:sz w:val="24"/>
              </w:rPr>
            </w:pPr>
            <w:r>
              <w:rPr>
                <w:rFonts w:hint="eastAsia" w:ascii="仿宋" w:hAnsi="仿宋" w:eastAsia="仿宋" w:cs="仿宋"/>
                <w:bCs/>
                <w:sz w:val="24"/>
              </w:rPr>
              <w:t>1.项目负责人1名：具有注册测绘师资格，中级及以上的专业技术职称，必须是投标供应商的正式在职员工（提供近1个月社保缴纳证明），近3年内负责过至少2项类似项目“多测合一”测绘工作。</w:t>
            </w:r>
          </w:p>
          <w:p w14:paraId="6116CEB4">
            <w:pPr>
              <w:pStyle w:val="4"/>
              <w:widowControl/>
              <w:wordWrap w:val="0"/>
              <w:spacing w:beforeAutospacing="0" w:afterAutospacing="0" w:line="400" w:lineRule="exact"/>
              <w:ind w:firstLine="480" w:firstLineChars="200"/>
              <w:jc w:val="both"/>
              <w:rPr>
                <w:rFonts w:hint="eastAsia" w:ascii="仿宋" w:hAnsi="仿宋" w:eastAsia="仿宋" w:cs="仿宋"/>
                <w:bCs/>
                <w:sz w:val="24"/>
              </w:rPr>
            </w:pPr>
            <w:r>
              <w:rPr>
                <w:rFonts w:hint="eastAsia" w:ascii="仿宋" w:hAnsi="仿宋" w:eastAsia="仿宋" w:cs="仿宋"/>
                <w:bCs/>
                <w:sz w:val="24"/>
              </w:rPr>
              <w:t>2. 所承担项目的技术和质检负责人等关键岗位由测绘服务机构执业注册的注册测绘师充任。</w:t>
            </w:r>
          </w:p>
          <w:p w14:paraId="560AA64E">
            <w:pPr>
              <w:pStyle w:val="4"/>
              <w:widowControl/>
              <w:wordWrap w:val="0"/>
              <w:spacing w:beforeAutospacing="0" w:afterAutospacing="0" w:line="400" w:lineRule="exact"/>
              <w:ind w:firstLine="482" w:firstLineChars="200"/>
              <w:jc w:val="both"/>
              <w:rPr>
                <w:rFonts w:ascii="仿宋" w:hAnsi="仿宋" w:eastAsia="仿宋" w:cs="仿宋"/>
                <w:b/>
                <w:kern w:val="2"/>
              </w:rPr>
            </w:pPr>
            <w:r>
              <w:rPr>
                <w:rFonts w:hint="eastAsia" w:ascii="仿宋" w:hAnsi="仿宋" w:eastAsia="仿宋" w:cs="仿宋"/>
                <w:b/>
                <w:kern w:val="2"/>
              </w:rPr>
              <w:t>（</w:t>
            </w:r>
            <w:r>
              <w:rPr>
                <w:rFonts w:hint="eastAsia" w:ascii="仿宋" w:hAnsi="仿宋" w:eastAsia="仿宋" w:cs="仿宋"/>
                <w:b/>
                <w:lang w:eastAsia="zh-CN"/>
              </w:rPr>
              <w:t>十一</w:t>
            </w:r>
            <w:r>
              <w:rPr>
                <w:rFonts w:hint="eastAsia" w:ascii="仿宋" w:hAnsi="仿宋" w:eastAsia="仿宋" w:cs="仿宋"/>
                <w:b/>
                <w:kern w:val="2"/>
              </w:rPr>
              <w:t>）付款方式</w:t>
            </w:r>
          </w:p>
          <w:p w14:paraId="23359DEF">
            <w:p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1.本项目不设预付款。</w:t>
            </w:r>
          </w:p>
          <w:p w14:paraId="13FE192D">
            <w:pPr>
              <w:spacing w:line="560" w:lineRule="exact"/>
              <w:ind w:firstLine="480" w:firstLineChars="200"/>
              <w:rPr>
                <w:rFonts w:hint="eastAsia" w:ascii="仿宋" w:hAnsi="仿宋" w:eastAsia="仿宋" w:cs="仿宋"/>
                <w:bCs/>
                <w:sz w:val="24"/>
              </w:rPr>
            </w:pPr>
            <w:r>
              <w:rPr>
                <w:rFonts w:hint="eastAsia" w:ascii="仿宋" w:hAnsi="仿宋" w:eastAsia="仿宋" w:cs="仿宋"/>
                <w:bCs/>
                <w:sz w:val="24"/>
                <w:lang w:val="en-US" w:eastAsia="zh-CN"/>
              </w:rPr>
              <w:t>2</w:t>
            </w:r>
            <w:r>
              <w:rPr>
                <w:rFonts w:hint="eastAsia" w:ascii="仿宋" w:hAnsi="仿宋" w:eastAsia="仿宋" w:cs="仿宋"/>
                <w:bCs/>
                <w:sz w:val="24"/>
              </w:rPr>
              <w:t>.本工程项目规划核实的成果经采购人审核通过后，并满足相关主管部门的建设工程项目审批、不动产登记后，供应商请款申请经采购人审核通过后，自收到成交供应商合格的增值税专用发票之日起14个工作日内支付合同价的100%（若无违约金等扣款项）。</w:t>
            </w:r>
          </w:p>
          <w:p w14:paraId="3667A0BD">
            <w:pPr>
              <w:spacing w:line="560" w:lineRule="exact"/>
              <w:ind w:firstLine="482" w:firstLineChars="200"/>
              <w:rPr>
                <w:rFonts w:ascii="仿宋" w:hAnsi="仿宋" w:eastAsia="仿宋" w:cs="仿宋"/>
                <w:b/>
                <w:sz w:val="24"/>
              </w:rPr>
            </w:pPr>
            <w:r>
              <w:rPr>
                <w:rFonts w:ascii="仿宋" w:hAnsi="仿宋" w:eastAsia="仿宋" w:cs="仿宋"/>
                <w:b/>
                <w:sz w:val="24"/>
              </w:rPr>
              <w:t>（</w:t>
            </w:r>
            <w:r>
              <w:rPr>
                <w:rFonts w:hint="eastAsia" w:ascii="仿宋" w:hAnsi="仿宋" w:eastAsia="仿宋" w:cs="仿宋"/>
                <w:b/>
                <w:sz w:val="24"/>
                <w:lang w:eastAsia="zh-CN"/>
              </w:rPr>
              <w:t>十二</w:t>
            </w:r>
            <w:r>
              <w:rPr>
                <w:rFonts w:ascii="仿宋" w:hAnsi="仿宋" w:eastAsia="仿宋" w:cs="仿宋"/>
                <w:b/>
                <w:sz w:val="24"/>
              </w:rPr>
              <w:t>）</w:t>
            </w:r>
            <w:r>
              <w:rPr>
                <w:rFonts w:hint="eastAsia" w:ascii="仿宋" w:hAnsi="仿宋" w:eastAsia="仿宋" w:cs="仿宋"/>
                <w:b/>
                <w:sz w:val="24"/>
              </w:rPr>
              <w:t>承包方式</w:t>
            </w:r>
            <w:r>
              <w:rPr>
                <w:rFonts w:ascii="仿宋" w:hAnsi="仿宋" w:eastAsia="仿宋" w:cs="仿宋"/>
                <w:b/>
                <w:sz w:val="24"/>
              </w:rPr>
              <w:t>：</w:t>
            </w:r>
          </w:p>
          <w:p w14:paraId="048B8635">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总价包干（报价包括但不限于完成本项目所需的各项成本、人工费、材料费、管理费、差旅费、专家评审费、开办费、税金及场地费、利润等所有费用）。</w:t>
            </w:r>
          </w:p>
          <w:p w14:paraId="2A990252">
            <w:pPr>
              <w:widowControl/>
              <w:spacing w:line="560" w:lineRule="exact"/>
              <w:ind w:firstLine="482" w:firstLineChars="200"/>
              <w:jc w:val="left"/>
              <w:rPr>
                <w:rFonts w:ascii="仿宋" w:hAnsi="仿宋" w:eastAsia="仿宋" w:cs="仿宋"/>
                <w:b/>
                <w:sz w:val="24"/>
              </w:rPr>
            </w:pPr>
            <w:r>
              <w:rPr>
                <w:rFonts w:ascii="仿宋" w:hAnsi="仿宋" w:eastAsia="仿宋" w:cs="仿宋"/>
                <w:b/>
                <w:sz w:val="24"/>
              </w:rPr>
              <w:t>（</w:t>
            </w:r>
            <w:r>
              <w:rPr>
                <w:rFonts w:hint="eastAsia" w:ascii="仿宋" w:hAnsi="仿宋" w:eastAsia="仿宋" w:cs="仿宋"/>
                <w:b/>
                <w:sz w:val="24"/>
                <w:lang w:eastAsia="zh-CN"/>
              </w:rPr>
              <w:t>十三</w:t>
            </w:r>
            <w:r>
              <w:rPr>
                <w:rFonts w:ascii="仿宋" w:hAnsi="仿宋" w:eastAsia="仿宋" w:cs="仿宋"/>
                <w:b/>
                <w:sz w:val="24"/>
              </w:rPr>
              <w:t>）</w:t>
            </w:r>
            <w:r>
              <w:rPr>
                <w:rFonts w:hint="eastAsia" w:ascii="仿宋" w:hAnsi="仿宋" w:eastAsia="仿宋" w:cs="仿宋"/>
                <w:b/>
                <w:sz w:val="24"/>
              </w:rPr>
              <w:t>报价要求：</w:t>
            </w:r>
          </w:p>
          <w:p w14:paraId="547AF703">
            <w:pPr>
              <w:pStyle w:val="4"/>
              <w:widowControl/>
              <w:spacing w:beforeAutospacing="0" w:afterAutospacing="0" w:line="360" w:lineRule="auto"/>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 xml:space="preserve">  总价报价，报价不能超过本项目上限控制价。</w:t>
            </w:r>
          </w:p>
          <w:p w14:paraId="13E1AF8D">
            <w:pPr>
              <w:widowControl/>
              <w:spacing w:line="560" w:lineRule="exact"/>
              <w:ind w:firstLine="482" w:firstLineChars="200"/>
              <w:jc w:val="left"/>
              <w:rPr>
                <w:rFonts w:ascii="仿宋" w:hAnsi="仿宋" w:eastAsia="仿宋" w:cs="仿宋"/>
                <w:b/>
                <w:sz w:val="24"/>
              </w:rPr>
            </w:pPr>
            <w:r>
              <w:rPr>
                <w:rFonts w:ascii="仿宋" w:hAnsi="仿宋" w:eastAsia="仿宋" w:cs="仿宋"/>
                <w:b/>
                <w:sz w:val="24"/>
              </w:rPr>
              <w:t>（</w:t>
            </w:r>
            <w:r>
              <w:rPr>
                <w:rFonts w:hint="eastAsia" w:ascii="仿宋" w:hAnsi="仿宋" w:eastAsia="仿宋" w:cs="仿宋"/>
                <w:b/>
                <w:sz w:val="24"/>
                <w:lang w:eastAsia="zh-CN"/>
              </w:rPr>
              <w:t>十四</w:t>
            </w:r>
            <w:r>
              <w:rPr>
                <w:rFonts w:ascii="仿宋" w:hAnsi="仿宋" w:eastAsia="仿宋" w:cs="仿宋"/>
                <w:b/>
                <w:sz w:val="24"/>
              </w:rPr>
              <w:t>）</w:t>
            </w:r>
            <w:r>
              <w:rPr>
                <w:rFonts w:hint="eastAsia" w:ascii="仿宋" w:hAnsi="仿宋" w:eastAsia="仿宋" w:cs="仿宋"/>
                <w:b/>
                <w:sz w:val="24"/>
              </w:rPr>
              <w:t>报价要求：</w:t>
            </w:r>
          </w:p>
          <w:p w14:paraId="34E672DD">
            <w:pPr>
              <w:pStyle w:val="4"/>
              <w:widowControl/>
              <w:spacing w:beforeAutospacing="0" w:afterAutospacing="0" w:line="360" w:lineRule="auto"/>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sz w:val="24"/>
              </w:rPr>
              <w:t>1.</w:t>
            </w:r>
            <w:r>
              <w:rPr>
                <w:rFonts w:hint="eastAsia" w:ascii="仿宋" w:hAnsi="仿宋" w:eastAsia="仿宋" w:cs="仿宋"/>
                <w:bCs/>
                <w:kern w:val="2"/>
                <w:sz w:val="24"/>
                <w:szCs w:val="24"/>
                <w:lang w:val="en-US" w:eastAsia="zh-CN" w:bidi="ar-SA"/>
              </w:rPr>
              <w:t>因成交供应商原因，未在规定期限内提交相应成果的，从应完成日期的次日起计算，超过5日历天，业主有权解除合同。因业主原因，成交供应商未在规定期限内提交的，编制周期顺延，不增加费用。</w:t>
            </w:r>
          </w:p>
          <w:p w14:paraId="73A89C81">
            <w:pPr>
              <w:pStyle w:val="4"/>
              <w:widowControl/>
              <w:spacing w:beforeAutospacing="0" w:afterAutospacing="0" w:line="360" w:lineRule="auto"/>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sz w:val="24"/>
                <w:lang w:val="en-US" w:eastAsia="zh-CN"/>
              </w:rPr>
              <w:t>2</w:t>
            </w:r>
            <w:r>
              <w:rPr>
                <w:rFonts w:hint="eastAsia" w:ascii="仿宋" w:hAnsi="仿宋" w:eastAsia="仿宋" w:cs="仿宋"/>
                <w:bCs/>
                <w:sz w:val="24"/>
              </w:rPr>
              <w:t>.</w:t>
            </w:r>
            <w:r>
              <w:rPr>
                <w:rFonts w:hint="eastAsia" w:ascii="仿宋" w:hAnsi="仿宋" w:eastAsia="仿宋" w:cs="仿宋"/>
                <w:bCs/>
                <w:kern w:val="2"/>
                <w:sz w:val="24"/>
                <w:szCs w:val="24"/>
                <w:lang w:val="en-US" w:eastAsia="zh-CN" w:bidi="ar-SA"/>
              </w:rPr>
              <w:t>因成交供应商原因，逾期提交相应成果的，视为违约，成交供应商每日按成交金额的千分之二支付违约金，违约金的上限不超过成交金额的百分之五。</w:t>
            </w:r>
          </w:p>
          <w:p w14:paraId="156E2E66">
            <w:pPr>
              <w:pStyle w:val="4"/>
              <w:widowControl/>
              <w:spacing w:beforeAutospacing="0" w:afterAutospacing="0" w:line="360" w:lineRule="auto"/>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sz w:val="24"/>
                <w:lang w:val="en-US" w:eastAsia="zh-CN"/>
              </w:rPr>
              <w:t>3</w:t>
            </w:r>
            <w:r>
              <w:rPr>
                <w:rFonts w:hint="eastAsia" w:ascii="仿宋" w:hAnsi="仿宋" w:eastAsia="仿宋" w:cs="仿宋"/>
                <w:bCs/>
                <w:sz w:val="24"/>
              </w:rPr>
              <w:t>.</w:t>
            </w:r>
            <w:r>
              <w:rPr>
                <w:rFonts w:hint="eastAsia" w:ascii="仿宋" w:hAnsi="仿宋" w:eastAsia="仿宋" w:cs="仿宋"/>
                <w:bCs/>
                <w:kern w:val="2"/>
                <w:sz w:val="24"/>
                <w:szCs w:val="24"/>
                <w:lang w:val="en-US" w:eastAsia="zh-CN" w:bidi="ar-SA"/>
              </w:rPr>
              <w:t>因成交供应商原因，成交供应商提交的成果文件连续两次修改仍无法满足相关主管部门备案和产权登记以及业主要求的，业主有权解除合同，已完成的成果归业主所有。</w:t>
            </w:r>
          </w:p>
          <w:p w14:paraId="1F567852">
            <w:pPr>
              <w:pStyle w:val="4"/>
              <w:widowControl/>
              <w:spacing w:beforeAutospacing="0" w:afterAutospacing="0" w:line="360" w:lineRule="auto"/>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sz w:val="24"/>
                <w:lang w:val="en-US" w:eastAsia="zh-CN"/>
              </w:rPr>
              <w:t>4</w:t>
            </w:r>
            <w:r>
              <w:rPr>
                <w:rFonts w:hint="eastAsia" w:ascii="仿宋" w:hAnsi="仿宋" w:eastAsia="仿宋" w:cs="仿宋"/>
                <w:bCs/>
                <w:sz w:val="24"/>
              </w:rPr>
              <w:t>.</w:t>
            </w:r>
            <w:r>
              <w:rPr>
                <w:rFonts w:hint="eastAsia" w:ascii="仿宋" w:hAnsi="仿宋" w:eastAsia="仿宋" w:cs="仿宋"/>
                <w:bCs/>
                <w:kern w:val="2"/>
                <w:sz w:val="24"/>
                <w:szCs w:val="24"/>
                <w:lang w:val="en-US" w:eastAsia="zh-CN" w:bidi="ar-SA"/>
              </w:rPr>
              <w:t>“多测合一”项目在数据申请、数据获取、成果提交、成果审查等环节中涉及的数据、成果等属于国家秘密的，按照国家相关保密法律、法规规定执行。</w:t>
            </w:r>
          </w:p>
          <w:p w14:paraId="2FD80A74">
            <w:pPr>
              <w:pStyle w:val="4"/>
              <w:widowControl/>
              <w:spacing w:beforeAutospacing="0" w:afterAutospacing="0" w:line="360" w:lineRule="auto"/>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sz w:val="24"/>
                <w:lang w:val="en-US" w:eastAsia="zh-CN"/>
              </w:rPr>
              <w:t>5</w:t>
            </w:r>
            <w:r>
              <w:rPr>
                <w:rFonts w:hint="eastAsia" w:ascii="仿宋" w:hAnsi="仿宋" w:eastAsia="仿宋" w:cs="仿宋"/>
                <w:bCs/>
                <w:sz w:val="24"/>
              </w:rPr>
              <w:t>.</w:t>
            </w:r>
            <w:r>
              <w:rPr>
                <w:rFonts w:hint="eastAsia" w:ascii="仿宋" w:hAnsi="仿宋" w:eastAsia="仿宋" w:cs="仿宋"/>
                <w:bCs/>
                <w:kern w:val="2"/>
                <w:sz w:val="24"/>
                <w:szCs w:val="24"/>
                <w:lang w:val="en-US" w:eastAsia="zh-CN" w:bidi="ar-SA"/>
              </w:rPr>
              <w:t>项目业主应当对其提供材料的真实性负责，因项目业主提供的基础材料不实，产生损害性后果的，由项目业主承担相关法律责任。</w:t>
            </w:r>
          </w:p>
          <w:p w14:paraId="39AA35D9">
            <w:pPr>
              <w:pStyle w:val="4"/>
              <w:widowControl/>
              <w:spacing w:beforeAutospacing="0" w:afterAutospacing="0" w:line="360" w:lineRule="auto"/>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sz w:val="24"/>
                <w:lang w:val="en-US" w:eastAsia="zh-CN"/>
              </w:rPr>
              <w:t>6</w:t>
            </w:r>
            <w:r>
              <w:rPr>
                <w:rFonts w:hint="eastAsia" w:ascii="仿宋" w:hAnsi="仿宋" w:eastAsia="仿宋" w:cs="仿宋"/>
                <w:bCs/>
                <w:sz w:val="24"/>
              </w:rPr>
              <w:t>.</w:t>
            </w:r>
            <w:r>
              <w:rPr>
                <w:rFonts w:hint="eastAsia" w:ascii="仿宋" w:hAnsi="仿宋" w:eastAsia="仿宋" w:cs="仿宋"/>
                <w:bCs/>
                <w:kern w:val="2"/>
                <w:sz w:val="24"/>
                <w:szCs w:val="24"/>
                <w:lang w:val="en-US" w:eastAsia="zh-CN" w:bidi="ar-SA"/>
              </w:rPr>
              <w:t>测绘服务机构应严格测绘成果的自检，对“多测合一”测绘成果终身负责。测绘成果出现质量问题的，由测绘服务机构及相关责任人承担相应经济和法律责任。</w:t>
            </w:r>
          </w:p>
          <w:p w14:paraId="3EBC1381">
            <w:pPr>
              <w:pStyle w:val="4"/>
              <w:widowControl/>
              <w:spacing w:beforeAutospacing="0" w:afterAutospacing="0" w:line="360" w:lineRule="auto"/>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sz w:val="24"/>
                <w:lang w:val="en-US" w:eastAsia="zh-CN"/>
              </w:rPr>
              <w:t>7</w:t>
            </w:r>
            <w:r>
              <w:rPr>
                <w:rFonts w:hint="eastAsia" w:ascii="仿宋" w:hAnsi="仿宋" w:eastAsia="仿宋" w:cs="仿宋"/>
                <w:bCs/>
                <w:sz w:val="24"/>
              </w:rPr>
              <w:t>.</w:t>
            </w:r>
            <w:r>
              <w:rPr>
                <w:rFonts w:hint="eastAsia" w:ascii="仿宋" w:hAnsi="仿宋" w:eastAsia="仿宋" w:cs="仿宋"/>
                <w:bCs/>
                <w:kern w:val="2"/>
                <w:sz w:val="24"/>
                <w:szCs w:val="24"/>
                <w:lang w:val="en-US" w:eastAsia="zh-CN" w:bidi="ar-SA"/>
              </w:rPr>
              <w:t>根据国家及自治区有关政策，南宁市“多测合一”项目实行注册测绘师负责制。“多测合一”测绘成果须注册测绘师签字并加盖执业印章。</w:t>
            </w:r>
          </w:p>
          <w:p w14:paraId="55F2B3E1">
            <w:pPr>
              <w:widowControl/>
              <w:spacing w:line="560" w:lineRule="exact"/>
              <w:ind w:firstLine="482" w:firstLineChars="200"/>
              <w:jc w:val="left"/>
              <w:rPr>
                <w:rFonts w:ascii="仿宋" w:hAnsi="仿宋" w:eastAsia="仿宋" w:cs="仿宋"/>
                <w:b/>
                <w:sz w:val="24"/>
              </w:rPr>
            </w:pPr>
            <w:r>
              <w:rPr>
                <w:rFonts w:ascii="仿宋" w:hAnsi="仿宋" w:eastAsia="仿宋" w:cs="仿宋"/>
                <w:b/>
                <w:sz w:val="24"/>
              </w:rPr>
              <w:t>（</w:t>
            </w:r>
            <w:r>
              <w:rPr>
                <w:rFonts w:hint="eastAsia" w:ascii="仿宋" w:hAnsi="仿宋" w:eastAsia="仿宋" w:cs="仿宋"/>
                <w:b/>
                <w:sz w:val="24"/>
                <w:lang w:eastAsia="zh-CN"/>
              </w:rPr>
              <w:t>十五</w:t>
            </w:r>
            <w:r>
              <w:rPr>
                <w:rFonts w:ascii="仿宋" w:hAnsi="仿宋" w:eastAsia="仿宋" w:cs="仿宋"/>
                <w:b/>
                <w:sz w:val="24"/>
              </w:rPr>
              <w:t>）</w:t>
            </w:r>
            <w:r>
              <w:rPr>
                <w:rFonts w:hint="eastAsia" w:ascii="仿宋" w:hAnsi="仿宋" w:eastAsia="仿宋" w:cs="仿宋"/>
                <w:b/>
                <w:sz w:val="24"/>
              </w:rPr>
              <w:t>履约保证金：</w:t>
            </w:r>
          </w:p>
          <w:p w14:paraId="67FEF9EB">
            <w:pPr>
              <w:pStyle w:val="4"/>
              <w:widowControl/>
              <w:spacing w:beforeAutospacing="0" w:afterAutospacing="0" w:line="360" w:lineRule="auto"/>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sz w:val="24"/>
              </w:rPr>
              <w:t>1.</w:t>
            </w:r>
            <w:r>
              <w:rPr>
                <w:rFonts w:hint="eastAsia" w:ascii="仿宋" w:hAnsi="仿宋" w:eastAsia="仿宋" w:cs="仿宋"/>
                <w:bCs/>
                <w:kern w:val="2"/>
                <w:sz w:val="24"/>
                <w:szCs w:val="24"/>
                <w:lang w:val="en-US" w:eastAsia="zh-CN" w:bidi="ar-SA"/>
              </w:rPr>
              <w:t>成交供应商自收到成交通知书之日起7日历天内按成交金额的5%缴纳履约保证金（如为中小企业，则履约保证金比例为2%），否则将取消其成交资格。</w:t>
            </w:r>
          </w:p>
          <w:p w14:paraId="7B9C928A">
            <w:pPr>
              <w:pStyle w:val="4"/>
              <w:widowControl/>
              <w:spacing w:beforeAutospacing="0" w:afterAutospacing="0" w:line="360" w:lineRule="auto"/>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sz w:val="24"/>
                <w:lang w:val="en-US" w:eastAsia="zh-CN"/>
              </w:rPr>
              <w:t>2</w:t>
            </w:r>
            <w:r>
              <w:rPr>
                <w:rFonts w:hint="eastAsia" w:ascii="仿宋" w:hAnsi="仿宋" w:eastAsia="仿宋" w:cs="仿宋"/>
                <w:bCs/>
                <w:sz w:val="24"/>
              </w:rPr>
              <w:t>.</w:t>
            </w:r>
            <w:r>
              <w:rPr>
                <w:rFonts w:hint="eastAsia" w:ascii="仿宋" w:hAnsi="仿宋" w:eastAsia="仿宋" w:cs="仿宋"/>
                <w:bCs/>
                <w:kern w:val="2"/>
                <w:sz w:val="24"/>
                <w:szCs w:val="24"/>
                <w:lang w:val="en-US" w:eastAsia="zh-CN" w:bidi="ar-SA"/>
              </w:rPr>
              <w:t>履约保证金的形式：银行转账、支票、汇票、本票等非现金方式。</w:t>
            </w:r>
          </w:p>
          <w:p w14:paraId="19A8A49D">
            <w:pPr>
              <w:pStyle w:val="4"/>
              <w:widowControl/>
              <w:spacing w:beforeAutospacing="0" w:afterAutospacing="0" w:line="360" w:lineRule="auto"/>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sz w:val="24"/>
                <w:lang w:val="en-US" w:eastAsia="zh-CN"/>
              </w:rPr>
              <w:t>3</w:t>
            </w:r>
            <w:r>
              <w:rPr>
                <w:rFonts w:hint="eastAsia" w:ascii="仿宋" w:hAnsi="仿宋" w:eastAsia="仿宋" w:cs="仿宋"/>
                <w:bCs/>
                <w:sz w:val="24"/>
              </w:rPr>
              <w:t>.</w:t>
            </w:r>
            <w:r>
              <w:rPr>
                <w:rFonts w:hint="eastAsia" w:ascii="仿宋" w:hAnsi="仿宋" w:eastAsia="仿宋" w:cs="仿宋"/>
                <w:bCs/>
                <w:kern w:val="2"/>
                <w:sz w:val="24"/>
                <w:szCs w:val="24"/>
                <w:lang w:val="en-US" w:eastAsia="zh-CN" w:bidi="ar-SA"/>
              </w:rPr>
              <w:t>履约保证金的有效期必须涵盖至本工程完成竣工备案和产权登记之日。</w:t>
            </w:r>
          </w:p>
          <w:p w14:paraId="382F1801">
            <w:pPr>
              <w:pStyle w:val="4"/>
              <w:widowControl/>
              <w:spacing w:beforeAutospacing="0" w:afterAutospacing="0" w:line="360" w:lineRule="auto"/>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sz w:val="24"/>
                <w:lang w:val="en-US" w:eastAsia="zh-CN"/>
              </w:rPr>
              <w:t>4</w:t>
            </w:r>
            <w:r>
              <w:rPr>
                <w:rFonts w:hint="eastAsia" w:ascii="仿宋" w:hAnsi="仿宋" w:eastAsia="仿宋" w:cs="仿宋"/>
                <w:bCs/>
                <w:sz w:val="24"/>
              </w:rPr>
              <w:t>.</w:t>
            </w:r>
            <w:r>
              <w:rPr>
                <w:rFonts w:hint="eastAsia" w:ascii="仿宋" w:hAnsi="仿宋" w:eastAsia="仿宋" w:cs="仿宋"/>
                <w:bCs/>
                <w:kern w:val="2"/>
                <w:sz w:val="24"/>
                <w:szCs w:val="24"/>
                <w:lang w:val="en-US" w:eastAsia="zh-CN" w:bidi="ar-SA"/>
              </w:rPr>
              <w:t>履约保证金的返还：自成交供应商提交返还申请材料之日起14个工作日内一次性返还履约保证金（无息），成交供应商在收到成交通知书并缴纳履约保证金之后，不能履行合同义务或违约的，履约保证金不予退还。</w:t>
            </w:r>
          </w:p>
          <w:p w14:paraId="07AED8EC">
            <w:pPr>
              <w:pStyle w:val="4"/>
              <w:widowControl/>
              <w:spacing w:beforeAutospacing="0" w:afterAutospacing="0" w:line="360" w:lineRule="auto"/>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sz w:val="24"/>
                <w:lang w:val="en-US" w:eastAsia="zh-CN"/>
              </w:rPr>
              <w:t>5</w:t>
            </w:r>
            <w:r>
              <w:rPr>
                <w:rFonts w:hint="eastAsia" w:ascii="仿宋" w:hAnsi="仿宋" w:eastAsia="仿宋" w:cs="仿宋"/>
                <w:bCs/>
                <w:sz w:val="24"/>
              </w:rPr>
              <w:t>.</w:t>
            </w:r>
            <w:r>
              <w:rPr>
                <w:rFonts w:hint="eastAsia" w:ascii="仿宋" w:hAnsi="仿宋" w:eastAsia="仿宋" w:cs="仿宋"/>
                <w:bCs/>
                <w:kern w:val="2"/>
                <w:sz w:val="24"/>
                <w:szCs w:val="24"/>
                <w:lang w:val="en-US" w:eastAsia="zh-CN" w:bidi="ar-SA"/>
              </w:rPr>
              <w:t>履约保证金指定账户：</w:t>
            </w:r>
          </w:p>
          <w:p w14:paraId="4B458A10">
            <w:pPr>
              <w:pStyle w:val="4"/>
              <w:widowControl/>
              <w:spacing w:beforeAutospacing="0" w:afterAutospacing="0" w:line="360" w:lineRule="auto"/>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开户名称：广西财经学院</w:t>
            </w:r>
          </w:p>
          <w:p w14:paraId="5112EA61">
            <w:pPr>
              <w:pStyle w:val="4"/>
              <w:widowControl/>
              <w:spacing w:beforeAutospacing="0" w:afterAutospacing="0" w:line="360" w:lineRule="auto"/>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开户银行：中国银行南宁明秀西路支行</w:t>
            </w:r>
          </w:p>
          <w:p w14:paraId="618FC9B1">
            <w:pPr>
              <w:pStyle w:val="4"/>
              <w:widowControl/>
              <w:spacing w:beforeAutospacing="0" w:afterAutospacing="0" w:line="360" w:lineRule="auto"/>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银行账号：611957485481</w:t>
            </w:r>
          </w:p>
        </w:tc>
      </w:tr>
      <w:tr w14:paraId="624A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5000" w:type="pct"/>
            <w:gridSpan w:val="2"/>
          </w:tcPr>
          <w:p w14:paraId="162A14F4">
            <w:pPr>
              <w:rPr>
                <w:rFonts w:hint="eastAsia" w:ascii="宋体" w:hAnsi="宋体"/>
                <w:b/>
                <w:sz w:val="24"/>
                <w:szCs w:val="32"/>
              </w:rPr>
            </w:pPr>
          </w:p>
          <w:p w14:paraId="0777675D">
            <w:pPr>
              <w:rPr>
                <w:rFonts w:ascii="宋体" w:hAnsi="宋体"/>
                <w:b/>
                <w:sz w:val="24"/>
                <w:szCs w:val="32"/>
                <w:u w:val="single"/>
              </w:rPr>
            </w:pPr>
            <w:r>
              <w:rPr>
                <w:rFonts w:hint="eastAsia" w:ascii="宋体" w:hAnsi="宋体"/>
                <w:b/>
                <w:sz w:val="24"/>
                <w:szCs w:val="32"/>
              </w:rPr>
              <w:t>包干价（总价）：</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tc>
      </w:tr>
      <w:tr w14:paraId="33A1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5000" w:type="pct"/>
            <w:gridSpan w:val="2"/>
          </w:tcPr>
          <w:p w14:paraId="3678E3BD">
            <w:pPr>
              <w:numPr>
                <w:ilvl w:val="255"/>
                <w:numId w:val="0"/>
              </w:numPr>
              <w:rPr>
                <w:rFonts w:ascii="宋体" w:hAnsi="宋体"/>
                <w:bCs/>
                <w:sz w:val="24"/>
              </w:rPr>
            </w:pPr>
            <w:r>
              <w:rPr>
                <w:rFonts w:hint="eastAsia" w:ascii="宋体" w:hAnsi="宋体"/>
                <w:bCs/>
                <w:sz w:val="24"/>
              </w:rPr>
              <w:t>备注：</w:t>
            </w:r>
          </w:p>
          <w:p w14:paraId="04FA1B06">
            <w:pPr>
              <w:rPr>
                <w:rFonts w:ascii="宋体" w:hAnsi="宋体" w:eastAsia="宋体" w:cs="Times New Roman"/>
                <w:bCs/>
                <w:sz w:val="24"/>
              </w:rPr>
            </w:pPr>
            <w:r>
              <w:rPr>
                <w:rFonts w:hint="eastAsia" w:ascii="宋体" w:hAnsi="宋体"/>
                <w:bCs/>
                <w:sz w:val="24"/>
              </w:rPr>
              <w:t>1.报价人对服务内容已经完全知晓，本次报价包括但不限于材料费、人工费、机械费、管理费、税金及利润等一切费用，并应综合考虑到现场条件、人工、材料价格波动、法律、法规、条例所作规定以及按合同条件进行实施所包含的所有风险、责任等所有因素。</w:t>
            </w:r>
          </w:p>
          <w:p w14:paraId="1C0AEEBE">
            <w:pPr>
              <w:tabs>
                <w:tab w:val="left" w:pos="312"/>
              </w:tabs>
              <w:rPr>
                <w:rFonts w:ascii="宋体" w:hAnsi="宋体"/>
                <w:bCs/>
                <w:sz w:val="24"/>
              </w:rPr>
            </w:pPr>
            <w:r>
              <w:rPr>
                <w:rFonts w:hint="eastAsia" w:ascii="宋体" w:hAnsi="宋体"/>
                <w:bCs/>
                <w:sz w:val="24"/>
              </w:rPr>
              <w:t>2.本次报价为总价包干报价，期间不做任何价格调整。</w:t>
            </w:r>
          </w:p>
        </w:tc>
      </w:tr>
    </w:tbl>
    <w:p w14:paraId="61B11F8F">
      <w:pPr>
        <w:rPr>
          <w:rFonts w:ascii="宋体" w:hAnsi="宋体"/>
          <w:b/>
          <w:sz w:val="28"/>
          <w:szCs w:val="36"/>
        </w:rPr>
      </w:pPr>
      <w:r>
        <w:rPr>
          <w:rFonts w:hint="eastAsia" w:ascii="宋体" w:hAnsi="宋体"/>
          <w:b/>
          <w:sz w:val="28"/>
          <w:szCs w:val="36"/>
        </w:rPr>
        <w:t xml:space="preserve">法定代表人（或委托代理人）签字：   </w:t>
      </w:r>
    </w:p>
    <w:p w14:paraId="15DE86F5">
      <w:pPr>
        <w:rPr>
          <w:rFonts w:ascii="宋体" w:hAnsi="宋体"/>
          <w:b/>
          <w:sz w:val="28"/>
          <w:szCs w:val="36"/>
        </w:rPr>
      </w:pPr>
      <w:r>
        <w:rPr>
          <w:rFonts w:hint="eastAsia" w:ascii="宋体" w:hAnsi="宋体"/>
          <w:b/>
          <w:sz w:val="28"/>
          <w:szCs w:val="36"/>
        </w:rPr>
        <w:t xml:space="preserve">         </w:t>
      </w:r>
    </w:p>
    <w:p w14:paraId="1E789B82">
      <w:pPr>
        <w:rPr>
          <w:rFonts w:ascii="宋体" w:hAnsi="宋体"/>
          <w:b/>
          <w:sz w:val="28"/>
          <w:szCs w:val="36"/>
        </w:rPr>
      </w:pPr>
      <w:r>
        <w:rPr>
          <w:rFonts w:hint="eastAsia" w:ascii="宋体" w:hAnsi="宋体"/>
          <w:b/>
          <w:sz w:val="28"/>
          <w:szCs w:val="36"/>
        </w:rPr>
        <w:t>单位名称（</w:t>
      </w:r>
      <w:r>
        <w:rPr>
          <w:rFonts w:ascii="宋体" w:hAnsi="宋体"/>
          <w:b/>
          <w:sz w:val="28"/>
          <w:szCs w:val="36"/>
        </w:rPr>
        <w:t>盖</w:t>
      </w:r>
      <w:r>
        <w:rPr>
          <w:rFonts w:hint="eastAsia" w:ascii="宋体" w:hAnsi="宋体"/>
          <w:b/>
          <w:sz w:val="28"/>
          <w:szCs w:val="36"/>
        </w:rPr>
        <w:t>章）：</w:t>
      </w:r>
    </w:p>
    <w:p w14:paraId="1506A439">
      <w:pPr>
        <w:rPr>
          <w:rFonts w:ascii="宋体" w:hAnsi="宋体"/>
          <w:b/>
          <w:sz w:val="28"/>
          <w:szCs w:val="36"/>
        </w:rPr>
      </w:pPr>
    </w:p>
    <w:p w14:paraId="4DBE6F10">
      <w:pPr>
        <w:jc w:val="left"/>
        <w:rPr>
          <w:rFonts w:ascii="宋体" w:hAnsi="宋体"/>
          <w:b/>
          <w:sz w:val="28"/>
          <w:szCs w:val="36"/>
        </w:rPr>
      </w:pPr>
      <w:r>
        <w:rPr>
          <w:rFonts w:hint="eastAsia" w:ascii="宋体" w:hAnsi="宋体"/>
          <w:b/>
          <w:sz w:val="28"/>
          <w:szCs w:val="36"/>
        </w:rPr>
        <w:t>联系人及电话：</w:t>
      </w:r>
    </w:p>
    <w:p w14:paraId="228B6847">
      <w:pPr>
        <w:jc w:val="left"/>
        <w:rPr>
          <w:rFonts w:ascii="宋体" w:hAnsi="宋体"/>
          <w:b/>
          <w:sz w:val="28"/>
          <w:szCs w:val="36"/>
        </w:rPr>
      </w:pPr>
    </w:p>
    <w:p w14:paraId="6774C1D6">
      <w:pPr>
        <w:jc w:val="left"/>
      </w:pPr>
      <w:r>
        <w:rPr>
          <w:rFonts w:ascii="宋体" w:hAnsi="宋体"/>
          <w:b/>
          <w:sz w:val="28"/>
          <w:szCs w:val="36"/>
        </w:rPr>
        <w:t>日期：</w:t>
      </w:r>
      <w:bookmarkStart w:id="0" w:name="_Toc173211904"/>
      <w:bookmarkEnd w:id="0"/>
      <w:bookmarkStart w:id="1" w:name="_Toc254970729"/>
      <w:bookmarkEnd w:id="1"/>
      <w:bookmarkStart w:id="2" w:name="_Toc254970732"/>
      <w:bookmarkEnd w:id="2"/>
    </w:p>
    <w:sectPr>
      <w:pgSz w:w="11906" w:h="16838"/>
      <w:pgMar w:top="1134" w:right="1134" w:bottom="1134" w:left="1134" w:header="851" w:footer="992" w:gutter="0"/>
      <w:cols w:space="0" w:num="1"/>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77C"/>
    <w:rsid w:val="00182C67"/>
    <w:rsid w:val="0042277C"/>
    <w:rsid w:val="004E2360"/>
    <w:rsid w:val="00522A44"/>
    <w:rsid w:val="00702B56"/>
    <w:rsid w:val="007B45B3"/>
    <w:rsid w:val="008445E6"/>
    <w:rsid w:val="00924A83"/>
    <w:rsid w:val="00A32AC1"/>
    <w:rsid w:val="00C7093A"/>
    <w:rsid w:val="00E11546"/>
    <w:rsid w:val="03C52BEB"/>
    <w:rsid w:val="044E3E0A"/>
    <w:rsid w:val="07AC659B"/>
    <w:rsid w:val="0AC10F38"/>
    <w:rsid w:val="0F783207"/>
    <w:rsid w:val="0FDA6D75"/>
    <w:rsid w:val="135C2A18"/>
    <w:rsid w:val="17657E11"/>
    <w:rsid w:val="184243B2"/>
    <w:rsid w:val="191C401F"/>
    <w:rsid w:val="1CEF742A"/>
    <w:rsid w:val="1D0327CF"/>
    <w:rsid w:val="1EBB6528"/>
    <w:rsid w:val="1EE46634"/>
    <w:rsid w:val="222C71A7"/>
    <w:rsid w:val="24CC7E73"/>
    <w:rsid w:val="25C119DF"/>
    <w:rsid w:val="25C36217"/>
    <w:rsid w:val="28E75A13"/>
    <w:rsid w:val="2D39797E"/>
    <w:rsid w:val="2FAD5147"/>
    <w:rsid w:val="32456B21"/>
    <w:rsid w:val="390818C6"/>
    <w:rsid w:val="3AFE7B03"/>
    <w:rsid w:val="3F3A089F"/>
    <w:rsid w:val="3F791767"/>
    <w:rsid w:val="40B14CDF"/>
    <w:rsid w:val="417A37DF"/>
    <w:rsid w:val="43C46774"/>
    <w:rsid w:val="44083808"/>
    <w:rsid w:val="47816B62"/>
    <w:rsid w:val="49FD67BC"/>
    <w:rsid w:val="4A6873F9"/>
    <w:rsid w:val="4AE7513B"/>
    <w:rsid w:val="4AFB026D"/>
    <w:rsid w:val="4B1024D9"/>
    <w:rsid w:val="4DB83818"/>
    <w:rsid w:val="4DCE31F6"/>
    <w:rsid w:val="50B47E13"/>
    <w:rsid w:val="552A2393"/>
    <w:rsid w:val="575B3FCB"/>
    <w:rsid w:val="57BB18D1"/>
    <w:rsid w:val="5A8318F9"/>
    <w:rsid w:val="5CC91C79"/>
    <w:rsid w:val="5D5C7F59"/>
    <w:rsid w:val="5FC20152"/>
    <w:rsid w:val="5FFF268C"/>
    <w:rsid w:val="61B56FEA"/>
    <w:rsid w:val="65231C0C"/>
    <w:rsid w:val="65744A4C"/>
    <w:rsid w:val="68BF4255"/>
    <w:rsid w:val="68D93544"/>
    <w:rsid w:val="6E5056F0"/>
    <w:rsid w:val="6FC75B1F"/>
    <w:rsid w:val="70587444"/>
    <w:rsid w:val="718906D9"/>
    <w:rsid w:val="71F02BFB"/>
    <w:rsid w:val="73652530"/>
    <w:rsid w:val="77112A42"/>
    <w:rsid w:val="7733744E"/>
    <w:rsid w:val="777F5BFE"/>
    <w:rsid w:val="7A5A39E8"/>
    <w:rsid w:val="7C2914F4"/>
    <w:rsid w:val="7D7F4C76"/>
    <w:rsid w:val="7E3961FC"/>
    <w:rsid w:val="7EFA2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customStyle="1" w:styleId="8">
    <w:name w:val="页眉 字符"/>
    <w:basedOn w:val="6"/>
    <w:link w:val="3"/>
    <w:qFormat/>
    <w:uiPriority w:val="0"/>
    <w:rPr>
      <w:rFonts w:asciiTheme="minorHAnsi" w:hAnsiTheme="minorHAnsi" w:eastAsiaTheme="minorEastAsia" w:cstheme="minorBidi"/>
      <w:kern w:val="2"/>
      <w:sz w:val="18"/>
      <w:szCs w:val="18"/>
    </w:rPr>
  </w:style>
  <w:style w:type="character" w:customStyle="1" w:styleId="9">
    <w:name w:val="页脚 字符"/>
    <w:basedOn w:val="6"/>
    <w:link w:val="2"/>
    <w:qFormat/>
    <w:uiPriority w:val="0"/>
    <w:rPr>
      <w:rFonts w:asciiTheme="minorHAnsi" w:hAnsiTheme="minorHAnsi" w:eastAsiaTheme="minorEastAsia" w:cstheme="minorBidi"/>
      <w:kern w:val="2"/>
      <w:sz w:val="18"/>
      <w:szCs w:val="18"/>
    </w:rPr>
  </w:style>
  <w:style w:type="paragraph" w:customStyle="1" w:styleId="10">
    <w:name w:val="修订1"/>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11d19a22-18b6-41cc-918d-f7f7d139b67c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63278811</paraID>
      <start>0</start>
      <end>2</end>
      <status>unmodified</status>
      <modifiedWord/>
      <trackRevisions>false</trackRevisions>
    </reviewItem>
    <reviewItem>
      <errorID>af929ca0-fbf1-4902-aa71-08879eea8e3e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5B02F1EB</paraID>
      <start>0</start>
      <end>2</end>
      <status>unmodified</status>
      <modifiedWord/>
      <trackRevisions>false</trackRevisions>
    </reviewItem>
    <reviewItem>
      <errorID>72f0a681-3bb3-42d8-b586-085ec326877a</errorID>
      <errorWord>(</errorWord>
      <group>L1_Format</group>
      <groupName>格式问题</groupName>
      <ability>L2_HalfPunc_CN</ability>
      <abilityName>全半角问题</abilityName>
      <candidateList>
        <item>（</item>
      </candidateList>
      <explain>文本全半角错误。</explain>
      <paraID>5B02F1EB</paraID>
      <start>41</start>
      <end>42</end>
      <status>unmodified</status>
      <modifiedWord/>
      <trackRevisions>false</trackRevisions>
    </reviewItem>
    <reviewItem>
      <errorID>af9076a6-c9bd-4a7e-85ae-138b0c138fdf</errorID>
      <errorWord>)</errorWord>
      <group>L1_Format</group>
      <groupName>格式问题</groupName>
      <ability>L2_HalfPunc_CN</ability>
      <abilityName>全半角问题</abilityName>
      <candidateList>
        <item>）</item>
      </candidateList>
      <explain>文本全半角错误。</explain>
      <paraID>5B02F1EB</paraID>
      <start>48</start>
      <end>49</end>
      <status>unmodified</status>
      <modifiedWord/>
      <trackRevisions>false</trackRevisions>
    </reviewItem>
    <reviewItem>
      <errorID>7625f82c-463d-4911-805a-f2069ad0a6dd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12F1CDF3</paraID>
      <start>0</start>
      <end>2</end>
      <status>unmodified</status>
      <modifiedWord/>
      <trackRevisions>false</trackRevisions>
    </reviewItem>
    <reviewItem>
      <errorID>f09b85f5-f99c-49c0-a8d1-bd77f6fdf94c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3697C98E</paraID>
      <start>0</start>
      <end>2</end>
      <status>unmodified</status>
      <modifiedWord/>
      <trackRevisions>false</trackRevisions>
    </reviewItem>
    <reviewItem>
      <errorID>4c647417-b677-4a43-8970-8021c46d5b43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2B044018</paraID>
      <start>0</start>
      <end>2</end>
      <status>unmodified</status>
      <modifiedWord/>
      <trackRevisions>false</trackRevisions>
    </reviewItem>
    <reviewItem>
      <errorID>8eb9a51d-5e12-477a-af4d-2231392edc29</errorID>
      <errorWord>肆份</errorWord>
      <group>L1_Word</group>
      <groupName>字词问题</groupName>
      <ability>L2_Typo</ability>
      <abilityName>字词错误</abilityName>
      <candidateList>
        <item>四份</item>
      </candidateList>
      <explain>存在发音相同字词的误用。</explain>
      <paraID>2B044018</paraID>
      <start>31</start>
      <end>33</end>
      <status>unmodified</status>
      <modifiedWord/>
      <trackRevisions>false</trackRevisions>
    </reviewItem>
    <reviewItem>
      <errorID>40fd5d70-2507-4113-9518-d43742fef63d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11247B75</paraID>
      <start>0</start>
      <end>2</end>
      <status>unmodified</status>
      <modifiedWord/>
      <trackRevisions>false</trackRevisions>
    </reviewItem>
    <reviewItem>
      <errorID>f0dad7ef-db43-44d5-9c59-accb4fa43eab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41C91F1E</paraID>
      <start>0</start>
      <end>2</end>
      <status>unmodified</status>
      <modifiedWord/>
      <trackRevisions>false</trackRevisions>
    </reviewItem>
    <reviewItem>
      <errorID>bf4ee63c-6e3a-4b48-8eef-c88d89b3619c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11C38940</paraID>
      <start>0</start>
      <end>2</end>
      <status>unmodified</status>
      <modifiedWord/>
      <trackRevisions>false</trackRevisions>
    </reviewItem>
    <reviewItem>
      <errorID>37ca954b-54ee-4e7e-b1c8-b9cb5b85529d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6C5211F4</paraID>
      <start>0</start>
      <end>2</end>
      <status>unmodified</status>
      <modifiedWord/>
      <trackRevisions>false</trackRevisions>
    </reviewItem>
    <reviewItem>
      <errorID>3e82f1e2-2f4a-4756-b2df-fd6d509bbe6d</errorID>
      <errorWord>(</errorWord>
      <group>L1_Format</group>
      <groupName>格式问题</groupName>
      <ability>L2_HalfPunc_CN</ability>
      <abilityName>全半角问题</abilityName>
      <candidateList>
        <item>（</item>
      </candidateList>
      <explain>文本全半角错误。</explain>
      <paraID>4B9088EE</paraID>
      <start>3</start>
      <end>4</end>
      <status>unmodified</status>
      <modifiedWord/>
      <trackRevisions>false</trackRevisions>
    </reviewItem>
    <reviewItem>
      <errorID>a34cbaa4-da24-44f2-a71e-7939c9950e2e</errorID>
      <errorWord>)</errorWord>
      <group>L1_Format</group>
      <groupName>格式问题</groupName>
      <ability>L2_HalfPunc_CN</ability>
      <abilityName>全半角问题</abilityName>
      <candidateList>
        <item>）</item>
      </candidateList>
      <explain>文本全半角错误。</explain>
      <paraID>4B9088EE</paraID>
      <start>6</start>
      <end>7</end>
      <status>unmodified</status>
      <modifiedWord/>
      <trackRevisions>false</trackRevisions>
    </reviewItem>
    <reviewItem>
      <errorID>d7ef027e-4b30-4e2a-a56c-aa1857837517</errorID>
      <errorWord>(</errorWord>
      <group>L1_Format</group>
      <groupName>格式问题</groupName>
      <ability>L2_HalfPunc_CN</ability>
      <abilityName>全半角问题</abilityName>
      <candidateList>
        <item>（</item>
      </candidateList>
      <explain>文本全半角错误。</explain>
      <paraID>7C8A13BC</paraID>
      <start>13</start>
      <end>14</end>
      <status>unmodified</status>
      <modifiedWord/>
      <trackRevisions>false</trackRevisions>
    </reviewItem>
    <reviewItem>
      <errorID>0eb33887-b72b-46f1-8bc4-37aa9ed185f7</errorID>
      <errorWord>)</errorWord>
      <group>L1_Format</group>
      <groupName>格式问题</groupName>
      <ability>L2_HalfPunc_CN</ability>
      <abilityName>全半角问题</abilityName>
      <candidateList>
        <item>）</item>
      </candidateList>
      <explain>文本全半角错误。</explain>
      <paraID>7C8A13BC</paraID>
      <start>36</start>
      <end>37</end>
      <status>unmodified</status>
      <modifiedWord/>
      <trackRevisions>false</trackRevisions>
    </reviewItem>
    <reviewItem>
      <errorID>9a05a42b-1b47-4e94-bc81-9de2c80524ad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5EB6AE6E</paraID>
      <start>0</start>
      <end>2</end>
      <status>unmodified</status>
      <modifiedWord/>
      <trackRevisions>false</trackRevisions>
    </reviewItem>
    <reviewItem>
      <errorID>2670e8b0-e33c-4846-848f-44822e0a3dab</errorID>
      <errorWord>平</errorWord>
      <group>L1_Word</group>
      <groupName>字词问题</groupName>
      <ability>L2_Typo</ability>
      <abilityName>字词错误</abilityName>
      <candidateList>
        <item>平方</item>
      </candidateList>
      <explain/>
      <paraID>5EB6AE6E</paraID>
      <start>26</start>
      <end>27</end>
      <status>unmodified</status>
      <modifiedWord/>
      <trackRevisions>false</trackRevisions>
    </reviewItem>
    <reviewItem>
      <errorID>84a81ea1-5abb-448b-a8c5-82c87b944dec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22D03F6B</paraID>
      <start>0</start>
      <end>2</end>
      <status>unmodified</status>
      <modifiedWord/>
      <trackRevisions>false</trackRevisions>
    </reviewItem>
    <reviewItem>
      <errorID>ddb1998c-3224-40af-be0e-8c7cfe947040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70EAFD51</paraID>
      <start>0</start>
      <end>2</end>
      <status>unmodified</status>
      <modifiedWord/>
      <trackRevisions>false</trackRevisions>
    </reviewItem>
    <reviewItem>
      <errorID>c4f2e6e4-e203-4731-9152-96cce9a656f8</errorID>
      <errorWord>:</errorWord>
      <group>L1_Format</group>
      <groupName>格式问题</groupName>
      <ability>L2_HalfPunc_CN</ability>
      <abilityName>全半角问题</abilityName>
      <candidateList>
        <item>：</item>
      </candidateList>
      <explain>文本全半角错误。</explain>
      <paraID> 777675D</paraID>
      <start>31</start>
      <end>32</end>
      <status>unmodified</status>
      <modifiedWord/>
      <trackRevisions>false</trackRevisions>
    </reviewItem>
    <reviewItem>
      <errorID>9f6b5d2d-fdc9-48e5-aced-f7ce88143e43</errorID>
      <errorWord>考虑到</errorWord>
      <group>L1_Word</group>
      <groupName>字词问题</groupName>
      <ability>L2_Typo</ability>
      <abilityName>字词错误</abilityName>
      <candidateList>
        <item>考虑</item>
      </candidateList>
      <explain/>
      <paraID> 4FA1B06</paraID>
      <start>58</start>
      <end>61</end>
      <status>unmodified</status>
      <modifiedWord/>
      <trackRevisions>false</trackRevisions>
    </reviewItem>
    <reviewItem>
      <errorID>ac8118e3-3964-4287-8dc0-f7a857b05f8d</errorID>
      <errorWord>法律、法规</errorWord>
      <group>L1_Word</group>
      <groupName>字词问题</groupName>
      <ability>L2_Typo</ability>
      <abilityName>字词错误</abilityName>
      <candidateList>
        <item>法律法规</item>
      </candidateList>
      <explain/>
      <paraID> 4FA1B06</paraID>
      <start>76</start>
      <end>81</end>
      <status>unmodified</status>
      <modifiedWord/>
      <trackRevisions>false</trackRevisions>
    </reviewItem>
    <reviewItem>
      <errorID>7ff00016-e2e6-4000-9504-9cb93722341f</errorID>
      <errorWord>进行实施</errorWord>
      <group>L1_Word</group>
      <groupName>字词问题</groupName>
      <ability>L2_Typo</ability>
      <abilityName>字词错误</abilityName>
      <candidateList>
        <item>实施</item>
      </candidateList>
      <explain/>
      <paraID> 4FA1B06</paraID>
      <start>95</start>
      <end>99</end>
      <status>unmodified</status>
      <modifiedWord/>
      <trackRevisions>false</trackRevisions>
    </reviewItem>
    <reviewItem>
      <errorID>752f270e-499e-4cff-812d-9c8ae3f77c98</errorID>
      <errorWord>期间</errorWord>
      <group>L1_Word</group>
      <groupName>字词问题</groupName>
      <ability>L2_Typo</ability>
      <abilityName>字词错误</abilityName>
      <candidateList>
        <item>其间</item>
      </candidateList>
      <explain/>
      <paraID>1C0AEEBE</paraID>
      <start>14</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ccaf991f-6fe4-4845-8535-f474d3ec6855}">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4</Pages>
  <Words>2170</Words>
  <Characters>2225</Characters>
  <Lines>14</Lines>
  <Paragraphs>3</Paragraphs>
  <TotalTime>10</TotalTime>
  <ScaleCrop>false</ScaleCrop>
  <LinksUpToDate>false</LinksUpToDate>
  <CharactersWithSpaces>2271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2026-01-07T02:25:00Z</dcterms:created>
  <dc:creator>Admin</dc:creator>
  <cp:lastModifiedBy>红雨</cp:lastModifiedBy>
  <dcterms:modified xsi:type="dcterms:W3CDTF">2026-09-01T09:44:58Z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eyJoZGlkIjoiMDU2YTYzZTdmMmFjNGYyNTExMjE0OWJkMzc5MWY2ZjEiLCJ1c2VySWQiOiI3OTc0OTg4NTEifQ==</vt:lpwstr>
  </property>
  <property fmtid="{D5CDD505-2E9C-101B-9397-08002B2CF9AE}" pid="4" name="ICV">
    <vt:lpwstr>A68D2866F0AD4018BF27768F7F1AE11E_13</vt:lpwstr>
  </property>
</Properties>
</file>