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Cs w:val="21"/>
        </w:rPr>
      </w:pPr>
      <w:r>
        <w:rPr>
          <w:rFonts w:hint="eastAsia" w:ascii="方正小标宋_GBK" w:hAnsi="方正小标宋_GBK" w:eastAsia="方正小标宋_GBK" w:cs="方正小标宋_GBK"/>
          <w:b w:val="0"/>
          <w:bCs w:val="0"/>
          <w:sz w:val="36"/>
          <w:szCs w:val="36"/>
          <w:lang w:val="en-US" w:eastAsia="zh-CN"/>
        </w:rPr>
        <w:t>金融与保险学院大金融数据资源库</w:t>
      </w:r>
      <w:r>
        <w:rPr>
          <w:rFonts w:hint="eastAsia" w:ascii="方正小标宋_GBK" w:hAnsi="方正小标宋_GBK" w:eastAsia="方正小标宋_GBK" w:cs="方正小标宋_GBK"/>
          <w:b w:val="0"/>
          <w:bCs w:val="0"/>
          <w:sz w:val="36"/>
          <w:szCs w:val="36"/>
        </w:rPr>
        <w:t>采购项目</w:t>
      </w:r>
      <w:r>
        <w:rPr>
          <w:rFonts w:hint="eastAsia" w:ascii="方正小标宋_GBK" w:hAnsi="方正小标宋_GBK" w:eastAsia="方正小标宋_GBK" w:cs="方正小标宋_GBK"/>
          <w:b w:val="0"/>
          <w:bCs w:val="0"/>
          <w:sz w:val="36"/>
          <w:szCs w:val="36"/>
          <w:lang w:eastAsia="zh-CN"/>
        </w:rPr>
        <w:t>报价</w:t>
      </w:r>
      <w:r>
        <w:rPr>
          <w:rFonts w:hint="eastAsia" w:ascii="方正小标宋_GBK" w:hAnsi="方正小标宋_GBK" w:eastAsia="方正小标宋_GBK" w:cs="方正小标宋_GBK"/>
          <w:b w:val="0"/>
          <w:bCs w:val="0"/>
          <w:sz w:val="36"/>
          <w:szCs w:val="36"/>
        </w:rPr>
        <w:t xml:space="preserve">单                                                                   </w:t>
      </w:r>
      <w:r>
        <w:rPr>
          <w:rFonts w:hint="eastAsia" w:ascii="方正小标宋_GBK" w:hAnsi="方正小标宋_GBK" w:eastAsia="方正小标宋_GBK" w:cs="方正小标宋_GBK"/>
          <w:b w:val="0"/>
          <w:bCs w:val="0"/>
          <w:sz w:val="36"/>
          <w:szCs w:val="36"/>
          <w:lang w:val="en-US" w:eastAsia="zh-CN"/>
        </w:rPr>
        <w:t xml:space="preserve">    </w:t>
      </w:r>
      <w:r>
        <w:rPr>
          <w:rFonts w:hint="eastAsia" w:ascii="微软雅黑" w:hAnsi="微软雅黑" w:eastAsia="微软雅黑"/>
          <w:szCs w:val="21"/>
        </w:rPr>
        <w:t>单位：元</w:t>
      </w:r>
    </w:p>
    <w:tbl>
      <w:tblPr>
        <w:tblStyle w:val="3"/>
        <w:tblW w:w="989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719"/>
        <w:gridCol w:w="6803"/>
        <w:gridCol w:w="426"/>
        <w:gridCol w:w="425"/>
        <w:gridCol w:w="709"/>
        <w:gridCol w:w="8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63" w:hRule="atLeast"/>
          <w:jc w:val="center"/>
        </w:trPr>
        <w:tc>
          <w:tcPr>
            <w:tcW w:w="719" w:type="dxa"/>
            <w:tcBorders>
              <w:top w:val="single" w:color="auto" w:sz="12" w:space="0"/>
              <w:left w:val="single" w:color="auto" w:sz="12" w:space="0"/>
              <w:bottom w:val="single" w:color="auto" w:sz="8" w:space="0"/>
              <w:right w:val="single" w:color="auto" w:sz="8" w:space="0"/>
            </w:tcBorders>
            <w:vAlign w:val="center"/>
          </w:tcPr>
          <w:p>
            <w:pPr>
              <w:jc w:val="center"/>
              <w:rPr>
                <w:rFonts w:ascii="微软雅黑" w:hAnsi="微软雅黑" w:eastAsia="微软雅黑"/>
                <w:b/>
                <w:bCs/>
                <w:sz w:val="24"/>
              </w:rPr>
            </w:pPr>
            <w:r>
              <w:rPr>
                <w:rFonts w:hint="eastAsia" w:ascii="微软雅黑" w:hAnsi="微软雅黑" w:eastAsia="微软雅黑"/>
                <w:b/>
                <w:bCs/>
                <w:sz w:val="24"/>
              </w:rPr>
              <w:t>供货单位</w:t>
            </w:r>
          </w:p>
        </w:tc>
        <w:tc>
          <w:tcPr>
            <w:tcW w:w="6803" w:type="dxa"/>
            <w:tcBorders>
              <w:top w:val="single" w:color="auto" w:sz="12" w:space="0"/>
              <w:left w:val="single" w:color="auto" w:sz="8" w:space="0"/>
              <w:bottom w:val="single" w:color="auto" w:sz="8" w:space="0"/>
              <w:right w:val="single" w:color="auto" w:sz="8" w:space="0"/>
            </w:tcBorders>
            <w:vAlign w:val="center"/>
          </w:tcPr>
          <w:p>
            <w:pPr>
              <w:jc w:val="center"/>
              <w:rPr>
                <w:rFonts w:ascii="微软雅黑" w:hAnsi="微软雅黑" w:eastAsia="微软雅黑"/>
                <w:b/>
                <w:bCs/>
                <w:sz w:val="24"/>
              </w:rPr>
            </w:pPr>
            <w:r>
              <w:rPr>
                <w:rFonts w:hint="eastAsia" w:ascii="微软雅黑" w:hAnsi="微软雅黑" w:eastAsia="微软雅黑"/>
                <w:b/>
                <w:bCs/>
                <w:sz w:val="24"/>
              </w:rPr>
              <w:t>规格参数</w:t>
            </w:r>
          </w:p>
        </w:tc>
        <w:tc>
          <w:tcPr>
            <w:tcW w:w="426" w:type="dxa"/>
            <w:tcBorders>
              <w:top w:val="single" w:color="auto" w:sz="12" w:space="0"/>
              <w:left w:val="single" w:color="auto" w:sz="8" w:space="0"/>
              <w:bottom w:val="single" w:color="auto" w:sz="8" w:space="0"/>
              <w:right w:val="single" w:color="auto" w:sz="8" w:space="0"/>
            </w:tcBorders>
            <w:vAlign w:val="center"/>
          </w:tcPr>
          <w:p>
            <w:pPr>
              <w:jc w:val="center"/>
              <w:rPr>
                <w:rFonts w:ascii="微软雅黑" w:hAnsi="微软雅黑" w:eastAsia="微软雅黑"/>
                <w:b/>
                <w:bCs/>
                <w:sz w:val="24"/>
              </w:rPr>
            </w:pPr>
            <w:r>
              <w:rPr>
                <w:rFonts w:hint="eastAsia" w:ascii="微软雅黑" w:hAnsi="微软雅黑" w:eastAsia="微软雅黑"/>
                <w:b/>
                <w:bCs/>
                <w:sz w:val="24"/>
              </w:rPr>
              <w:t>单位</w:t>
            </w:r>
          </w:p>
        </w:tc>
        <w:tc>
          <w:tcPr>
            <w:tcW w:w="425" w:type="dxa"/>
            <w:tcBorders>
              <w:top w:val="single" w:color="auto" w:sz="12" w:space="0"/>
              <w:left w:val="single" w:color="auto" w:sz="8" w:space="0"/>
              <w:bottom w:val="single" w:color="auto" w:sz="8" w:space="0"/>
              <w:right w:val="single" w:color="auto" w:sz="8" w:space="0"/>
            </w:tcBorders>
            <w:vAlign w:val="center"/>
          </w:tcPr>
          <w:p>
            <w:pPr>
              <w:jc w:val="center"/>
              <w:rPr>
                <w:rFonts w:ascii="微软雅黑" w:hAnsi="微软雅黑" w:eastAsia="微软雅黑"/>
                <w:b/>
                <w:bCs/>
                <w:sz w:val="24"/>
              </w:rPr>
            </w:pPr>
            <w:r>
              <w:rPr>
                <w:rFonts w:hint="eastAsia" w:ascii="微软雅黑" w:hAnsi="微软雅黑" w:eastAsia="微软雅黑"/>
                <w:b/>
                <w:bCs/>
                <w:sz w:val="24"/>
              </w:rPr>
              <w:t>数量</w:t>
            </w:r>
          </w:p>
        </w:tc>
        <w:tc>
          <w:tcPr>
            <w:tcW w:w="709" w:type="dxa"/>
            <w:tcBorders>
              <w:top w:val="single" w:color="auto" w:sz="12" w:space="0"/>
              <w:left w:val="single" w:color="auto" w:sz="8" w:space="0"/>
              <w:bottom w:val="single" w:color="auto" w:sz="8" w:space="0"/>
              <w:right w:val="single" w:color="auto" w:sz="8" w:space="0"/>
            </w:tcBorders>
            <w:vAlign w:val="center"/>
          </w:tcPr>
          <w:p>
            <w:pPr>
              <w:jc w:val="center"/>
              <w:rPr>
                <w:rFonts w:ascii="微软雅黑" w:hAnsi="微软雅黑" w:eastAsia="微软雅黑"/>
                <w:b/>
                <w:bCs/>
                <w:sz w:val="24"/>
              </w:rPr>
            </w:pPr>
            <w:r>
              <w:rPr>
                <w:rFonts w:hint="eastAsia" w:ascii="微软雅黑" w:hAnsi="微软雅黑" w:eastAsia="微软雅黑"/>
                <w:b/>
                <w:bCs/>
                <w:sz w:val="24"/>
              </w:rPr>
              <w:t>单价</w:t>
            </w:r>
          </w:p>
        </w:tc>
        <w:tc>
          <w:tcPr>
            <w:tcW w:w="811" w:type="dxa"/>
            <w:tcBorders>
              <w:top w:val="single" w:color="auto" w:sz="12" w:space="0"/>
              <w:left w:val="single" w:color="auto" w:sz="8" w:space="0"/>
              <w:bottom w:val="single" w:color="auto" w:sz="8" w:space="0"/>
              <w:right w:val="single" w:color="auto" w:sz="12" w:space="0"/>
            </w:tcBorders>
            <w:vAlign w:val="center"/>
          </w:tcPr>
          <w:p>
            <w:pPr>
              <w:jc w:val="center"/>
              <w:rPr>
                <w:rFonts w:ascii="微软雅黑" w:hAnsi="微软雅黑" w:eastAsia="微软雅黑"/>
                <w:b/>
                <w:bCs/>
                <w:sz w:val="24"/>
              </w:rPr>
            </w:pPr>
            <w:r>
              <w:rPr>
                <w:rFonts w:hint="eastAsia" w:ascii="微软雅黑" w:hAnsi="微软雅黑" w:eastAsia="微软雅黑"/>
                <w:b/>
                <w:bCs/>
                <w:sz w:val="24"/>
              </w:rPr>
              <w:t>金额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719" w:type="dxa"/>
            <w:tcBorders>
              <w:top w:val="single" w:color="auto" w:sz="8" w:space="0"/>
              <w:left w:val="single" w:color="auto" w:sz="12" w:space="0"/>
              <w:bottom w:val="single" w:color="auto" w:sz="8" w:space="0"/>
              <w:right w:val="single" w:color="auto" w:sz="8" w:space="0"/>
            </w:tcBorders>
            <w:vAlign w:val="center"/>
          </w:tcPr>
          <w:p>
            <w:pPr>
              <w:rPr>
                <w:rFonts w:ascii="微软雅黑" w:hAnsi="微软雅黑" w:eastAsia="微软雅黑"/>
                <w:color w:val="000000"/>
                <w:sz w:val="22"/>
              </w:rPr>
            </w:pPr>
          </w:p>
        </w:tc>
        <w:tc>
          <w:tcPr>
            <w:tcW w:w="6803" w:type="dxa"/>
            <w:tcBorders>
              <w:top w:val="single" w:color="auto" w:sz="8" w:space="0"/>
              <w:left w:val="single" w:color="auto" w:sz="8" w:space="0"/>
              <w:bottom w:val="single" w:color="auto" w:sz="8" w:space="0"/>
              <w:right w:val="single" w:color="auto" w:sz="8" w:space="0"/>
            </w:tcBorders>
            <w:vAlign w:val="center"/>
          </w:tcPr>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内容</w:t>
            </w:r>
            <w:r>
              <w:rPr>
                <w:rFonts w:hint="eastAsia" w:ascii="微软雅黑" w:hAnsi="微软雅黑" w:eastAsia="微软雅黑" w:cs="宋体"/>
                <w:sz w:val="24"/>
                <w:szCs w:val="24"/>
              </w:rPr>
              <w:tab/>
            </w:r>
            <w:r>
              <w:rPr>
                <w:rFonts w:hint="eastAsia" w:ascii="微软雅黑" w:hAnsi="微软雅黑" w:eastAsia="微软雅黑" w:cs="宋体"/>
                <w:sz w:val="24"/>
                <w:szCs w:val="24"/>
              </w:rPr>
              <w:t>具体要求</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股票</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综合屏</w:t>
            </w:r>
            <w:r>
              <w:rPr>
                <w:rFonts w:hint="eastAsia" w:ascii="微软雅黑" w:hAnsi="微软雅黑" w:eastAsia="微软雅黑" w:cs="宋体"/>
                <w:sz w:val="24"/>
                <w:szCs w:val="24"/>
              </w:rPr>
              <w:tab/>
            </w:r>
            <w:r>
              <w:rPr>
                <w:rFonts w:hint="eastAsia" w:ascii="微软雅黑" w:hAnsi="微软雅黑" w:eastAsia="微软雅黑" w:cs="宋体"/>
                <w:sz w:val="24"/>
                <w:szCs w:val="24"/>
              </w:rPr>
              <w:t>界面友好</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 实时行情</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提供合法接入的上海证券交易所、深圳证券交易所、香港交易所、台湾证券交易所、新加坡交易所、LSE、NYSE、NASDA、AMEX等所有上市股票以及海外上市中资股超过20000只股票的实时行情。</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行情图加工导出</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提供专业的图形导出工具。</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股票资料</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提供超过12大类96个分项的资料查询。</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 多维数据</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1、具备数据浏览器、条件选股、行情序列、财务纵比和Excel插件；</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2、其指标体系包括券商评级预测数据在内的超过23大类3000多指标项，所有指标需备有指标帮助对其作出详细解释说明，数据提取后具备统计功能；</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3、可将N家公司进行指标的图形比较并导出；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4、条件选股界面友好，操作简单；</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5、Excel插件将所有指标纳入Excel指标体系，使用方便快捷；</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板块分析</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1、系统板块可提供10大类数千板块，有5种行业分类标准；</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2、提供板块数据浏览器、板块财务纵比和板块行情序列；</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 3、板块数据浏览器可提供包括板块评级预测在内的8大类270余个指标；</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专题统计报表</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 1、可提供超过12大类共400多张统计表；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2、有详尽的机构研究和评级预测统计；</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*估值定价</w:t>
            </w:r>
            <w:r>
              <w:rPr>
                <w:rFonts w:hint="eastAsia" w:ascii="微软雅黑" w:hAnsi="微软雅黑" w:eastAsia="微软雅黑" w:cs="宋体"/>
                <w:sz w:val="24"/>
                <w:szCs w:val="24"/>
              </w:rPr>
              <w:tab/>
            </w:r>
            <w:r>
              <w:rPr>
                <w:rFonts w:hint="eastAsia" w:ascii="微软雅黑" w:hAnsi="微软雅黑" w:eastAsia="微软雅黑" w:cs="宋体"/>
                <w:sz w:val="24"/>
                <w:szCs w:val="24"/>
              </w:rPr>
              <w:t>含BETA、WACC、DDM和权证等计算器；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*大产权交易平台</w:t>
            </w:r>
            <w:r>
              <w:rPr>
                <w:rFonts w:hint="eastAsia" w:ascii="微软雅黑" w:hAnsi="微软雅黑" w:eastAsia="微软雅黑" w:cs="宋体"/>
                <w:sz w:val="24"/>
                <w:szCs w:val="24"/>
              </w:rPr>
              <w:tab/>
            </w:r>
            <w:r>
              <w:rPr>
                <w:rFonts w:hint="eastAsia" w:ascii="微软雅黑" w:hAnsi="微软雅黑" w:eastAsia="微软雅黑" w:cs="宋体"/>
                <w:sz w:val="24"/>
                <w:szCs w:val="24"/>
              </w:rPr>
              <w:t xml:space="preserve">提供北京，上海，重庆，无锡四大产权交易平台，可以查看各产权交易所最新的挂牌项目信息；提供了公司并购事件和私募股权融资事件等报表，整合了最新的项目所属行业，投融资方详情，金额和股权比例等； </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*中国企业库</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1.提供 PE/VC数据：包括最新投融资事件查询、投资机构的情况查询、PE上市退出、PE并购退出五大方面的统计资讯；提供被投企业的详细资料及历史被投情况；</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2.提供国内超过50万家非上市企业财务数据等基本资料；</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3.提供中国企业排行榜详尽数据；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4.提供沪深港台美8000多家上市公司深度资料</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港股</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综合屏</w:t>
            </w:r>
            <w:r>
              <w:rPr>
                <w:rFonts w:hint="eastAsia" w:ascii="微软雅黑" w:hAnsi="微软雅黑" w:eastAsia="微软雅黑" w:cs="宋体"/>
                <w:sz w:val="24"/>
                <w:szCs w:val="24"/>
              </w:rPr>
              <w:tab/>
            </w:r>
            <w:r>
              <w:rPr>
                <w:rFonts w:hint="eastAsia" w:ascii="微软雅黑" w:hAnsi="微软雅黑" w:eastAsia="微软雅黑" w:cs="宋体"/>
                <w:sz w:val="24"/>
                <w:szCs w:val="24"/>
              </w:rPr>
              <w:t>界面友好</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*实时行情</w:t>
            </w:r>
            <w:r>
              <w:rPr>
                <w:rFonts w:hint="eastAsia" w:ascii="微软雅黑" w:hAnsi="微软雅黑" w:eastAsia="微软雅黑" w:cs="宋体"/>
                <w:sz w:val="24"/>
                <w:szCs w:val="24"/>
              </w:rPr>
              <w:tab/>
            </w:r>
            <w:r>
              <w:rPr>
                <w:rFonts w:hint="eastAsia" w:ascii="微软雅黑" w:hAnsi="微软雅黑" w:eastAsia="微软雅黑" w:cs="宋体"/>
                <w:sz w:val="24"/>
                <w:szCs w:val="24"/>
              </w:rPr>
              <w:t>1、实时行情结合港股新闻资讯；</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2、AH股票实时对价显示；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3、港股认股权证指南；</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港股资料</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提供包括详细财务数据的超过18类统计资料；</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新闻及报告</w:t>
            </w:r>
            <w:r>
              <w:rPr>
                <w:rFonts w:hint="eastAsia" w:ascii="微软雅黑" w:hAnsi="微软雅黑" w:eastAsia="微软雅黑" w:cs="宋体"/>
                <w:sz w:val="24"/>
                <w:szCs w:val="24"/>
              </w:rPr>
              <w:tab/>
            </w:r>
            <w:r>
              <w:rPr>
                <w:rFonts w:hint="eastAsia" w:ascii="微软雅黑" w:hAnsi="微软雅黑" w:eastAsia="微软雅黑" w:cs="宋体"/>
                <w:sz w:val="24"/>
                <w:szCs w:val="24"/>
              </w:rPr>
              <w:t>专业的经济通港股资讯和丰富的港股研究报告；</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统计报表</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提供超过3大类20多张统计表；</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rPr>
              <w:t>*</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IR管理</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行情报价</w:t>
            </w:r>
            <w:r>
              <w:rPr>
                <w:rFonts w:hint="eastAsia" w:ascii="微软雅黑" w:hAnsi="微软雅黑" w:eastAsia="微软雅黑" w:cs="宋体"/>
                <w:sz w:val="24"/>
                <w:szCs w:val="24"/>
              </w:rPr>
              <w:tab/>
            </w:r>
            <w:r>
              <w:rPr>
                <w:rFonts w:hint="eastAsia" w:ascii="微软雅黑" w:hAnsi="微软雅黑" w:eastAsia="微软雅黑" w:cs="宋体"/>
                <w:sz w:val="24"/>
                <w:szCs w:val="24"/>
              </w:rPr>
              <w:t>各类综合屏、资本市场动态；</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企业监控</w:t>
            </w:r>
            <w:r>
              <w:rPr>
                <w:rFonts w:hint="eastAsia" w:ascii="微软雅黑" w:hAnsi="微软雅黑" w:eastAsia="微软雅黑" w:cs="宋体"/>
                <w:sz w:val="24"/>
                <w:szCs w:val="24"/>
              </w:rPr>
              <w:tab/>
            </w:r>
            <w:r>
              <w:rPr>
                <w:rFonts w:hint="eastAsia" w:ascii="微软雅黑" w:hAnsi="微软雅黑" w:eastAsia="微软雅黑" w:cs="宋体"/>
                <w:sz w:val="24"/>
                <w:szCs w:val="24"/>
              </w:rPr>
              <w:t>市值监控、舆情监测、机构跟踪、股东进出分析</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资本运作</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1、提供企业再融资，丰富完整的资本市场信息及统计资料。</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2、提供公司并购事件，识别和评估购并及合作机会。</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企业研究</w:t>
            </w:r>
            <w:r>
              <w:rPr>
                <w:rFonts w:hint="eastAsia" w:ascii="微软雅黑" w:hAnsi="微软雅黑" w:eastAsia="微软雅黑" w:cs="宋体"/>
                <w:sz w:val="24"/>
                <w:szCs w:val="24"/>
              </w:rPr>
              <w:tab/>
            </w:r>
            <w:r>
              <w:rPr>
                <w:rFonts w:hint="eastAsia" w:ascii="微软雅黑" w:hAnsi="微软雅黑" w:eastAsia="微软雅黑" w:cs="宋体"/>
                <w:sz w:val="24"/>
                <w:szCs w:val="24"/>
              </w:rPr>
              <w:t>汇总全市场公司的定期公告的重大事项研究。</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战略规划</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1、宏观、国家、地区、海外及各行业经济数据。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2、行业薪酬统计、股权激励一览。</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债券</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*银行间债券市场</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1、按照现券、回购和拆借分类；</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2、同界面显示今日及历史报价和成交信息。包括银行间债券市场、上海证券交易所、深证证券交易所等所有交易债券，超过1200个债券的行情报价，总覆盖债券代码数接近2万。</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3、每笔报价上显示交易员联系方式以及单独的交易员列表查询；</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4、实时计算每个债券的到期收益率和持有期收益率；</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信息速览</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1、债券市场所有相关利率的及时数据，以及历史数据走势；</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2、债券公告和研究报告；</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3、重要经济指标的速览；</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*单债券资料</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1、债券分析可以实时换算久期、凸性和收益率等指标；</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2、企业债、短融和金融债还提供发债公司的财务数据和财务分析报表；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3、债券深度资料，包括财务数据、信用分析等数据。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*多债券</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数据</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1、超过16类指标体系囊括债券所有相关数据；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2、提供数据提取后的进一步统计功能；</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3、支持部分数据导出和超级连接到单只债券行情功能</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专题统计报表</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提供超过7大项24类260多张统计表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债券分析</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1.可从定价、风险、比较、利率、组合等11大类进行详尽的债券分析</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2.拥有债券6大类计算器，计算结构精准，与本币系统相同。期限结构和利率走势数据齐全</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基金</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行情报价</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详细的开放式和封闭式基金行情和净值，平均年化收益率和阶段收益率指标排行，包含开放式基金、封闭式基金、ETF、LOF、QDII等在内超过700多只中国公募基金的行情及净值，超过1200只私募基金的净值资料。按照基金投资风格、概念、状态、管理公司、托管人、代销机构等各种的方式分类。</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基金资料</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详细的基金资料；包括净值、份额、分红、资产配置、行业分布、持股明细等数据，管理基金数量、管理资产规模、历任基金经理、公司股东、财务分析等；可直接导出生成完整的图文并茂的报告。图形量化的基金比较功能。</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基金分析</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*提供总计不低于200多张报表；统计结果准确，成为市场标准。</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基金评级</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*提供晨星、理柏、银河等基金评级标准和市场综合评级，基金业绩评价，Sharpe、Treynor、Jensen等多种风险收益指标估值。提供5家以上机构发布的评级数据。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其他理财产品</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提供多种理财产品数据，包括券商资管、阳光私募、银行理财、信托、保险等产品。</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期货</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*股指期货行情</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1、股指期货综合屏；</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2、股指期货估值计算器；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*商品期货行情</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提供6类24个商品期货合法接入行情；包括国内5大交易所：上海、郑州、大连、上海黄金和渤海黄金；海外7大交易所：LME、CME、CBOT、NYMEX、COMEX、IPE、NYBOT实时行情。</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信息速览</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1、期货新闻；</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 xml:space="preserve">2、期货研究报告； </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*多维数据</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提供期货详细资料；包括图形化的成交持仓比例、多单持仓比例、空持仓比例；套利分析、供需平衡分析、供给分析、需求分析、库存分析、仓单日报、进出口、相关商品价格等。</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*提供场外期权交易平台</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提供场外期权交易平台</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专题统计报表</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提供股指和商品期货的统计表；大宗商品数据库，包括黄金、玉米等40个以上品种及上下游数据。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指数</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*实时行情</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提供中港台各个交易所系列指数，以及中证、中信标普、新华富时、巨潮、道琼斯、中信、申万、WIND、S&amp;P、FTSE、MSCI和基金债券等系列指数</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指数资料</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所有指数都有详细资料,包括概况、基本信息、成份数据（成份及权重、进出记录、表现排名、行业分布）、成份比较、行情统计、回报统计、波动率统计、盈利预测、动态估值、现金分红统计、市场表现比较等。</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自定义</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可以自定义指数，支持动态板块；</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指数分析</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提供时点和时间序列的指数分析；</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外汇</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历史趋势</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全球重要汇率品种的历史走势。</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*行情</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全面提供中国外汇交易中心全部外汇品种的即期、远期、掉期等全部实时行情, LIBOR指标。提供国际外汇、国际交叉汇率、外汇期货3大综合屏。</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*多角度展示</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提供多角度外汇行情展示，独特的外汇市场透析，满足专业的外汇投资需求。</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行情资讯</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按货币市场将新闻分为8大类，方便阅读和查看。</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资产管理</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支持股票、债券、基金、权证、现金等品种的组合构建，实时监控资产变动。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*支持股票、基金、债券（银行间和交易所）、回购、国债期货、股指期货、股票期权、融资融券模拟投资；</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*支持现存各类基金交易模式（场外（申购、赎回和转换）、二级市场交易（封闭式、ETF、LOF和分级）、场内（申购、赎回和转托管）、支持套利交易（LOF、ETF分级基金、定期定额定投和智能定投；</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*支持二级市场交易佣金率设置以及基金申赎等场外交易费用设置，支持二级市场交易费用自动处理；</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支持分红、派息、送股、结息等权益自动处理；</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资金管理支持转入、转出、资金记录导入、导出；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交易管理：支持组合导入/导出、交易记录修订、交易记录导入/导出；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*绩效和风控分析：支持实时跟踪、周期回报统计、自定义复核基准（复合指数）、资产配置分析、业绩归因、贝塔值、最大回撤、最大涨幅、风险调整收益、波动率、VAR、情景分析等常见功能。</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宏观行业</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*宏观行业数据浏览器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1. 中国宏观数据：涵盖国民经济核算、工业、价格指数等共16个专项40万多条指标，范围覆盖31个省、300个地级市、近400个县级市。</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2.行业经济数据：涵盖三大产业共21个大类行业15万多个指标，包括价格、产量、销量、进出口量、产能、上市公司业务数据等。</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3.国家月度统计数据；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4.海外经济数据；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1）300多个数据源近45万多条全球宏观经济指标，200多个国家及地区深度数据。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提供17大类行业的价格、产销量等重要指标；数据分类精细、指标详细。譬如电力行业，除了用电量、发电量，还有水库站、发电设备、耗用、输送、电价、世界供给产销等指标，并可以模糊查找，使用非常便捷</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提供海外180个国家和地区的重要经济指标，其中包括东盟国家、美国、日本、欧盟国家等三十国家或地区的重要国家经济数据，包含国名经济核算、国际收支、就业、价格、金融、贸易、房地产等常见20大类100多个指标，每个指标数据长度不低于5年。</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4）全部提供图形和图形叠加以及导出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*宏观数据专题报表</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1、丰富的事件型宏观数据可提供超过53张统计表；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2、全部提供图形和图形叠加以及导出；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宏观预测</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提供40多家宏观数据的一致预期数据，及40多家机构的预测明细数据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*行业数据专题报表</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丰富的事件型行业数据可提供29个行业200多张统计表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*公共管理</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提供2014年至今查处违反八项规定精神问题70张报表详细结构数据，细分到乡科级。</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新闻与研究报告</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财经新闻</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*覆盖3000个信息源，涉及股票、债券、期货、外汇市场、私募股权等方面，每天更新超过20000篇的24小时滚动新闻。</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每日跟踪3000多家上市公司、400个行业信息网站、80个财经媒体的动态情报</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法律法规</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*完整收集来自国务院、中国人民银行、财政部、证监会、交易所等来源的法律法规大全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研究报告</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*合法提国内近五十家证券研究或独立行业研究机构的正规的最新的完整版研究报告，并支持下载，包括日、周、月报；</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量化交易</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R插件</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1.功能完善：支持WINDOWS32位/64位操作系统，支持R2.15.0以上各个R环境。</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2.使用便捷：可获取基本面、行情、技术指标历史事件序列数据、盘中分钟数据以及Tick盘口数据，可以订阅实时行情，全面支持业务需求。</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*3.指标丰富：涵盖市场行情、技术指标、公司基本面、证券估值、融资融券、财务及其衍生指标等。</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4.实时沟通：加入中国量化交易群和R交流群，与整个金融圈的朋友一起探讨量化研究的各种问题，了解最新前沿的技术实现。</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Matlab插件</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1.支持32位/64位Matlab。</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2.使用方便，支持向导提取数据。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*3.接口齐全：可以获取基本面、行情以及技术指标时间序列数据，日内分钟数据，Tick盘口数据，可以订阅实时行情，全面支持数据业务需求。</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4.提供全国性的量化交流社区，参与人次不低于1万人。</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*支持VBA、C++、C#、Python接口</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财务预测与估值系统</w:t>
            </w:r>
            <w:r>
              <w:rPr>
                <w:rFonts w:hint="eastAsia" w:ascii="微软雅黑" w:hAnsi="微软雅黑" w:eastAsia="微软雅黑" w:cs="宋体"/>
                <w:sz w:val="24"/>
                <w:szCs w:val="24"/>
              </w:rPr>
              <w:tab/>
            </w:r>
            <w:r>
              <w:rPr>
                <w:rFonts w:hint="eastAsia" w:ascii="微软雅黑" w:hAnsi="微软雅黑" w:eastAsia="微软雅黑" w:cs="宋体"/>
                <w:sz w:val="24"/>
                <w:szCs w:val="24"/>
              </w:rPr>
              <w:t>*基于上市公司已披露的历史财务数据好用户对公司“经营效率”和“财务政策”的预期，自动完成目标公司未来若干年资产负债表（BS）、利润表（IS）和现金流量表（CS）的计算，并对预测报表做财务分析和合理性检验，根据预测报表分别采用FCFF、FCFE、DDM、EVA、超额利润等估值方式计算企业价值。</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*自主学习课程录像</w:t>
            </w:r>
            <w:r>
              <w:rPr>
                <w:rFonts w:hint="eastAsia" w:ascii="微软雅黑" w:hAnsi="微软雅黑" w:eastAsia="微软雅黑" w:cs="宋体"/>
                <w:sz w:val="24"/>
                <w:szCs w:val="24"/>
              </w:rPr>
              <w:tab/>
            </w:r>
            <w:r>
              <w:rPr>
                <w:rFonts w:hint="eastAsia" w:ascii="微软雅黑" w:hAnsi="微软雅黑" w:eastAsia="微软雅黑" w:cs="宋体"/>
                <w:sz w:val="24"/>
                <w:szCs w:val="24"/>
              </w:rPr>
              <w:t>*公开课</w:t>
            </w:r>
            <w:r>
              <w:rPr>
                <w:rFonts w:hint="eastAsia" w:ascii="微软雅黑" w:hAnsi="微软雅黑" w:eastAsia="微软雅黑" w:cs="宋体"/>
                <w:sz w:val="24"/>
                <w:szCs w:val="24"/>
              </w:rPr>
              <w:tab/>
            </w:r>
            <w:r>
              <w:rPr>
                <w:rFonts w:hint="eastAsia" w:ascii="微软雅黑" w:hAnsi="微软雅黑" w:eastAsia="微软雅黑" w:cs="宋体"/>
                <w:sz w:val="24"/>
                <w:szCs w:val="24"/>
              </w:rPr>
              <w:t>包括金融课程，软件基本使用，各报表、工具应用教程，总时长不低于120分钟。</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*在线课程</w:t>
            </w:r>
            <w:r>
              <w:rPr>
                <w:rFonts w:hint="eastAsia" w:ascii="微软雅黑" w:hAnsi="微软雅黑" w:eastAsia="微软雅黑" w:cs="宋体"/>
                <w:sz w:val="24"/>
                <w:szCs w:val="24"/>
              </w:rPr>
              <w:tab/>
            </w:r>
            <w:r>
              <w:rPr>
                <w:rFonts w:hint="eastAsia" w:ascii="微软雅黑" w:hAnsi="微软雅黑" w:eastAsia="微软雅黑" w:cs="宋体"/>
                <w:sz w:val="24"/>
                <w:szCs w:val="24"/>
              </w:rPr>
              <w:t>软件内自带金融课程，包括软件基本使用，各报表、工具应用教程。总时长不低于150分钟。</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*认证考试</w:t>
            </w:r>
            <w:r>
              <w:rPr>
                <w:rFonts w:hint="eastAsia" w:ascii="微软雅黑" w:hAnsi="微软雅黑" w:eastAsia="微软雅黑" w:cs="宋体"/>
                <w:sz w:val="24"/>
                <w:szCs w:val="24"/>
              </w:rPr>
              <w:tab/>
            </w:r>
            <w:r>
              <w:rPr>
                <w:rFonts w:hint="eastAsia" w:ascii="微软雅黑" w:hAnsi="微软雅黑" w:eastAsia="微软雅黑" w:cs="宋体"/>
                <w:sz w:val="24"/>
                <w:szCs w:val="24"/>
              </w:rPr>
              <w:t>提供系统使用、基金分析、债券分析、股票分析、宏观与行业分析的认证考试模块，包括总数不低于200条考试试题。</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*公开课</w:t>
            </w:r>
            <w:r>
              <w:rPr>
                <w:rFonts w:hint="eastAsia" w:ascii="微软雅黑" w:hAnsi="微软雅黑" w:eastAsia="微软雅黑" w:cs="宋体"/>
                <w:sz w:val="24"/>
                <w:szCs w:val="24"/>
              </w:rPr>
              <w:tab/>
            </w:r>
            <w:r>
              <w:rPr>
                <w:rFonts w:hint="eastAsia" w:ascii="微软雅黑" w:hAnsi="微软雅黑" w:eastAsia="微软雅黑" w:cs="宋体"/>
                <w:sz w:val="24"/>
                <w:szCs w:val="24"/>
              </w:rPr>
              <w:t>平均每月提供在北京或上海或深圳举行两次以上公开课。</w:t>
            </w:r>
          </w:p>
          <w:p>
            <w:pPr>
              <w:widowControl/>
              <w:ind w:firstLine="240" w:firstLineChars="1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售后服务</w:t>
            </w:r>
            <w:r>
              <w:rPr>
                <w:rFonts w:hint="eastAsia" w:ascii="微软雅黑" w:hAnsi="微软雅黑" w:eastAsia="微软雅黑" w:cs="宋体"/>
                <w:sz w:val="24"/>
                <w:szCs w:val="24"/>
                <w:lang w:eastAsia="zh-CN"/>
              </w:rPr>
              <w:t>】</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*系统升级</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1.能够快速响应金融市场的变化，进行动态升级；采用最方便的在线方式升级方式； 平均每年更新升级不低于40次，须提供过去两年升级记录。</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2.提供windows/苹果mac两种系统的版本，其中windows支持win10。</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ab/>
            </w:r>
            <w:r>
              <w:rPr>
                <w:rFonts w:hint="eastAsia" w:ascii="微软雅黑" w:hAnsi="微软雅黑" w:eastAsia="微软雅黑" w:cs="宋体"/>
                <w:sz w:val="24"/>
                <w:szCs w:val="24"/>
              </w:rPr>
              <w:t>*服务、培训</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1、对正式合作客户配备专属客户经理，定期上门按照服务承诺提供服务，提供在线人工客服。</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2、快速通道可以直接联络总部的专门客户服务部，及时处理客户的各种问题和要求；</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3、24小时服务热线支持；</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4、定期的集体培训；</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5、产品中的重要模块附带视频培训录象；</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6、服务期限三年，包括软件许可、数据更新，培训费、上门服务费用。</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其它特色、及增值服务说明</w:t>
            </w:r>
            <w:r>
              <w:rPr>
                <w:rFonts w:hint="eastAsia" w:ascii="微软雅黑" w:hAnsi="微软雅黑" w:eastAsia="微软雅黑" w:cs="宋体"/>
                <w:sz w:val="24"/>
                <w:szCs w:val="24"/>
                <w:lang w:eastAsia="zh-CN"/>
              </w:rPr>
              <w:t>】</w:t>
            </w:r>
            <w:r>
              <w:rPr>
                <w:rFonts w:hint="eastAsia" w:ascii="微软雅黑" w:hAnsi="微软雅黑" w:eastAsia="微软雅黑" w:cs="宋体"/>
                <w:sz w:val="24"/>
                <w:szCs w:val="24"/>
              </w:rPr>
              <w:tab/>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*1、国际标准的EXCEL插件工具，涵盖所有品种；</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*2、有超过2000家正式机构客户资源，提供即时交流工具交流</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3、可与用户原有的研究报告管理系统智能链接；</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4、提供场外期权数据</w:t>
            </w:r>
          </w:p>
          <w:p>
            <w:pPr>
              <w:widowControl/>
              <w:ind w:firstLine="240" w:firstLineChars="100"/>
              <w:jc w:val="left"/>
              <w:rPr>
                <w:rFonts w:hint="eastAsia" w:ascii="微软雅黑" w:hAnsi="微软雅黑" w:eastAsia="微软雅黑" w:cs="宋体"/>
                <w:sz w:val="24"/>
                <w:szCs w:val="24"/>
              </w:rPr>
            </w:pPr>
            <w:r>
              <w:rPr>
                <w:rFonts w:hint="eastAsia" w:ascii="微软雅黑" w:hAnsi="微软雅黑" w:eastAsia="微软雅黑" w:cs="宋体"/>
                <w:sz w:val="24"/>
                <w:szCs w:val="24"/>
              </w:rPr>
              <w:t>*5、定期举办的培训会以及每年几十场与核心金融机构合办的交流会给客户提供丰富的交流平台；</w:t>
            </w:r>
          </w:p>
          <w:p>
            <w:pPr>
              <w:widowControl/>
              <w:ind w:firstLine="240" w:firstLineChars="100"/>
              <w:jc w:val="left"/>
              <w:rPr>
                <w:rFonts w:ascii="微软雅黑" w:hAnsi="微软雅黑" w:eastAsia="微软雅黑" w:cs="宋体"/>
                <w:sz w:val="24"/>
                <w:szCs w:val="24"/>
              </w:rPr>
            </w:pPr>
            <w:r>
              <w:rPr>
                <w:rFonts w:hint="eastAsia" w:ascii="微软雅黑" w:hAnsi="微软雅黑" w:eastAsia="微软雅黑" w:cs="宋体"/>
                <w:sz w:val="24"/>
                <w:szCs w:val="24"/>
              </w:rPr>
              <w:t>*6.提供线上视频会议发布会议，参加会议平台。</w:t>
            </w:r>
          </w:p>
        </w:tc>
        <w:tc>
          <w:tcPr>
            <w:tcW w:w="426"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425" w:type="dxa"/>
            <w:tcBorders>
              <w:top w:val="single" w:color="auto" w:sz="8" w:space="0"/>
              <w:left w:val="single" w:color="auto" w:sz="8" w:space="0"/>
              <w:bottom w:val="single" w:color="auto" w:sz="8" w:space="0"/>
              <w:right w:val="single" w:color="auto" w:sz="8" w:space="0"/>
            </w:tcBorders>
            <w:vAlign w:val="center"/>
          </w:tcPr>
          <w:p>
            <w:pPr>
              <w:widowControl/>
              <w:jc w:val="center"/>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c>
          <w:tcPr>
            <w:tcW w:w="709" w:type="dxa"/>
            <w:tcBorders>
              <w:top w:val="single" w:color="auto" w:sz="8" w:space="0"/>
              <w:left w:val="single" w:color="auto" w:sz="8" w:space="0"/>
              <w:bottom w:val="single" w:color="auto" w:sz="8" w:space="0"/>
              <w:right w:val="single" w:color="auto" w:sz="8" w:space="0"/>
            </w:tcBorders>
            <w:vAlign w:val="center"/>
          </w:tcPr>
          <w:p>
            <w:pPr>
              <w:widowControl/>
              <w:jc w:val="center"/>
              <w:textAlignment w:val="center"/>
              <w:rPr>
                <w:rFonts w:ascii="微软雅黑" w:hAnsi="微软雅黑" w:eastAsia="微软雅黑"/>
                <w:color w:val="000000"/>
                <w:sz w:val="22"/>
              </w:rPr>
            </w:pPr>
          </w:p>
        </w:tc>
        <w:tc>
          <w:tcPr>
            <w:tcW w:w="811" w:type="dxa"/>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微软雅黑" w:hAnsi="微软雅黑" w:eastAsia="微软雅黑"/>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719" w:type="dxa"/>
            <w:tcBorders>
              <w:top w:val="single" w:color="auto" w:sz="8" w:space="0"/>
              <w:left w:val="single" w:color="auto" w:sz="12" w:space="0"/>
              <w:bottom w:val="single" w:color="auto" w:sz="8" w:space="0"/>
              <w:right w:val="single" w:color="auto" w:sz="8" w:space="0"/>
            </w:tcBorders>
            <w:vAlign w:val="center"/>
          </w:tcPr>
          <w:p>
            <w:pPr>
              <w:jc w:val="center"/>
              <w:rPr>
                <w:rFonts w:ascii="微软雅黑" w:hAnsi="微软雅黑" w:eastAsia="微软雅黑"/>
                <w:color w:val="000000"/>
                <w:sz w:val="22"/>
              </w:rPr>
            </w:pPr>
            <w:r>
              <w:rPr>
                <w:rFonts w:hint="eastAsia" w:ascii="微软雅黑" w:hAnsi="微软雅黑" w:eastAsia="微软雅黑"/>
                <w:color w:val="000000"/>
                <w:sz w:val="22"/>
              </w:rPr>
              <w:t>合计</w:t>
            </w:r>
          </w:p>
        </w:tc>
        <w:tc>
          <w:tcPr>
            <w:tcW w:w="9174" w:type="dxa"/>
            <w:gridSpan w:val="5"/>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微软雅黑" w:hAnsi="微软雅黑" w:eastAsia="微软雅黑"/>
                <w:color w:val="000000"/>
                <w:sz w:val="22"/>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527" w:hRule="atLeast"/>
          <w:jc w:val="center"/>
        </w:trPr>
        <w:tc>
          <w:tcPr>
            <w:tcW w:w="719" w:type="dxa"/>
            <w:tcBorders>
              <w:top w:val="single" w:color="auto" w:sz="8" w:space="0"/>
              <w:left w:val="single" w:color="auto" w:sz="12" w:space="0"/>
              <w:bottom w:val="single" w:color="auto" w:sz="8" w:space="0"/>
              <w:right w:val="single" w:color="auto" w:sz="8" w:space="0"/>
            </w:tcBorders>
            <w:vAlign w:val="center"/>
          </w:tcPr>
          <w:p>
            <w:pPr>
              <w:jc w:val="center"/>
              <w:rPr>
                <w:rFonts w:hint="eastAsia" w:ascii="微软雅黑" w:hAnsi="微软雅黑" w:eastAsia="微软雅黑"/>
                <w:color w:val="000000"/>
                <w:sz w:val="22"/>
              </w:rPr>
            </w:pPr>
          </w:p>
        </w:tc>
        <w:tc>
          <w:tcPr>
            <w:tcW w:w="9174" w:type="dxa"/>
            <w:gridSpan w:val="5"/>
            <w:tcBorders>
              <w:top w:val="single" w:color="auto" w:sz="8" w:space="0"/>
              <w:left w:val="single" w:color="auto" w:sz="8" w:space="0"/>
              <w:bottom w:val="single" w:color="auto" w:sz="8" w:space="0"/>
              <w:right w:val="single" w:color="auto" w:sz="12" w:space="0"/>
            </w:tcBorders>
            <w:vAlign w:val="center"/>
          </w:tcPr>
          <w:p>
            <w:pPr>
              <w:widowControl/>
              <w:jc w:val="center"/>
              <w:textAlignment w:val="center"/>
              <w:rPr>
                <w:rFonts w:ascii="微软雅黑" w:hAnsi="微软雅黑" w:eastAsia="微软雅黑"/>
                <w:color w:val="000000"/>
                <w:sz w:val="22"/>
              </w:rPr>
            </w:pPr>
          </w:p>
        </w:tc>
      </w:tr>
    </w:tbl>
    <w:p>
      <w:pPr>
        <w:rPr>
          <w:rFonts w:ascii="微软雅黑" w:hAnsi="微软雅黑" w:eastAsia="微软雅黑"/>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F7CB9619-1906-4564-92B6-36FE9420953E}"/>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2" w:fontKey="{05565292-F117-42D2-9942-F64199267D1F}"/>
  </w:font>
  <w:font w:name="方正小标宋_GBK">
    <w:panose1 w:val="02000000000000000000"/>
    <w:charset w:val="86"/>
    <w:family w:val="auto"/>
    <w:pitch w:val="default"/>
    <w:sig w:usb0="A00002BF" w:usb1="38CF7CFA" w:usb2="00082016" w:usb3="00000000" w:csb0="00040001" w:csb1="00000000"/>
    <w:embedRegular r:id="rId3" w:fontKey="{C3915F31-80A0-4BFE-A0F9-753E36EDB251}"/>
  </w:font>
  <w:font w:name="仿宋">
    <w:panose1 w:val="02010609060101010101"/>
    <w:charset w:val="86"/>
    <w:family w:val="modern"/>
    <w:pitch w:val="default"/>
    <w:sig w:usb0="800002BF" w:usb1="38CF7CFA" w:usb2="00000016" w:usb3="00000000" w:csb0="00040001" w:csb1="00000000"/>
    <w:embedRegular r:id="rId4" w:fontKey="{F67F709A-159A-45F1-9E72-921F87395F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345950"/>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2"/>
    <w:rsid w:val="000D1D28"/>
    <w:rsid w:val="000D2232"/>
    <w:rsid w:val="000F1444"/>
    <w:rsid w:val="00182EBB"/>
    <w:rsid w:val="001D2041"/>
    <w:rsid w:val="002C091E"/>
    <w:rsid w:val="0033228D"/>
    <w:rsid w:val="00376216"/>
    <w:rsid w:val="00522A73"/>
    <w:rsid w:val="00597E87"/>
    <w:rsid w:val="005D1D7B"/>
    <w:rsid w:val="0070442E"/>
    <w:rsid w:val="007153CA"/>
    <w:rsid w:val="0093420D"/>
    <w:rsid w:val="00A350DD"/>
    <w:rsid w:val="00E043FB"/>
    <w:rsid w:val="24535B07"/>
    <w:rsid w:val="29551334"/>
    <w:rsid w:val="2AD5548D"/>
    <w:rsid w:val="4C4C35F2"/>
    <w:rsid w:val="5A4740EC"/>
    <w:rsid w:val="766F6ADB"/>
    <w:rsid w:val="7D45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Words>
  <Characters>445</Characters>
  <Lines>3</Lines>
  <Paragraphs>1</Paragraphs>
  <TotalTime>10</TotalTime>
  <ScaleCrop>false</ScaleCrop>
  <LinksUpToDate>false</LinksUpToDate>
  <CharactersWithSpaces>521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2020-06-02T06:39:00Z</dcterms:created>
  <dc:creator>songjy</dc:creator>
  <cp:lastModifiedBy>赵@云</cp:lastModifiedBy>
  <cp:lastPrinted>2020-06-16T00:52:57Z</cp:lastPrinted>
  <dcterms:modified xsi:type="dcterms:W3CDTF">2020-06-16T05:38:47Z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