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C31D">
      <w:pPr>
        <w:spacing w:line="480" w:lineRule="exact"/>
        <w:ind w:right="840"/>
        <w:rPr>
          <w:rFonts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008378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</w:p>
    <w:p w14:paraId="5F742803">
      <w:pPr>
        <w:rPr>
          <w:rFonts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C38166">
      <w:pPr>
        <w:adjustRightInd w:val="0"/>
        <w:snapToGrid w:val="0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年广西财经学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明秀校区第一批高层次人才周转房修缮工程项目报价单</w:t>
      </w:r>
    </w:p>
    <w:p w14:paraId="756E6DC1"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1FBDEB">
      <w:pPr>
        <w:adjustRightInd w:val="0"/>
        <w:snapToGrid w:val="0"/>
        <w:spacing w:before="156" w:beforeLines="50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项目，我公司最终报价为：</w:t>
      </w:r>
    </w:p>
    <w:p w14:paraId="11734618">
      <w:pPr>
        <w:adjustRightInd w:val="0"/>
        <w:snapToGrid w:val="0"/>
        <w:spacing w:before="156" w:beforeLines="50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小写（人民币）：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418353BF">
      <w:pPr>
        <w:adjustRightInd w:val="0"/>
        <w:snapToGrid w:val="0"/>
        <w:spacing w:before="156" w:beforeLines="50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折合优惠率（保留至小数点后两位）：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34DD32CA">
      <w:pPr>
        <w:adjustRightInd w:val="0"/>
        <w:snapToGrid w:val="0"/>
        <w:spacing w:before="156" w:beforeLines="50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D485B3">
      <w:pPr>
        <w:adjustRightInd w:val="0"/>
        <w:snapToGrid w:val="0"/>
        <w:spacing w:before="156" w:beforeLines="50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</w:p>
    <w:p w14:paraId="09D37678">
      <w:pPr>
        <w:adjustRightInd w:val="0"/>
        <w:snapToGrid w:val="0"/>
        <w:spacing w:before="156" w:beforeLines="50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797E353B">
      <w:pPr>
        <w:adjustRightInd w:val="0"/>
        <w:snapToGrid w:val="0"/>
        <w:spacing w:before="156" w:beforeLines="5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189D21">
      <w:pPr>
        <w:adjustRightInd w:val="0"/>
        <w:snapToGrid w:val="0"/>
        <w:spacing w:before="156" w:beforeLines="5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B9CB4C">
      <w:pPr>
        <w:adjustRightInd w:val="0"/>
        <w:snapToGrid w:val="0"/>
        <w:spacing w:before="156" w:beforeLines="5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法定代表人或授权代表（签字或盖章）：　　　　　</w:t>
      </w:r>
    </w:p>
    <w:p w14:paraId="486EC2D9">
      <w:pPr>
        <w:adjustRightInd w:val="0"/>
        <w:snapToGrid w:val="0"/>
        <w:spacing w:before="156" w:beforeLines="5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报价单位公章：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 w14:paraId="1A644C0D">
      <w:pPr>
        <w:adjustRightInd w:val="0"/>
        <w:snapToGrid w:val="0"/>
        <w:spacing w:before="156" w:beforeLines="5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7BD317D8">
      <w:pPr>
        <w:adjustRightInd w:val="0"/>
        <w:snapToGrid w:val="0"/>
        <w:spacing w:before="156" w:beforeLines="50"/>
        <w:rPr>
          <w:rFonts w:ascii="仿宋_GB2312" w:hAnsi="仿宋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4F5C6271">
      <w:pPr>
        <w:adjustRightInd w:val="0"/>
        <w:snapToGrid w:val="0"/>
        <w:spacing w:before="156" w:beforeLines="50"/>
        <w:ind w:firstLine="560" w:firstLineChars="200"/>
        <w:rPr>
          <w:rFonts w:ascii="仿宋_GB2312" w:hAnsi="仿宋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）本项目只接受供应商一次性报价，报价包含所有费用。</w:t>
      </w:r>
    </w:p>
    <w:p w14:paraId="620FC2EB">
      <w:pPr>
        <w:adjustRightInd w:val="0"/>
        <w:snapToGrid w:val="0"/>
        <w:ind w:firstLine="560" w:firstLineChars="200"/>
        <w:rPr>
          <w:rFonts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）报价超过上限控制价、优惠率计算错误的，按无效报价处理。</w:t>
      </w:r>
    </w:p>
    <w:p w14:paraId="3BD97EFA">
      <w:pPr>
        <w:adjustRightInd w:val="0"/>
        <w:snapToGrid w:val="0"/>
        <w:ind w:firstLine="560" w:firstLineChars="200"/>
        <w:rPr>
          <w:rFonts w:ascii="仿宋_GB2312" w:hAnsi="仿宋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）优惠率计算式=（1-投标总价/项目上限控制价）×100%</w:t>
      </w:r>
    </w:p>
    <w:p w14:paraId="3432FE8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DC"/>
    <w:rsid w:val="00213750"/>
    <w:rsid w:val="0023046B"/>
    <w:rsid w:val="006E64DB"/>
    <w:rsid w:val="00CF26DC"/>
    <w:rsid w:val="0C5E4073"/>
    <w:rsid w:val="0FD10EC1"/>
    <w:rsid w:val="64B5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2</Lines>
  <Paragraphs>1</Paragraphs>
  <TotalTime>9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2025-06-30T08:14:00Z</dcterms:created>
  <dc:creator>Administrator</dc:creator>
  <cp:lastModifiedBy>李奎霖</cp:lastModifiedBy>
  <dcterms:modified xsi:type="dcterms:W3CDTF">2025-07-02T02:15:01Z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eyJoZGlkIjoiNGViOGFiOGQ2ZmJlMzZmZGE1ZmRiMGM0ZTc2NzI4ZjIifQ==</vt:lpwstr>
  </property>
  <property fmtid="{D5CDD505-2E9C-101B-9397-08002B2CF9AE}" pid="4" name="ICV">
    <vt:lpwstr>1C37F9CC118B4A1DB193EEEBF835BAC6_12</vt:lpwstr>
  </property>
</Properties>
</file>