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28A902">
      <w:pPr>
        <w:spacing w:line="480" w:lineRule="auto"/>
        <w:jc w:val="center"/>
        <w:rPr>
          <w:rFonts w:hint="eastAsia" w:ascii="方正小标宋简体" w:hAnsi="方正小标宋简体" w:eastAsia="方正小标宋简体" w:cs="方正小标宋简体"/>
          <w:b w:val="0"/>
          <w:bCs w:val="0"/>
          <w:kern w:val="0"/>
          <w:sz w:val="44"/>
          <w:szCs w:val="44"/>
          <w:lang w:eastAsia="zh-CN"/>
        </w:rPr>
      </w:pPr>
      <w:r>
        <w:rPr>
          <w:rFonts w:hint="eastAsia" w:ascii="方正小标宋简体" w:hAnsi="方正小标宋简体" w:eastAsia="方正小标宋简体" w:cs="方正小标宋简体"/>
          <w:b w:val="0"/>
          <w:bCs w:val="0"/>
          <w:kern w:val="0"/>
          <w:sz w:val="44"/>
          <w:szCs w:val="44"/>
          <w:lang w:val="en-US" w:eastAsia="zh-CN"/>
        </w:rPr>
        <w:t>广西财经学院</w:t>
      </w:r>
      <w:r>
        <w:rPr>
          <w:rFonts w:hint="eastAsia" w:ascii="方正小标宋简体" w:hAnsi="方正小标宋简体" w:eastAsia="方正小标宋简体" w:cs="方正小标宋简体"/>
          <w:b w:val="0"/>
          <w:bCs w:val="0"/>
          <w:kern w:val="0"/>
          <w:sz w:val="44"/>
          <w:szCs w:val="44"/>
        </w:rPr>
        <w:t>商学院</w:t>
      </w:r>
      <w:r>
        <w:rPr>
          <w:rFonts w:hint="eastAsia" w:ascii="方正小标宋简体" w:hAnsi="方正小标宋简体" w:eastAsia="方正小标宋简体" w:cs="方正小标宋简体"/>
          <w:b w:val="0"/>
          <w:bCs w:val="0"/>
          <w:kern w:val="0"/>
          <w:sz w:val="44"/>
          <w:szCs w:val="44"/>
          <w:lang w:eastAsia="zh-CN"/>
        </w:rPr>
        <w:t>《</w:t>
      </w:r>
      <w:r>
        <w:rPr>
          <w:rFonts w:hint="eastAsia" w:ascii="方正小标宋简体" w:hAnsi="方正小标宋简体" w:eastAsia="方正小标宋简体" w:cs="方正小标宋简体"/>
          <w:b w:val="0"/>
          <w:bCs w:val="0"/>
          <w:kern w:val="0"/>
          <w:sz w:val="44"/>
          <w:szCs w:val="44"/>
          <w:lang w:val="en-US" w:eastAsia="zh-CN"/>
        </w:rPr>
        <w:t>职业规划与就业创业</w:t>
      </w:r>
      <w:r>
        <w:rPr>
          <w:rFonts w:hint="eastAsia" w:ascii="方正小标宋简体" w:hAnsi="方正小标宋简体" w:eastAsia="方正小标宋简体" w:cs="方正小标宋简体"/>
          <w:b w:val="0"/>
          <w:bCs w:val="0"/>
          <w:kern w:val="0"/>
          <w:sz w:val="44"/>
          <w:szCs w:val="44"/>
          <w:lang w:eastAsia="zh-CN"/>
        </w:rPr>
        <w:t>》</w:t>
      </w:r>
      <w:r>
        <w:rPr>
          <w:rFonts w:hint="eastAsia" w:ascii="方正小标宋简体" w:hAnsi="方正小标宋简体" w:eastAsia="方正小标宋简体" w:cs="方正小标宋简体"/>
          <w:b w:val="0"/>
          <w:bCs w:val="0"/>
          <w:kern w:val="0"/>
          <w:sz w:val="44"/>
          <w:szCs w:val="44"/>
        </w:rPr>
        <w:t>《管理沟通》等两门智慧课程建设服务项目报价</w:t>
      </w:r>
      <w:r>
        <w:rPr>
          <w:rFonts w:hint="eastAsia" w:ascii="方正小标宋简体" w:hAnsi="方正小标宋简体" w:eastAsia="方正小标宋简体" w:cs="方正小标宋简体"/>
          <w:b w:val="0"/>
          <w:bCs w:val="0"/>
          <w:kern w:val="0"/>
          <w:sz w:val="44"/>
          <w:szCs w:val="44"/>
          <w:lang w:val="en-US" w:eastAsia="zh-CN"/>
        </w:rPr>
        <w:t>表</w:t>
      </w:r>
    </w:p>
    <w:p w14:paraId="506140EA">
      <w:pPr>
        <w:jc w:val="left"/>
        <w:rPr>
          <w:rFonts w:hint="eastAsia" w:ascii="宋体" w:hAnsi="宋体" w:cs="宋体"/>
          <w:b/>
          <w:bCs/>
          <w:kern w:val="0"/>
          <w:sz w:val="22"/>
          <w:szCs w:val="22"/>
        </w:rPr>
      </w:pPr>
    </w:p>
    <w:p w14:paraId="44789D40">
      <w:pPr>
        <w:jc w:val="left"/>
        <w:rPr>
          <w:rFonts w:hint="eastAsia" w:ascii="黑体" w:hAnsi="黑体" w:eastAsia="黑体" w:cs="黑体"/>
          <w:b w:val="0"/>
          <w:bCs w:val="0"/>
          <w:kern w:val="0"/>
          <w:sz w:val="28"/>
          <w:szCs w:val="28"/>
        </w:rPr>
      </w:pPr>
      <w:r>
        <w:rPr>
          <w:rFonts w:hint="eastAsia" w:ascii="黑体" w:hAnsi="黑体" w:eastAsia="黑体" w:cs="黑体"/>
          <w:b w:val="0"/>
          <w:bCs w:val="0"/>
          <w:kern w:val="0"/>
          <w:sz w:val="28"/>
          <w:szCs w:val="28"/>
        </w:rPr>
        <w:t>项目名称：商学院《职业规划与就业创业》《管理沟通》等两门智慧课程建设服务</w:t>
      </w:r>
    </w:p>
    <w:p w14:paraId="4FF895C4">
      <w:pPr>
        <w:jc w:val="left"/>
        <w:rPr>
          <w:rFonts w:hint="eastAsia" w:ascii="黑体" w:hAnsi="黑体" w:eastAsia="黑体" w:cs="黑体"/>
          <w:b w:val="0"/>
          <w:bCs w:val="0"/>
          <w:kern w:val="0"/>
          <w:sz w:val="28"/>
          <w:szCs w:val="28"/>
        </w:rPr>
      </w:pPr>
      <w:r>
        <w:rPr>
          <w:rFonts w:hint="eastAsia" w:ascii="黑体" w:hAnsi="黑体" w:eastAsia="黑体" w:cs="黑体"/>
          <w:b w:val="0"/>
          <w:bCs w:val="0"/>
          <w:kern w:val="0"/>
          <w:sz w:val="28"/>
          <w:szCs w:val="28"/>
        </w:rPr>
        <w:t>本项目上限控制价：</w:t>
      </w:r>
      <w:r>
        <w:rPr>
          <w:rFonts w:hint="eastAsia" w:ascii="黑体" w:hAnsi="黑体" w:eastAsia="黑体" w:cs="黑体"/>
          <w:b w:val="0"/>
          <w:bCs w:val="0"/>
          <w:kern w:val="0"/>
          <w:sz w:val="28"/>
          <w:szCs w:val="28"/>
          <w:lang w:val="en-US" w:eastAsia="zh-CN"/>
        </w:rPr>
        <w:t>9</w:t>
      </w:r>
      <w:r>
        <w:rPr>
          <w:rFonts w:hint="eastAsia" w:ascii="黑体" w:hAnsi="黑体" w:eastAsia="黑体" w:cs="黑体"/>
          <w:b w:val="0"/>
          <w:bCs w:val="0"/>
          <w:kern w:val="0"/>
          <w:sz w:val="28"/>
          <w:szCs w:val="28"/>
        </w:rPr>
        <w:t>0000.00元</w:t>
      </w:r>
    </w:p>
    <w:p w14:paraId="75B7B592">
      <w:pPr>
        <w:jc w:val="left"/>
        <w:rPr>
          <w:rFonts w:hint="eastAsia" w:ascii="宋体" w:hAnsi="宋体" w:cs="宋体"/>
          <w:b/>
          <w:bCs/>
          <w:kern w:val="0"/>
          <w:sz w:val="24"/>
        </w:rPr>
      </w:pPr>
    </w:p>
    <w:tbl>
      <w:tblPr>
        <w:tblStyle w:val="9"/>
        <w:tblW w:w="9716"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444"/>
        <w:gridCol w:w="1020"/>
        <w:gridCol w:w="4576"/>
        <w:gridCol w:w="540"/>
        <w:gridCol w:w="562"/>
        <w:gridCol w:w="780"/>
        <w:gridCol w:w="923"/>
        <w:gridCol w:w="195"/>
        <w:gridCol w:w="676"/>
      </w:tblGrid>
      <w:tr w14:paraId="63A4BE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444" w:type="dxa"/>
            <w:tcBorders>
              <w:top w:val="single" w:color="auto" w:sz="4" w:space="0"/>
              <w:bottom w:val="single" w:color="auto" w:sz="4" w:space="0"/>
              <w:right w:val="single" w:color="auto" w:sz="4" w:space="0"/>
            </w:tcBorders>
            <w:vAlign w:val="center"/>
          </w:tcPr>
          <w:p w14:paraId="24B0D9C0">
            <w:pPr>
              <w:jc w:val="center"/>
              <w:rPr>
                <w:rFonts w:hint="eastAsia" w:ascii="黑体" w:hAnsi="黑体" w:eastAsia="黑体" w:cs="黑体"/>
                <w:b/>
                <w:color w:val="auto"/>
                <w:sz w:val="21"/>
                <w:szCs w:val="21"/>
                <w:highlight w:val="none"/>
              </w:rPr>
            </w:pPr>
            <w:r>
              <w:rPr>
                <w:rFonts w:hint="eastAsia" w:ascii="黑体" w:hAnsi="黑体" w:eastAsia="黑体" w:cs="黑体"/>
                <w:b/>
                <w:color w:val="auto"/>
                <w:sz w:val="21"/>
                <w:szCs w:val="21"/>
                <w:highlight w:val="none"/>
              </w:rPr>
              <w:t>项号</w:t>
            </w:r>
          </w:p>
        </w:tc>
        <w:tc>
          <w:tcPr>
            <w:tcW w:w="1020" w:type="dxa"/>
            <w:tcBorders>
              <w:top w:val="single" w:color="auto" w:sz="4" w:space="0"/>
              <w:left w:val="single" w:color="auto" w:sz="4" w:space="0"/>
              <w:bottom w:val="single" w:color="auto" w:sz="4" w:space="0"/>
              <w:right w:val="single" w:color="auto" w:sz="4" w:space="0"/>
            </w:tcBorders>
            <w:vAlign w:val="center"/>
          </w:tcPr>
          <w:p w14:paraId="59FA22AF">
            <w:pPr>
              <w:jc w:val="center"/>
              <w:rPr>
                <w:rFonts w:hint="eastAsia" w:ascii="黑体" w:hAnsi="黑体" w:eastAsia="黑体" w:cs="黑体"/>
                <w:b/>
                <w:color w:val="auto"/>
                <w:sz w:val="21"/>
                <w:szCs w:val="21"/>
                <w:highlight w:val="none"/>
              </w:rPr>
            </w:pPr>
            <w:r>
              <w:rPr>
                <w:rFonts w:hint="eastAsia" w:ascii="黑体" w:hAnsi="黑体" w:eastAsia="黑体" w:cs="黑体"/>
                <w:b/>
                <w:bCs/>
                <w:kern w:val="0"/>
                <w:sz w:val="21"/>
                <w:szCs w:val="21"/>
                <w:highlight w:val="none"/>
              </w:rPr>
              <w:t>品 名</w:t>
            </w:r>
          </w:p>
        </w:tc>
        <w:tc>
          <w:tcPr>
            <w:tcW w:w="4576" w:type="dxa"/>
            <w:tcBorders>
              <w:top w:val="single" w:color="auto" w:sz="4" w:space="0"/>
              <w:left w:val="single" w:color="auto" w:sz="4" w:space="0"/>
              <w:bottom w:val="single" w:color="auto" w:sz="4" w:space="0"/>
            </w:tcBorders>
            <w:vAlign w:val="center"/>
          </w:tcPr>
          <w:p w14:paraId="3D446568">
            <w:pPr>
              <w:pStyle w:val="13"/>
              <w:spacing w:after="0" w:line="240" w:lineRule="auto"/>
              <w:jc w:val="center"/>
              <w:rPr>
                <w:rFonts w:hint="eastAsia" w:ascii="黑体" w:hAnsi="黑体" w:eastAsia="黑体" w:cs="黑体"/>
                <w:b/>
                <w:color w:val="auto"/>
                <w:sz w:val="21"/>
                <w:szCs w:val="21"/>
                <w:highlight w:val="none"/>
                <w:lang w:eastAsia="zh-CN"/>
              </w:rPr>
            </w:pPr>
            <w:r>
              <w:rPr>
                <w:rFonts w:hint="eastAsia" w:ascii="黑体" w:hAnsi="黑体" w:eastAsia="黑体" w:cs="黑体"/>
                <w:b/>
                <w:color w:val="auto"/>
                <w:sz w:val="21"/>
                <w:szCs w:val="21"/>
                <w:highlight w:val="none"/>
                <w:lang w:eastAsia="zh-CN"/>
              </w:rPr>
              <w:t>主要技术参数要求</w:t>
            </w:r>
          </w:p>
        </w:tc>
        <w:tc>
          <w:tcPr>
            <w:tcW w:w="540" w:type="dxa"/>
            <w:tcBorders>
              <w:top w:val="single" w:color="auto" w:sz="4" w:space="0"/>
              <w:left w:val="single" w:color="auto" w:sz="4" w:space="0"/>
              <w:bottom w:val="single" w:color="auto" w:sz="4" w:space="0"/>
            </w:tcBorders>
            <w:vAlign w:val="center"/>
          </w:tcPr>
          <w:p w14:paraId="77C143EC">
            <w:pPr>
              <w:pStyle w:val="13"/>
              <w:spacing w:after="0" w:line="240" w:lineRule="auto"/>
              <w:jc w:val="center"/>
              <w:rPr>
                <w:rFonts w:hint="eastAsia" w:ascii="黑体" w:hAnsi="黑体" w:eastAsia="黑体" w:cs="黑体"/>
                <w:b/>
                <w:color w:val="auto"/>
                <w:sz w:val="21"/>
                <w:szCs w:val="21"/>
                <w:highlight w:val="none"/>
                <w:lang w:val="en-US" w:eastAsia="zh-CN"/>
              </w:rPr>
            </w:pPr>
            <w:r>
              <w:rPr>
                <w:rFonts w:hint="eastAsia" w:ascii="黑体" w:hAnsi="黑体" w:eastAsia="黑体" w:cs="黑体"/>
                <w:b/>
                <w:color w:val="auto"/>
                <w:sz w:val="21"/>
                <w:szCs w:val="21"/>
                <w:highlight w:val="none"/>
                <w:lang w:val="en-US" w:eastAsia="zh-CN"/>
              </w:rPr>
              <w:t>单位</w:t>
            </w:r>
          </w:p>
        </w:tc>
        <w:tc>
          <w:tcPr>
            <w:tcW w:w="562" w:type="dxa"/>
            <w:tcBorders>
              <w:top w:val="single" w:color="auto" w:sz="4" w:space="0"/>
              <w:left w:val="single" w:color="auto" w:sz="4" w:space="0"/>
              <w:bottom w:val="single" w:color="auto" w:sz="4" w:space="0"/>
            </w:tcBorders>
            <w:vAlign w:val="center"/>
          </w:tcPr>
          <w:p w14:paraId="1509C664">
            <w:pPr>
              <w:pStyle w:val="13"/>
              <w:spacing w:after="0" w:line="240" w:lineRule="auto"/>
              <w:jc w:val="center"/>
              <w:rPr>
                <w:rFonts w:hint="eastAsia" w:ascii="黑体" w:hAnsi="黑体" w:eastAsia="黑体" w:cs="黑体"/>
                <w:b/>
                <w:color w:val="auto"/>
                <w:sz w:val="21"/>
                <w:szCs w:val="21"/>
                <w:highlight w:val="none"/>
                <w:lang w:eastAsia="zh-CN"/>
              </w:rPr>
            </w:pPr>
            <w:r>
              <w:rPr>
                <w:rFonts w:hint="eastAsia" w:ascii="黑体" w:hAnsi="黑体" w:eastAsia="黑体" w:cs="黑体"/>
                <w:b/>
                <w:color w:val="auto"/>
                <w:sz w:val="21"/>
                <w:szCs w:val="21"/>
                <w:highlight w:val="none"/>
                <w:lang w:val="en-US" w:eastAsia="zh-CN"/>
              </w:rPr>
              <w:t>数量</w:t>
            </w:r>
          </w:p>
        </w:tc>
        <w:tc>
          <w:tcPr>
            <w:tcW w:w="780" w:type="dxa"/>
            <w:tcBorders>
              <w:top w:val="single" w:color="auto" w:sz="4" w:space="0"/>
              <w:left w:val="single" w:color="auto" w:sz="4" w:space="0"/>
              <w:bottom w:val="single" w:color="auto" w:sz="4" w:space="0"/>
            </w:tcBorders>
            <w:vAlign w:val="center"/>
          </w:tcPr>
          <w:p w14:paraId="3D289260">
            <w:pPr>
              <w:pStyle w:val="13"/>
              <w:spacing w:after="0" w:line="240" w:lineRule="auto"/>
              <w:jc w:val="center"/>
              <w:rPr>
                <w:rFonts w:hint="eastAsia" w:ascii="黑体" w:hAnsi="黑体" w:eastAsia="黑体" w:cs="黑体"/>
                <w:b/>
                <w:color w:val="auto"/>
                <w:sz w:val="21"/>
                <w:szCs w:val="21"/>
                <w:highlight w:val="none"/>
                <w:lang w:eastAsia="zh-CN"/>
              </w:rPr>
            </w:pPr>
            <w:r>
              <w:rPr>
                <w:rFonts w:hint="eastAsia" w:ascii="黑体" w:hAnsi="黑体" w:eastAsia="黑体" w:cs="黑体"/>
                <w:b/>
                <w:color w:val="auto"/>
                <w:sz w:val="21"/>
                <w:szCs w:val="21"/>
                <w:highlight w:val="none"/>
                <w:lang w:val="en-US" w:eastAsia="zh-CN"/>
              </w:rPr>
              <w:t>是否响应</w:t>
            </w:r>
          </w:p>
        </w:tc>
        <w:tc>
          <w:tcPr>
            <w:tcW w:w="1118" w:type="dxa"/>
            <w:gridSpan w:val="2"/>
            <w:tcBorders>
              <w:top w:val="single" w:color="auto" w:sz="4" w:space="0"/>
              <w:left w:val="single" w:color="auto" w:sz="4" w:space="0"/>
              <w:bottom w:val="single" w:color="auto" w:sz="4" w:space="0"/>
            </w:tcBorders>
            <w:vAlign w:val="center"/>
          </w:tcPr>
          <w:p w14:paraId="271DE9C8">
            <w:pPr>
              <w:pStyle w:val="13"/>
              <w:spacing w:after="0" w:line="240" w:lineRule="auto"/>
              <w:jc w:val="center"/>
              <w:rPr>
                <w:rFonts w:hint="eastAsia" w:ascii="黑体" w:hAnsi="黑体" w:eastAsia="黑体" w:cs="黑体"/>
                <w:b/>
                <w:color w:val="auto"/>
                <w:sz w:val="21"/>
                <w:szCs w:val="21"/>
                <w:highlight w:val="none"/>
                <w:lang w:val="en-US" w:eastAsia="zh-CN"/>
              </w:rPr>
            </w:pPr>
            <w:r>
              <w:rPr>
                <w:rFonts w:hint="eastAsia" w:ascii="黑体" w:hAnsi="黑体" w:eastAsia="黑体" w:cs="黑体"/>
                <w:b/>
                <w:color w:val="auto"/>
                <w:sz w:val="21"/>
                <w:szCs w:val="21"/>
                <w:highlight w:val="none"/>
                <w:lang w:val="en-US" w:eastAsia="zh-CN"/>
              </w:rPr>
              <w:t>金额（元）</w:t>
            </w:r>
          </w:p>
        </w:tc>
        <w:tc>
          <w:tcPr>
            <w:tcW w:w="676" w:type="dxa"/>
            <w:tcBorders>
              <w:top w:val="single" w:color="auto" w:sz="4" w:space="0"/>
              <w:left w:val="single" w:color="auto" w:sz="4" w:space="0"/>
              <w:bottom w:val="single" w:color="auto" w:sz="4" w:space="0"/>
            </w:tcBorders>
            <w:vAlign w:val="center"/>
          </w:tcPr>
          <w:p w14:paraId="5B92F531">
            <w:pPr>
              <w:pStyle w:val="13"/>
              <w:spacing w:after="0" w:line="240" w:lineRule="auto"/>
              <w:jc w:val="center"/>
              <w:rPr>
                <w:rFonts w:hint="eastAsia" w:ascii="黑体" w:hAnsi="黑体" w:eastAsia="黑体" w:cs="黑体"/>
                <w:b/>
                <w:color w:val="auto"/>
                <w:sz w:val="21"/>
                <w:szCs w:val="21"/>
                <w:highlight w:val="none"/>
                <w:lang w:eastAsia="zh-CN"/>
              </w:rPr>
            </w:pPr>
            <w:r>
              <w:rPr>
                <w:rFonts w:hint="eastAsia" w:ascii="黑体" w:hAnsi="黑体" w:eastAsia="黑体" w:cs="黑体"/>
                <w:b/>
                <w:color w:val="auto"/>
                <w:sz w:val="21"/>
                <w:szCs w:val="21"/>
                <w:highlight w:val="none"/>
                <w:lang w:eastAsia="zh-CN"/>
              </w:rPr>
              <w:t>备注</w:t>
            </w:r>
          </w:p>
        </w:tc>
      </w:tr>
      <w:tr w14:paraId="070C129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444" w:type="dxa"/>
            <w:tcBorders>
              <w:top w:val="single" w:color="auto" w:sz="4" w:space="0"/>
              <w:bottom w:val="single" w:color="auto" w:sz="4" w:space="0"/>
              <w:right w:val="single" w:color="auto" w:sz="4" w:space="0"/>
            </w:tcBorders>
            <w:vAlign w:val="center"/>
          </w:tcPr>
          <w:p w14:paraId="1F6ADCF8">
            <w:pPr>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p>
        </w:tc>
        <w:tc>
          <w:tcPr>
            <w:tcW w:w="1020" w:type="dxa"/>
            <w:tcBorders>
              <w:top w:val="single" w:color="auto" w:sz="4" w:space="0"/>
              <w:left w:val="single" w:color="auto" w:sz="4" w:space="0"/>
              <w:bottom w:val="single" w:color="auto" w:sz="4" w:space="0"/>
              <w:right w:val="single" w:color="auto" w:sz="4" w:space="0"/>
            </w:tcBorders>
            <w:vAlign w:val="center"/>
          </w:tcPr>
          <w:p w14:paraId="17B1DAEB">
            <w:pPr>
              <w:widowControl/>
              <w:jc w:val="center"/>
              <w:rPr>
                <w:rFonts w:hint="eastAsia" w:ascii="仿宋" w:hAnsi="仿宋" w:eastAsia="仿宋" w:cs="仿宋"/>
                <w:sz w:val="21"/>
                <w:szCs w:val="21"/>
                <w:highlight w:val="none"/>
              </w:rPr>
            </w:pPr>
            <w:r>
              <w:rPr>
                <w:rFonts w:hint="eastAsia" w:ascii="仿宋" w:hAnsi="仿宋" w:eastAsia="仿宋" w:cs="仿宋"/>
                <w:sz w:val="21"/>
                <w:szCs w:val="21"/>
                <w:highlight w:val="none"/>
              </w:rPr>
              <w:t>《职业规划与就业创业》《管理沟通》</w:t>
            </w:r>
          </w:p>
          <w:p w14:paraId="5DA1AA4D">
            <w:pPr>
              <w:widowControl/>
              <w:jc w:val="center"/>
              <w:rPr>
                <w:rFonts w:hint="eastAsia" w:ascii="仿宋" w:hAnsi="仿宋" w:eastAsia="仿宋" w:cs="仿宋"/>
                <w:color w:val="auto"/>
                <w:kern w:val="0"/>
                <w:sz w:val="21"/>
                <w:szCs w:val="21"/>
                <w:highlight w:val="none"/>
              </w:rPr>
            </w:pPr>
            <w:r>
              <w:rPr>
                <w:rFonts w:hint="eastAsia" w:ascii="仿宋" w:hAnsi="仿宋" w:eastAsia="仿宋" w:cs="仿宋"/>
                <w:sz w:val="21"/>
                <w:szCs w:val="21"/>
                <w:highlight w:val="none"/>
              </w:rPr>
              <w:t>等两门智慧课程建设服务</w:t>
            </w:r>
          </w:p>
        </w:tc>
        <w:tc>
          <w:tcPr>
            <w:tcW w:w="4576" w:type="dxa"/>
            <w:tcBorders>
              <w:top w:val="single" w:color="auto" w:sz="4" w:space="0"/>
              <w:left w:val="single" w:color="auto" w:sz="4" w:space="0"/>
              <w:bottom w:val="single" w:color="auto" w:sz="4" w:space="0"/>
            </w:tcBorders>
            <w:vAlign w:val="center"/>
          </w:tcPr>
          <w:p w14:paraId="41B4E5D8">
            <w:pPr>
              <w:widowControl/>
              <w:jc w:val="left"/>
              <w:rPr>
                <w:rFonts w:hint="eastAsia" w:ascii="仿宋" w:hAnsi="仿宋" w:eastAsia="仿宋" w:cs="仿宋"/>
                <w:b/>
                <w:bCs/>
                <w:sz w:val="21"/>
                <w:szCs w:val="21"/>
                <w:highlight w:val="none"/>
                <w:lang w:val="en-US" w:eastAsia="zh-CN"/>
              </w:rPr>
            </w:pPr>
            <w:r>
              <w:rPr>
                <w:rFonts w:hint="eastAsia" w:ascii="仿宋" w:hAnsi="仿宋" w:eastAsia="仿宋" w:cs="仿宋"/>
                <w:b/>
                <w:bCs/>
                <w:sz w:val="21"/>
                <w:szCs w:val="21"/>
                <w:highlight w:val="none"/>
                <w:lang w:val="en-US" w:eastAsia="zh-CN"/>
              </w:rPr>
              <w:t>一、建设总体要求</w:t>
            </w:r>
          </w:p>
          <w:p w14:paraId="78CAE264">
            <w:pPr>
              <w:widowControl/>
              <w:jc w:val="left"/>
              <w:rPr>
                <w:rFonts w:hint="eastAsia" w:ascii="仿宋" w:hAnsi="仿宋" w:eastAsia="仿宋" w:cs="仿宋"/>
                <w:sz w:val="21"/>
                <w:szCs w:val="21"/>
                <w:highlight w:val="none"/>
              </w:rPr>
            </w:pPr>
            <w:r>
              <w:rPr>
                <w:rFonts w:hint="eastAsia" w:ascii="仿宋" w:hAnsi="仿宋" w:eastAsia="仿宋" w:cs="仿宋"/>
                <w:sz w:val="21"/>
                <w:szCs w:val="21"/>
                <w:highlight w:val="none"/>
              </w:rPr>
              <w:t>1.完成《职业规划与就业创业》《管理沟通》等2门“人工智能+”课程智慧课程建设。在课程教学大纲基础上，完成课程知识图谱、问题图谱、目标图谱、课程思政图谱建设，完善课程知识体系；完成课程AI助教训练、AI实践任务设计，并对接通用大模型，推动人工智能技术与课程教学深度融合。</w:t>
            </w:r>
          </w:p>
          <w:p w14:paraId="11ED4131">
            <w:pPr>
              <w:widowControl/>
              <w:jc w:val="left"/>
              <w:rPr>
                <w:rFonts w:hint="eastAsia" w:ascii="仿宋" w:hAnsi="仿宋" w:eastAsia="仿宋" w:cs="仿宋"/>
                <w:b/>
                <w:bCs/>
                <w:sz w:val="21"/>
                <w:szCs w:val="21"/>
                <w:highlight w:val="none"/>
                <w:lang w:val="en-US" w:eastAsia="zh-CN"/>
              </w:rPr>
            </w:pPr>
            <w:r>
              <w:rPr>
                <w:rFonts w:hint="eastAsia" w:ascii="仿宋" w:hAnsi="仿宋" w:eastAsia="仿宋" w:cs="仿宋"/>
                <w:b/>
                <w:bCs/>
                <w:sz w:val="21"/>
                <w:szCs w:val="21"/>
                <w:highlight w:val="none"/>
                <w:lang w:val="en-US" w:eastAsia="zh-CN"/>
              </w:rPr>
              <w:t>二、建设内容</w:t>
            </w:r>
          </w:p>
          <w:p w14:paraId="03CFE1DA">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一</w:t>
            </w:r>
            <w:r>
              <w:rPr>
                <w:rFonts w:hint="eastAsia" w:ascii="仿宋" w:hAnsi="仿宋" w:eastAsia="仿宋" w:cs="仿宋"/>
                <w:color w:val="auto"/>
                <w:sz w:val="21"/>
                <w:szCs w:val="21"/>
                <w:highlight w:val="none"/>
              </w:rPr>
              <w:t>）课程专属AI环境搭建</w:t>
            </w:r>
          </w:p>
          <w:p w14:paraId="38BC410C">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1.通用大语言模型对接</w:t>
            </w:r>
          </w:p>
          <w:p w14:paraId="1C069163">
            <w:pPr>
              <w:widowControl/>
              <w:jc w:val="left"/>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根</w:t>
            </w:r>
            <w:r>
              <w:rPr>
                <w:rFonts w:hint="eastAsia" w:ascii="仿宋" w:hAnsi="仿宋" w:eastAsia="仿宋" w:cs="仿宋"/>
                <w:color w:val="auto"/>
                <w:sz w:val="21"/>
                <w:szCs w:val="21"/>
                <w:highlight w:val="none"/>
              </w:rPr>
              <w:t>据学校配置，完成指定通用大语言模型或多个通用大模型对接</w:t>
            </w:r>
            <w:r>
              <w:rPr>
                <w:rFonts w:hint="eastAsia" w:ascii="仿宋" w:hAnsi="仿宋" w:eastAsia="仿宋" w:cs="仿宋"/>
                <w:color w:val="auto"/>
                <w:sz w:val="21"/>
                <w:szCs w:val="21"/>
                <w:highlight w:val="none"/>
                <w:lang w:eastAsia="zh-CN"/>
              </w:rPr>
              <w:t>，</w:t>
            </w:r>
            <w:r>
              <w:rPr>
                <w:rFonts w:hint="eastAsia" w:ascii="仿宋" w:hAnsi="仿宋" w:eastAsia="仿宋" w:cs="仿宋"/>
                <w:color w:val="auto"/>
                <w:sz w:val="21"/>
                <w:szCs w:val="21"/>
                <w:highlight w:val="none"/>
                <w:lang w:val="en-US" w:eastAsia="zh-CN"/>
              </w:rPr>
              <w:t>至少支持deepseek、Kimi、豆包等国产主流大模型。</w:t>
            </w:r>
          </w:p>
          <w:p w14:paraId="3BABCA9C">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2.课程专属AI知识库训练</w:t>
            </w:r>
          </w:p>
          <w:p w14:paraId="48D1F8A6">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2.1在线课程自我训练</w:t>
            </w:r>
          </w:p>
          <w:p w14:paraId="09745B2A">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2.1.1支持一键同步在线课程，对已有资源进行智能化训练。</w:t>
            </w:r>
          </w:p>
          <w:p w14:paraId="3E143EA5">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2.1.2支持增量同步在线课程，保持与课程内容的一致。</w:t>
            </w:r>
          </w:p>
          <w:p w14:paraId="4B40CD11">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2.2资源上传与训练</w:t>
            </w:r>
          </w:p>
          <w:p w14:paraId="0D42D027">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2.2.1课程单元内容建设，可编辑视频、文档、图片、音频、图书、公式、符号、附件、网页、动画等。</w:t>
            </w:r>
          </w:p>
          <w:p w14:paraId="1464D26F">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2.2.2支持导入并编辑内容。</w:t>
            </w:r>
          </w:p>
          <w:p w14:paraId="45D719AA">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2.2.3视频上传与播放支持rmvb、3gp、mpg、mpeg、mov、wmv、avi、mkv、mp4、flv、vob、f4v等高清和网络格式。</w:t>
            </w:r>
          </w:p>
          <w:p w14:paraId="491509E3">
            <w:pPr>
              <w:widowControl/>
              <w:jc w:val="left"/>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rPr>
              <w:t>2.2.4支持2G以上文件上传。支持查看资源上传与训练状态，支持查看训练资源来源。支持按时间范围查看资源上传情况。</w:t>
            </w:r>
          </w:p>
          <w:p w14:paraId="09E5A273">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w:t>
            </w:r>
            <w:r>
              <w:rPr>
                <w:rFonts w:hint="eastAsia" w:ascii="仿宋" w:hAnsi="仿宋" w:eastAsia="仿宋" w:cs="仿宋"/>
                <w:color w:val="auto"/>
                <w:sz w:val="21"/>
                <w:szCs w:val="21"/>
                <w:highlight w:val="none"/>
                <w:lang w:val="en-US" w:eastAsia="zh-CN"/>
              </w:rPr>
              <w:t>3</w:t>
            </w:r>
            <w:r>
              <w:rPr>
                <w:rFonts w:hint="eastAsia" w:ascii="仿宋" w:hAnsi="仿宋" w:eastAsia="仿宋" w:cs="仿宋"/>
                <w:color w:val="auto"/>
                <w:sz w:val="21"/>
                <w:szCs w:val="21"/>
                <w:highlight w:val="none"/>
              </w:rPr>
              <w:t>AI 知识库管理功能</w:t>
            </w:r>
          </w:p>
          <w:p w14:paraId="61D79E44">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w:t>
            </w:r>
            <w:r>
              <w:rPr>
                <w:rFonts w:hint="eastAsia" w:ascii="仿宋" w:hAnsi="仿宋" w:eastAsia="仿宋" w:cs="仿宋"/>
                <w:color w:val="auto"/>
                <w:sz w:val="21"/>
                <w:szCs w:val="21"/>
                <w:highlight w:val="none"/>
                <w:lang w:val="en-US" w:eastAsia="zh-CN"/>
              </w:rPr>
              <w:t>3</w:t>
            </w:r>
            <w:r>
              <w:rPr>
                <w:rFonts w:hint="eastAsia" w:ascii="仿宋" w:hAnsi="仿宋" w:eastAsia="仿宋" w:cs="仿宋"/>
                <w:color w:val="auto"/>
                <w:sz w:val="21"/>
                <w:szCs w:val="21"/>
                <w:highlight w:val="none"/>
              </w:rPr>
              <w:t>.1支持“单位AI知识库”与“公共AI知识库”双维度管理，可按创建人、创建时间、知识库名称等条件进行精准检索与筛选；系统支持新增知识库、知识库管理及召回参数设置等核心操作，可实时统计并展示总文件数、总字符数等关键数据，支持列表与卡片两种视图切换，同时具备分页查询功能；支持在公共AI知识库订阅相关学科、专业、领域的知识库，公共知识库数量不低于2000个。</w:t>
            </w:r>
          </w:p>
          <w:p w14:paraId="58A933AE">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w:t>
            </w:r>
            <w:r>
              <w:rPr>
                <w:rFonts w:hint="eastAsia" w:ascii="仿宋" w:hAnsi="仿宋" w:eastAsia="仿宋" w:cs="仿宋"/>
                <w:color w:val="auto"/>
                <w:sz w:val="21"/>
                <w:szCs w:val="21"/>
                <w:highlight w:val="none"/>
                <w:lang w:val="en-US" w:eastAsia="zh-CN"/>
              </w:rPr>
              <w:t>3</w:t>
            </w:r>
            <w:r>
              <w:rPr>
                <w:rFonts w:hint="eastAsia" w:ascii="仿宋" w:hAnsi="仿宋" w:eastAsia="仿宋" w:cs="仿宋"/>
                <w:color w:val="auto"/>
                <w:sz w:val="21"/>
                <w:szCs w:val="21"/>
                <w:highlight w:val="none"/>
              </w:rPr>
              <w:t>.2系统支持新增知识库、知识库管理及召回参数设置等核心操作，可实时统计并展示总文件数、总字符数等关键数据，支持列表与卡片两种视图切换，同时具备分页查询功能，实现对知识库资源的全生命周期管理与高效调用。</w:t>
            </w:r>
          </w:p>
          <w:p w14:paraId="06A06EF0">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3.AI问答库建设</w:t>
            </w:r>
          </w:p>
          <w:p w14:paraId="6163E69B">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供应商建设课程问答库，涵盖常见问题、重点难点问题与拓展性问题，为教师与学生提供即时问题解决支持。同时，问答库应</w:t>
            </w:r>
            <w:r>
              <w:rPr>
                <w:rFonts w:hint="eastAsia" w:ascii="仿宋" w:hAnsi="仿宋" w:eastAsia="仿宋" w:cs="仿宋"/>
                <w:color w:val="auto"/>
                <w:sz w:val="21"/>
                <w:szCs w:val="21"/>
                <w:highlight w:val="none"/>
                <w:lang w:val="en-US" w:eastAsia="zh-CN"/>
              </w:rPr>
              <w:t>支持模糊匹配和精确匹配</w:t>
            </w:r>
            <w:r>
              <w:rPr>
                <w:rFonts w:hint="eastAsia" w:ascii="仿宋" w:hAnsi="仿宋" w:eastAsia="仿宋" w:cs="仿宋"/>
                <w:color w:val="auto"/>
                <w:sz w:val="21"/>
                <w:szCs w:val="21"/>
                <w:highlight w:val="none"/>
              </w:rPr>
              <w:t>，提升答疑效率与精准度。</w:t>
            </w:r>
          </w:p>
          <w:p w14:paraId="1A1DD110">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3.1需求调研与主题确定</w:t>
            </w:r>
          </w:p>
          <w:p w14:paraId="42D1B169">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3.1.1合作沟通：供应商与课程教学团队进行深入沟通，了解各学科的教学需求、痛点及期望。</w:t>
            </w:r>
          </w:p>
          <w:p w14:paraId="60AE1F08">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3.1.2主题界定：根据课程设计和师生需求，明确问答库的主题范围。</w:t>
            </w:r>
          </w:p>
          <w:p w14:paraId="2FDF067B">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3.1.3目标设定：确立问答库的使用目标，如辅助教学、自学辅导、考试复习等。</w:t>
            </w:r>
          </w:p>
          <w:p w14:paraId="3EE17B92">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w:t>
            </w:r>
            <w:r>
              <w:rPr>
                <w:rFonts w:hint="eastAsia" w:ascii="仿宋" w:hAnsi="仿宋" w:eastAsia="仿宋" w:cs="仿宋"/>
                <w:color w:val="auto"/>
                <w:sz w:val="21"/>
                <w:szCs w:val="21"/>
                <w:highlight w:val="none"/>
                <w:lang w:val="en-US" w:eastAsia="zh-CN"/>
              </w:rPr>
              <w:t>2</w:t>
            </w:r>
            <w:r>
              <w:rPr>
                <w:rFonts w:hint="eastAsia" w:ascii="仿宋" w:hAnsi="仿宋" w:eastAsia="仿宋" w:cs="仿宋"/>
                <w:color w:val="auto"/>
                <w:sz w:val="21"/>
                <w:szCs w:val="21"/>
                <w:highlight w:val="none"/>
              </w:rPr>
              <w:t>技术支持与更新维护</w:t>
            </w:r>
          </w:p>
          <w:p w14:paraId="12A0C975">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w:t>
            </w:r>
            <w:r>
              <w:rPr>
                <w:rFonts w:hint="eastAsia" w:ascii="仿宋" w:hAnsi="仿宋" w:eastAsia="仿宋" w:cs="仿宋"/>
                <w:color w:val="auto"/>
                <w:sz w:val="21"/>
                <w:szCs w:val="21"/>
                <w:highlight w:val="none"/>
                <w:lang w:val="en-US" w:eastAsia="zh-CN"/>
              </w:rPr>
              <w:t>2</w:t>
            </w:r>
            <w:r>
              <w:rPr>
                <w:rFonts w:hint="eastAsia" w:ascii="仿宋" w:hAnsi="仿宋" w:eastAsia="仿宋" w:cs="仿宋"/>
                <w:color w:val="auto"/>
                <w:sz w:val="21"/>
                <w:szCs w:val="21"/>
                <w:highlight w:val="none"/>
              </w:rPr>
              <w:t>.1业务问答支持关联微应用，支持调用日常教学及管理所需的快捷应用（如课堂签到、知识推荐等）</w:t>
            </w:r>
            <w:r>
              <w:rPr>
                <w:rFonts w:hint="eastAsia" w:ascii="仿宋" w:hAnsi="仿宋" w:eastAsia="仿宋" w:cs="仿宋"/>
                <w:color w:val="auto"/>
                <w:sz w:val="21"/>
                <w:szCs w:val="21"/>
                <w:highlight w:val="none"/>
                <w:lang w:eastAsia="zh-CN"/>
              </w:rPr>
              <w:t>，</w:t>
            </w:r>
            <w:r>
              <w:rPr>
                <w:rFonts w:hint="eastAsia" w:ascii="仿宋" w:hAnsi="仿宋" w:eastAsia="仿宋" w:cs="仿宋"/>
                <w:color w:val="auto"/>
                <w:sz w:val="21"/>
                <w:szCs w:val="21"/>
                <w:highlight w:val="none"/>
              </w:rPr>
              <w:t>支持关联本单位的已有应用与自建应用；</w:t>
            </w:r>
          </w:p>
          <w:p w14:paraId="2BEC4D57">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w:t>
            </w:r>
            <w:r>
              <w:rPr>
                <w:rFonts w:hint="eastAsia" w:ascii="仿宋" w:hAnsi="仿宋" w:eastAsia="仿宋" w:cs="仿宋"/>
                <w:color w:val="auto"/>
                <w:sz w:val="21"/>
                <w:szCs w:val="21"/>
                <w:highlight w:val="none"/>
                <w:lang w:val="en-US" w:eastAsia="zh-CN"/>
              </w:rPr>
              <w:t>2</w:t>
            </w:r>
            <w:r>
              <w:rPr>
                <w:rFonts w:hint="eastAsia" w:ascii="仿宋" w:hAnsi="仿宋" w:eastAsia="仿宋" w:cs="仿宋"/>
                <w:color w:val="auto"/>
                <w:sz w:val="21"/>
                <w:szCs w:val="21"/>
                <w:highlight w:val="none"/>
              </w:rPr>
              <w:t>.2支持用户手动上传文档至</w:t>
            </w:r>
            <w:r>
              <w:rPr>
                <w:rFonts w:hint="eastAsia" w:ascii="仿宋" w:hAnsi="仿宋" w:eastAsia="仿宋" w:cs="仿宋"/>
                <w:color w:val="auto"/>
                <w:sz w:val="21"/>
                <w:szCs w:val="21"/>
                <w:highlight w:val="none"/>
                <w:lang w:val="en-US" w:eastAsia="zh-CN"/>
              </w:rPr>
              <w:t>知识</w:t>
            </w:r>
            <w:r>
              <w:rPr>
                <w:rFonts w:hint="eastAsia" w:ascii="仿宋" w:hAnsi="仿宋" w:eastAsia="仿宋" w:cs="仿宋"/>
                <w:color w:val="auto"/>
                <w:sz w:val="21"/>
                <w:szCs w:val="21"/>
                <w:highlight w:val="none"/>
              </w:rPr>
              <w:t>库，上传后系统可对上传的文档进行解析，解析后可智能回答文档相关问题；</w:t>
            </w:r>
          </w:p>
          <w:p w14:paraId="0985AB7D">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w:t>
            </w:r>
            <w:r>
              <w:rPr>
                <w:rFonts w:hint="eastAsia" w:ascii="仿宋" w:hAnsi="仿宋" w:eastAsia="仿宋" w:cs="仿宋"/>
                <w:color w:val="auto"/>
                <w:sz w:val="21"/>
                <w:szCs w:val="21"/>
                <w:highlight w:val="none"/>
                <w:lang w:val="en-US" w:eastAsia="zh-CN"/>
              </w:rPr>
              <w:t>2</w:t>
            </w:r>
            <w:r>
              <w:rPr>
                <w:rFonts w:hint="eastAsia" w:ascii="仿宋" w:hAnsi="仿宋" w:eastAsia="仿宋" w:cs="仿宋"/>
                <w:color w:val="auto"/>
                <w:sz w:val="21"/>
                <w:szCs w:val="21"/>
                <w:highlight w:val="none"/>
              </w:rPr>
              <w:t>.3支持同步校本网络教学平台已建设的网络课程资料进行智能解析，解析后可围绕课程内容进行人机问答；支持根据用户输入问题进行匹配提示；支持未知问题回复语自定义设置。</w:t>
            </w:r>
          </w:p>
          <w:p w14:paraId="240D6BDD">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4.AI助教问答与资源推荐</w:t>
            </w:r>
          </w:p>
          <w:p w14:paraId="2E3E2295">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供应商提供训练后的AI助教，可提供问答与资源推荐。</w:t>
            </w:r>
          </w:p>
          <w:p w14:paraId="3671B115">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4.1支持多轮对话，可基于上一个问题的回答继续进行后续问答；提问时支持通过语音输入问题；</w:t>
            </w:r>
          </w:p>
          <w:p w14:paraId="18033919">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4.2提问时支持上传图片通过读取图片内的问题进行提问；</w:t>
            </w:r>
          </w:p>
          <w:p w14:paraId="4ABDEF28">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4.3提问时支持用户上传文档，让大模型围绕此份文档智能回答相关问题；</w:t>
            </w:r>
          </w:p>
          <w:p w14:paraId="671EBBBD">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4.4支持用户自主选择是否需要大模型回复；</w:t>
            </w:r>
          </w:p>
          <w:p w14:paraId="20FDE4BB">
            <w:pPr>
              <w:widowControl/>
              <w:jc w:val="left"/>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rPr>
              <w:t>4.5助教输出的答案支持显示来源，可截取显示与答案有关的原文内容，也可通过来源跳转回原文全文展开学习。</w:t>
            </w:r>
          </w:p>
          <w:p w14:paraId="3419481F">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二</w:t>
            </w:r>
            <w:r>
              <w:rPr>
                <w:rFonts w:hint="eastAsia" w:ascii="仿宋" w:hAnsi="仿宋" w:eastAsia="仿宋" w:cs="仿宋"/>
                <w:color w:val="auto"/>
                <w:sz w:val="21"/>
                <w:szCs w:val="21"/>
                <w:highlight w:val="none"/>
              </w:rPr>
              <w:t>）课程图谱建设服务</w:t>
            </w:r>
          </w:p>
          <w:p w14:paraId="65608C07">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1.课程图谱设计</w:t>
            </w:r>
          </w:p>
          <w:p w14:paraId="7ED7B2EF">
            <w:pPr>
              <w:widowControl/>
              <w:jc w:val="left"/>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1.1供应商根据课程教学团队需求，完成课程知识图谱设计。通过图谱可视化工具展示课程内容的逻辑结构和知识点之间的关联，帮助学生更直观地理解课程体系，为学生构建更完整的知识网络，培养学生的系统思维能力。</w:t>
            </w:r>
          </w:p>
          <w:p w14:paraId="40B7A581">
            <w:pPr>
              <w:widowControl/>
              <w:jc w:val="left"/>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1.2供应商根据课程教学团队需求，完成目标图谱设计。通过分解课程目标、关联知识点、提供融入教学活动与评估建议，实现课程设计、教学实施与学习评价的一致性，保障教学成效，助力课程目标有效达成。</w:t>
            </w:r>
          </w:p>
          <w:p w14:paraId="5D4E896E">
            <w:pPr>
              <w:widowControl/>
              <w:jc w:val="left"/>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1.3供应商根据课程教学团队需求，完成问题图谱设计，帮助学生梳理问题逻辑，逐步引导学生解决复杂问题。</w:t>
            </w:r>
          </w:p>
          <w:p w14:paraId="2A69DF98">
            <w:pPr>
              <w:widowControl/>
              <w:jc w:val="left"/>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1.4供应商根据课程教学团队需求，完成课程思政图谱设计。通过标记思政标签，融入课程思政元素，构建课程思政图谱，明确课程中思想政治教育的切入点与实施路径，实现价值引领与知识传授的有机结合。</w:t>
            </w:r>
          </w:p>
          <w:p w14:paraId="24D0FF9B">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2.知识图谱建设与应用</w:t>
            </w:r>
          </w:p>
          <w:p w14:paraId="75204905">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2.1支持知识点多层级架构建立，生成分类－知识点关系。</w:t>
            </w:r>
          </w:p>
          <w:p w14:paraId="76070EF5">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2.2支持手动添加、批量导入等方式构建知识图谱。批量导入需支持填写知识点名称、标签信息、认知维度、分类属性、教学目标、知识点说明等信息数据。手动编辑需支持单个修改知识点属性编辑，可批量或单独对当前知识点进行移动。</w:t>
            </w:r>
          </w:p>
          <w:p w14:paraId="19B2A987">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2.3支持智能导入，用户上传课程大纲、教材或PPT文件等，系统智能识别构建生成知识图谱。</w:t>
            </w:r>
          </w:p>
          <w:p w14:paraId="765E2335">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2.4支持本地导入xmind格式的思维导图文件，自动读取文件数据，生成课程知识图谱，并能够导出excel格式文件。</w:t>
            </w:r>
          </w:p>
          <w:p w14:paraId="4AC3A0E2">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2.5支持与教学平台打通，可通过教学平台现有课程章节选择生成章节图谱。</w:t>
            </w:r>
          </w:p>
          <w:p w14:paraId="40E93083">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2.6创建图谱支持同步其他课程图谱，支持全量同步或者部分选择同步。支持教学平台所教的课程导入及从教务课程导入功能支持导入知识点之间的关系。</w:t>
            </w:r>
          </w:p>
          <w:p w14:paraId="1052E365">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2.7支持AI生成图谱功能，系统可以基于教师已经建设好的网络课程结合AI应用自动生成知识图谱，并支持直接使用生成的图谱，同时支持在生成的图谱上进行自定义化修改。</w:t>
            </w:r>
          </w:p>
          <w:p w14:paraId="6C982BEB">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2.8知识图谱知识点支持说明添加，可添加富文本编辑框、公式编辑等富媒体文本。支持AI生成知识点说明。</w:t>
            </w:r>
          </w:p>
          <w:p w14:paraId="2DDDADEC">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2.9支持知识图谱自定义编辑功能，系统提供至少8种图谱形态，用户可根据课程性质选择合适的图谱形态进行编辑。</w:t>
            </w:r>
          </w:p>
          <w:p w14:paraId="12AEC81A">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2.10具备批量编辑图谱知识点功能，可实现批量对知识图谱知识点进行删除或移动。大纲模式下可实现对知识点进行批量全选设置。</w:t>
            </w:r>
          </w:p>
          <w:p w14:paraId="6B4956CF">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2.11支持知识点之间进行前置关系、后置关系、关联关系的设置；支持额外新增其他自定义关系。</w:t>
            </w:r>
          </w:p>
          <w:p w14:paraId="20D0306F">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2.12支持给知识点打标签，自定义标签内容，支持同一个支持点标记多个标签。具备附加标签功能，能够实现知识点的分类和标识</w:t>
            </w:r>
            <w:r>
              <w:rPr>
                <w:rFonts w:hint="eastAsia" w:ascii="仿宋" w:hAnsi="仿宋" w:eastAsia="仿宋" w:cs="仿宋"/>
                <w:color w:val="auto"/>
                <w:sz w:val="21"/>
                <w:szCs w:val="21"/>
                <w:highlight w:val="none"/>
                <w:lang w:eastAsia="zh-CN"/>
              </w:rPr>
              <w:t>，</w:t>
            </w:r>
            <w:r>
              <w:rPr>
                <w:rFonts w:hint="eastAsia" w:ascii="仿宋" w:hAnsi="仿宋" w:eastAsia="仿宋" w:cs="仿宋"/>
                <w:color w:val="auto"/>
                <w:sz w:val="21"/>
                <w:szCs w:val="21"/>
                <w:highlight w:val="none"/>
              </w:rPr>
              <w:t>支持知识点设定重点、难点以及考点等标签，同时支持用户自定义标签名称。</w:t>
            </w:r>
          </w:p>
          <w:p w14:paraId="067CB114">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2.13支持知识点被赋予某一分类属性，包括事实性、概念性、程序性、元认知等。</w:t>
            </w:r>
          </w:p>
          <w:p w14:paraId="6F327BC7">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2.14支持进行跨课知识点关联，实现不同课程之间知识的聚合联动，关联后可以实现跨课学习并进行专业下多门课程的知识点关联展示应用。</w:t>
            </w:r>
          </w:p>
          <w:p w14:paraId="2A132FCA">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2.15知识图谱显示支持2D和3D展示效果，用户可自主地进行模式切换。</w:t>
            </w:r>
          </w:p>
          <w:p w14:paraId="5F620306">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3.问题图谱建设与应用</w:t>
            </w:r>
          </w:p>
          <w:p w14:paraId="5B4BE81C">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3.1基于课程知识图谱，建设不少于三层的问题体系，系统提供对每层级问题的定义能力，允许用户添加问题详情及其与知识点的关联。</w:t>
            </w:r>
          </w:p>
          <w:p w14:paraId="4BC81B21">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3.2支持用户可根据教学需求，自定义栏目标题和描述，以适应多样化的教学情境。支持用户对栏目中节点的名称、描述、标签和知识点进行修改，保持内容的时效性和准确性。</w:t>
            </w:r>
          </w:p>
          <w:p w14:paraId="20AFFE1C">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3.3支持通过图谱形式展现问题与知识点的关联，使用户能够直观理解知识间的联系。</w:t>
            </w:r>
          </w:p>
          <w:p w14:paraId="6AA33808">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w:t>
            </w:r>
            <w:r>
              <w:rPr>
                <w:rFonts w:hint="eastAsia" w:ascii="仿宋" w:hAnsi="仿宋" w:eastAsia="仿宋" w:cs="仿宋"/>
                <w:color w:val="auto"/>
                <w:sz w:val="21"/>
                <w:szCs w:val="21"/>
                <w:highlight w:val="none"/>
                <w:lang w:val="en-US" w:eastAsia="zh-CN"/>
              </w:rPr>
              <w:t>4</w:t>
            </w:r>
            <w:r>
              <w:rPr>
                <w:rFonts w:hint="eastAsia" w:ascii="仿宋" w:hAnsi="仿宋" w:eastAsia="仿宋" w:cs="仿宋"/>
                <w:color w:val="auto"/>
                <w:sz w:val="21"/>
                <w:szCs w:val="21"/>
                <w:highlight w:val="none"/>
              </w:rPr>
              <w:t>支持开启探索模式，模拟学生学习路径，通过问题选择和知识点关联，促进学生的深入思考。在探索模式中，用户被引导将核心问题与子问题连接，形成知识网络，并通过提交与标准答案对比，实现自我评估。</w:t>
            </w:r>
          </w:p>
          <w:p w14:paraId="77C6540B">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w:t>
            </w:r>
            <w:r>
              <w:rPr>
                <w:rFonts w:hint="eastAsia" w:ascii="仿宋" w:hAnsi="仿宋" w:eastAsia="仿宋" w:cs="仿宋"/>
                <w:color w:val="auto"/>
                <w:sz w:val="21"/>
                <w:szCs w:val="21"/>
                <w:highlight w:val="none"/>
                <w:lang w:val="en-US" w:eastAsia="zh-CN"/>
              </w:rPr>
              <w:t>5</w:t>
            </w:r>
            <w:r>
              <w:rPr>
                <w:rFonts w:hint="eastAsia" w:ascii="仿宋" w:hAnsi="仿宋" w:eastAsia="仿宋" w:cs="仿宋"/>
                <w:color w:val="auto"/>
                <w:sz w:val="21"/>
                <w:szCs w:val="21"/>
                <w:highlight w:val="none"/>
              </w:rPr>
              <w:t>支持在探索过程中查看相关知识点并进行相关知识点的知识内容学习，有效提高在探索过程中思考解决问题的能力和获取信息的能力。</w:t>
            </w:r>
          </w:p>
          <w:p w14:paraId="76ACD998">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4.课程思政图谱建设与应用</w:t>
            </w:r>
          </w:p>
          <w:p w14:paraId="47CE09ED">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4.1支持自动根据现有的图谱信息生成课程思政图谱的功能。支持将标签为“课程思政”的知识点以花朵的形式呈现，以视觉突出其在课程中的核心地位，同时以花苞的形式展示其他的知识点。</w:t>
            </w:r>
          </w:p>
          <w:p w14:paraId="4804BABA">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w:t>
            </w:r>
            <w:r>
              <w:rPr>
                <w:rFonts w:hint="eastAsia" w:ascii="仿宋" w:hAnsi="仿宋" w:eastAsia="仿宋" w:cs="仿宋"/>
                <w:color w:val="auto"/>
                <w:sz w:val="21"/>
                <w:szCs w:val="21"/>
                <w:highlight w:val="none"/>
                <w:lang w:val="en-US" w:eastAsia="zh-CN"/>
              </w:rPr>
              <w:t>2</w:t>
            </w:r>
            <w:r>
              <w:rPr>
                <w:rFonts w:hint="eastAsia" w:ascii="仿宋" w:hAnsi="仿宋" w:eastAsia="仿宋" w:cs="仿宋"/>
                <w:color w:val="auto"/>
                <w:sz w:val="21"/>
                <w:szCs w:val="21"/>
                <w:highlight w:val="none"/>
              </w:rPr>
              <w:t>支持搜索功能覆盖知识点、分类和标签，实现全面性，满足用户不同维度的搜索需求。</w:t>
            </w:r>
          </w:p>
          <w:p w14:paraId="660C5B38">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w:t>
            </w:r>
            <w:r>
              <w:rPr>
                <w:rFonts w:hint="eastAsia" w:ascii="仿宋" w:hAnsi="仿宋" w:eastAsia="仿宋" w:cs="仿宋"/>
                <w:color w:val="auto"/>
                <w:sz w:val="21"/>
                <w:szCs w:val="21"/>
                <w:highlight w:val="none"/>
                <w:lang w:val="en-US" w:eastAsia="zh-CN"/>
              </w:rPr>
              <w:t>3</w:t>
            </w:r>
            <w:r>
              <w:rPr>
                <w:rFonts w:hint="eastAsia" w:ascii="仿宋" w:hAnsi="仿宋" w:eastAsia="仿宋" w:cs="仿宋"/>
                <w:color w:val="auto"/>
                <w:sz w:val="21"/>
                <w:szCs w:val="21"/>
                <w:highlight w:val="none"/>
              </w:rPr>
              <w:t>支持通过点击操作，可深入分类卡片获取详细信息，知识点用户也可以选择开启卡片，直接跳转至微课进行学习，实现知识获取的快速通道。</w:t>
            </w:r>
          </w:p>
          <w:p w14:paraId="74D93E44">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5.目标图谱建设</w:t>
            </w:r>
          </w:p>
          <w:p w14:paraId="576E9CE5">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5.1系统允许根据不同班级特点定制课程目标，以满足特定教学需求。支持课程目标模板导入/一键导出功能，便于教师对于课程目标可以直观浏览和整理，同时也能有效地和其他工具同时使用。</w:t>
            </w:r>
          </w:p>
          <w:p w14:paraId="31C0F6DE">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5.2支持课程目标与知识点进行关联，以展示目标与教学内容的直接联系。</w:t>
            </w:r>
          </w:p>
          <w:p w14:paraId="7D71342F">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5.3支持以柱状图展示课程目标关联知识点的个数，提供直观的统计信息；</w:t>
            </w:r>
          </w:p>
          <w:p w14:paraId="44BDDB79">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5.4支持以列表形式展示课程目标总数、课程目标名称、课程目标说明、课程目标标签以及所关联的知识点个数，方便用户快速浏览和了解。</w:t>
            </w:r>
          </w:p>
          <w:p w14:paraId="387FBD09">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5.5支持以图谱形式展示每个课程目标所关联的知识点情况，增强信息的可视化效果。</w:t>
            </w:r>
          </w:p>
          <w:p w14:paraId="00A4E838">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6.自定义图谱建设</w:t>
            </w:r>
          </w:p>
          <w:p w14:paraId="13BFF123">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6.1具备自定义图谱功能，可根据个性化的图谱展示进行自定义图谱建设，包括图谱名称及图谱样式。支持知识图谱自定义编辑功能，系统支持至少8种图谱形态，用户可根据课程性质选择合适的图谱形态进行编辑。</w:t>
            </w:r>
          </w:p>
          <w:p w14:paraId="147D6A44">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7.知识点微课建设与应用</w:t>
            </w:r>
          </w:p>
          <w:p w14:paraId="3701CBB5">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7.1支持教师对课程章节内容，包括——视频、音频、文档、章节测验等进行知识点标记，作为知识点教学任务进行设置，方便学生按知识点进行任务学习。</w:t>
            </w:r>
          </w:p>
          <w:p w14:paraId="786E04C0">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7.3支持按知识点上传资源，并查看知识点关联资源数量，方便教师按知识点管理资源。</w:t>
            </w:r>
          </w:p>
          <w:p w14:paraId="5EF7595D">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7.4知识点卡片须具备资料添加功能，可通过添加资料关联建设知识点下相关课程资料及其他相关资源。</w:t>
            </w:r>
          </w:p>
          <w:p w14:paraId="64935042">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7.5支持多种题型的创建管理，包括单选、多选、填空、判断、简答、名词解析、论述、计算、分录、连线、排序、完形填空、阅读理解、口语、听力等常见题型。</w:t>
            </w:r>
          </w:p>
          <w:p w14:paraId="3F260D2B">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w:t>
            </w:r>
            <w:r>
              <w:rPr>
                <w:rFonts w:hint="eastAsia" w:ascii="仿宋" w:hAnsi="仿宋" w:eastAsia="仿宋" w:cs="仿宋"/>
                <w:color w:val="auto"/>
                <w:sz w:val="21"/>
                <w:szCs w:val="21"/>
                <w:highlight w:val="none"/>
                <w:lang w:val="en-US" w:eastAsia="zh-CN"/>
              </w:rPr>
              <w:t>6</w:t>
            </w:r>
            <w:r>
              <w:rPr>
                <w:rFonts w:hint="eastAsia" w:ascii="仿宋" w:hAnsi="仿宋" w:eastAsia="仿宋" w:cs="仿宋"/>
                <w:color w:val="auto"/>
                <w:sz w:val="21"/>
                <w:szCs w:val="21"/>
                <w:highlight w:val="none"/>
              </w:rPr>
              <w:t>对课程建设系统中的视频进行智能分析，自动匹配课程中的知识点，并在视频对应的时间点进行自动打点，同时基于人工智能技术生成知识点词云、思维导图分析并展示；视频播放时学生可以定位到时间点观看对应知识点的视频讲解。</w:t>
            </w:r>
          </w:p>
          <w:p w14:paraId="0D08C0BE">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w:t>
            </w:r>
            <w:r>
              <w:rPr>
                <w:rFonts w:hint="eastAsia" w:ascii="仿宋" w:hAnsi="仿宋" w:eastAsia="仿宋" w:cs="仿宋"/>
                <w:color w:val="auto"/>
                <w:sz w:val="21"/>
                <w:szCs w:val="21"/>
                <w:highlight w:val="none"/>
                <w:lang w:val="en-US" w:eastAsia="zh-CN"/>
              </w:rPr>
              <w:t>6</w:t>
            </w:r>
            <w:r>
              <w:rPr>
                <w:rFonts w:hint="eastAsia" w:ascii="仿宋" w:hAnsi="仿宋" w:eastAsia="仿宋" w:cs="仿宋"/>
                <w:color w:val="auto"/>
                <w:sz w:val="21"/>
                <w:szCs w:val="21"/>
                <w:highlight w:val="none"/>
              </w:rPr>
              <w:t>对课程视频进行智能切片，按切片时间点点击可跳转学习对应片段视频；</w:t>
            </w:r>
          </w:p>
          <w:p w14:paraId="44A35E26">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w:t>
            </w:r>
            <w:r>
              <w:rPr>
                <w:rFonts w:hint="eastAsia" w:ascii="仿宋" w:hAnsi="仿宋" w:eastAsia="仿宋" w:cs="仿宋"/>
                <w:color w:val="auto"/>
                <w:sz w:val="21"/>
                <w:szCs w:val="21"/>
                <w:highlight w:val="none"/>
                <w:lang w:val="en-US" w:eastAsia="zh-CN"/>
              </w:rPr>
              <w:t>8</w:t>
            </w:r>
            <w:r>
              <w:rPr>
                <w:rFonts w:hint="eastAsia" w:ascii="仿宋" w:hAnsi="仿宋" w:eastAsia="仿宋" w:cs="仿宋"/>
                <w:color w:val="auto"/>
                <w:sz w:val="21"/>
                <w:szCs w:val="21"/>
                <w:highlight w:val="none"/>
              </w:rPr>
              <w:t>支持学生对不懂的视频或PDF文档点击“不懂”，触发AI助教及时答疑，页面自动截屏供AI助教分析。</w:t>
            </w:r>
          </w:p>
          <w:p w14:paraId="375158B6">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w:t>
            </w:r>
            <w:r>
              <w:rPr>
                <w:rFonts w:hint="eastAsia" w:ascii="仿宋" w:hAnsi="仿宋" w:eastAsia="仿宋" w:cs="仿宋"/>
                <w:color w:val="auto"/>
                <w:sz w:val="21"/>
                <w:szCs w:val="21"/>
                <w:highlight w:val="none"/>
                <w:lang w:val="en-US" w:eastAsia="zh-CN"/>
              </w:rPr>
              <w:t>9</w:t>
            </w:r>
            <w:r>
              <w:rPr>
                <w:rFonts w:hint="eastAsia" w:ascii="仿宋" w:hAnsi="仿宋" w:eastAsia="仿宋" w:cs="仿宋"/>
                <w:color w:val="auto"/>
                <w:sz w:val="21"/>
                <w:szCs w:val="21"/>
                <w:highlight w:val="none"/>
              </w:rPr>
              <w:t>支持学生进入课程、观看视频时进行人脸识别和抓拍。观看视频抓拍支持视频起始、视频播放、视频暂停再播放、视频结束抓拍设置，也支持播放中的定时抓拍，如10分钟抓拍一次和随机抓拍。识别失败支持记录并继续学习和不允许学习的配置。</w:t>
            </w:r>
          </w:p>
          <w:p w14:paraId="40B0D8F9">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w:t>
            </w:r>
            <w:r>
              <w:rPr>
                <w:rFonts w:hint="eastAsia" w:ascii="仿宋" w:hAnsi="仿宋" w:eastAsia="仿宋" w:cs="仿宋"/>
                <w:color w:val="auto"/>
                <w:sz w:val="21"/>
                <w:szCs w:val="21"/>
                <w:highlight w:val="none"/>
                <w:lang w:val="en-US" w:eastAsia="zh-CN"/>
              </w:rPr>
              <w:t>10</w:t>
            </w:r>
            <w:r>
              <w:rPr>
                <w:rFonts w:hint="eastAsia" w:ascii="仿宋" w:hAnsi="仿宋" w:eastAsia="仿宋" w:cs="仿宋"/>
                <w:color w:val="auto"/>
                <w:sz w:val="21"/>
                <w:szCs w:val="21"/>
                <w:highlight w:val="none"/>
              </w:rPr>
              <w:t>支持课程考核的试卷导出功能，至少支持A3、A4、B4等版式。支持自定义设置导出试卷模板，包括密封线位置，显示的课程信息，学生信息，考试承诺书等多项内容。</w:t>
            </w:r>
          </w:p>
          <w:p w14:paraId="0BBDD00C">
            <w:pPr>
              <w:widowControl/>
              <w:jc w:val="left"/>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7.11支持3D模型教学资源的可视化上传与编辑，支持glb、gltf格式模型上传，上传后在编辑界面提供实时预览窗口并自动捕捉模型封面图；支持拖曳调整模型初始位置、设置全局缩放比例与自旋转速度；支持模型上传历史列表，可对历史模型重新编辑、一键预览与复制分享链接。</w:t>
            </w:r>
          </w:p>
          <w:p w14:paraId="4A5AA9A8">
            <w:pPr>
              <w:widowControl/>
              <w:jc w:val="left"/>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7.12支持热点编辑系统，可点击模型表面任意位置创建交互热点，通过弹窗配置标题、图文简介、关联视频、音频解说及外部知识链接，支持将热点绑定至模型特定区域实现学习时区域高亮；所有热点在右侧面板集中管理，支持拖拽调整顺序、一键预览效果，可开启热点自动切换并设置停留时长。</w:t>
            </w:r>
          </w:p>
          <w:p w14:paraId="6CF91CD5">
            <w:pPr>
              <w:widowControl/>
              <w:jc w:val="left"/>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7.13支持动画管理，系统自动扫描并解析模型文件包含的动画并列出原始名称，支持单独预览播放与重命名为教学名称，支持选择性启用部分动画并设置用户端是否自动播放。</w:t>
            </w:r>
          </w:p>
          <w:p w14:paraId="08EFFB5B">
            <w:pPr>
              <w:widowControl/>
              <w:jc w:val="left"/>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7.14用户端支持拖拽模型360度旋转与平滑放大缩小，界面底部以列表形式展示所有热点标题，点击可快速定位对应热点；触发热点时视角自动平滑过渡至部件最佳观察位置并弹窗展示热点详情（名称、简介、关联图片、视频及扩展超链接），热点音频自动播放，热点所处区域高亮显示。</w:t>
            </w:r>
          </w:p>
          <w:p w14:paraId="61B25187">
            <w:pPr>
              <w:widowControl/>
              <w:jc w:val="left"/>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7.15用户端支持动画播放，提供动画播放按钮列表，可手动触发模型动画并重复播放，动画播放期间仍可正常触发和查看热点；支持多套背景切换。</w:t>
            </w:r>
          </w:p>
          <w:p w14:paraId="56AEEB06">
            <w:pPr>
              <w:widowControl/>
              <w:jc w:val="left"/>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7.16支持AI生成3D模型与知识热点编辑，教师围绕课程知识点通过文字描述或上传参考图片AI生成3D模型（文生3D/图生3D双模式），内置上百种公共3D教学模型可直接复用；支持AI批量识别模型部件自动生成知识热点（名称、简介、图文、音视频），支持热点自动轮播与手动触发双模式，可一键嵌入课程教学平台形成教学闭环。</w:t>
            </w:r>
          </w:p>
          <w:p w14:paraId="1A9ED9ED">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7.17支持编辑过程中所有修改（模型设置、热点、动画等）云端实时保存，提供一键预览，并支持手机端、电脑端多端预览与复制链接分享。</w:t>
            </w:r>
          </w:p>
          <w:p w14:paraId="13CB2D8B">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8.基于知识图谱的数智驱动数据分析与统计</w:t>
            </w:r>
          </w:p>
          <w:p w14:paraId="4FE4559E">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8.1支持教师查看知识图谱的知识点建设情况，包括知识点建设率、图谱知识点总数、图谱关联资源知识点数、已设置标签的知识点数、图谱未关联资源知识点数等；</w:t>
            </w:r>
          </w:p>
          <w:p w14:paraId="142440B6">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8.2支持查看不同知识点属性概况数据；支持查看图谱资源总数，关联视频、音频、文档、题目及其他类型资源数等；支持查看知识点关联资源数量排行榜。</w:t>
            </w:r>
          </w:p>
          <w:p w14:paraId="03C26462">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8.3支持教师查看不同班级的学情数据，包括每个知识点的完成率与掌握率、知识点热度、完成率与掌握率的学情分段人数、学生完成率与掌握率排行情况等数据。</w:t>
            </w:r>
          </w:p>
          <w:p w14:paraId="20ED62B4">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8.4支持教师选择多个不同班级进行学情数据对比，对比内容包括班级掌握率、班级完成率、完成率区间对比与掌握率区间对比等数据。通过班级对比分析，便于教师更好地了解不同班级间的学习差异。</w:t>
            </w:r>
          </w:p>
          <w:p w14:paraId="5959D9B2">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8.5支持教师依据知识点的属性或分类层级，灵活选取多样的评价维度，进而生成学生或班级画像。</w:t>
            </w:r>
          </w:p>
          <w:p w14:paraId="76C6C6DD">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三</w:t>
            </w:r>
            <w:r>
              <w:rPr>
                <w:rFonts w:hint="eastAsia" w:ascii="仿宋" w:hAnsi="仿宋" w:eastAsia="仿宋" w:cs="仿宋"/>
                <w:color w:val="auto"/>
                <w:sz w:val="21"/>
                <w:szCs w:val="21"/>
                <w:highlight w:val="none"/>
              </w:rPr>
              <w:t>）AI工作台智慧教学应用</w:t>
            </w:r>
          </w:p>
          <w:p w14:paraId="2A810646">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指导老师应用AI工具，在备课、教学、学习、教研、科研、评价等全流程深度融合，实现数字素养提升，并实现AI赋能的“师/生/机”深度交互教学模式改革。具有AI教案、AI生成PPT、AI智能写作与校正、章节视频与文档AI解析、AI智能出题、公式识别、作业智能查重、AIGC检测、文献阅读、视频理解、智能翻译、资料查询助手等AI工具应用于教学。</w:t>
            </w:r>
          </w:p>
          <w:p w14:paraId="29F74617">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1.AI教案</w:t>
            </w:r>
          </w:p>
          <w:p w14:paraId="62C20D6A">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1.1教师输入教学材料或关键词，AI自动生成教案，并支持教师借助写作助手进行再次编辑。</w:t>
            </w:r>
          </w:p>
          <w:p w14:paraId="3BEF8AB3">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1.2支持教师补充所教层次、适合的教学风格，形成更加具有个性化的教案。</w:t>
            </w:r>
          </w:p>
          <w:p w14:paraId="2D6DC6F2">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1.3支持一键导出教案，并且支持按学校教案模板导出。</w:t>
            </w:r>
          </w:p>
          <w:p w14:paraId="0585D5C0">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2.AI课件</w:t>
            </w:r>
          </w:p>
          <w:p w14:paraId="6BC05F54">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2.1通过输入PPT内容要求，AI智能生成PPT大纲</w:t>
            </w:r>
          </w:p>
          <w:p w14:paraId="783E79D7">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2.2支持教师在线直接编辑生成的大纲内容</w:t>
            </w:r>
          </w:p>
          <w:p w14:paraId="2EF22352">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2.3支持AI自动根据大纲生成PPT，教师可以进行在线编辑或下载</w:t>
            </w:r>
          </w:p>
          <w:p w14:paraId="2F63616E">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2.4支持选择PPT模板场景、设计风格、主题颜色，生成个性化PPT</w:t>
            </w:r>
          </w:p>
          <w:p w14:paraId="464463A0">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3.AI写作</w:t>
            </w:r>
          </w:p>
          <w:p w14:paraId="5D95440C">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3.1老师可以向AI写作助手提出需求，点击“生成”，写作助手会根据要求智能生成相应的内容，老师点击保存可以将内容输出到章节编辑页面上</w:t>
            </w:r>
          </w:p>
          <w:p w14:paraId="36E94C53">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3.2老师可进行文本修改、删减或排版</w:t>
            </w:r>
          </w:p>
          <w:p w14:paraId="3FF09762">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3.3在章节编辑页面，选中内容可进行AI改写、扩写、续写、简写、翻译等操作</w:t>
            </w:r>
          </w:p>
          <w:p w14:paraId="42B38585">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4.AI出题</w:t>
            </w:r>
          </w:p>
          <w:p w14:paraId="77EC6620">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4.1支持教师通过知识点、输入文本、上传附件文档和视频、选定章节等多种方式，搭配补充出题要求说明，由AI自动生成相应试题。AI系统可以自动生成对应的题目并且不限制教师使用次数。</w:t>
            </w:r>
          </w:p>
          <w:p w14:paraId="238401E6">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4.2支持多种题型，题型包括选择题、填空题、简答题等，以便满足不同类型考题的需求</w:t>
            </w:r>
          </w:p>
          <w:p w14:paraId="2B630A96">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4.3教师可以根据课程内容和学生水平，将生成的题目添加到题库。并随时使用这些题目进行测验、考试或者课堂练习。</w:t>
            </w:r>
          </w:p>
          <w:p w14:paraId="0CB51C54">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4.4支持设置出题要求，比如：适用年级、难易度、题目偏向等。</w:t>
            </w:r>
          </w:p>
          <w:p w14:paraId="2961E908">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4.5支持教师在线编辑调整AI生成的试题，也可以一键加入题库，组成作业考试发布给学生，并且支持跨课程使用生成的题目。</w:t>
            </w:r>
          </w:p>
          <w:p w14:paraId="60AB9FDD">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5.AI批阅</w:t>
            </w:r>
          </w:p>
          <w:p w14:paraId="61C1C120">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5.1使用先进的AI技术，能够批阅学生的主观题、论述题、小论文等。</w:t>
            </w:r>
          </w:p>
          <w:p w14:paraId="2D41A68B">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5.2对参考答案和学生答案进行分词处理和语法分析，以便计算词语和语句的相似度，从而量化学生答案与标准答案的匹配程度</w:t>
            </w:r>
          </w:p>
          <w:p w14:paraId="64BABEF9">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5.3支持利用语义相似度计算结果给出学生相应的得分，通过深度学习等技术来模拟人类对语义相似度的判断，从而更准确地评估学生的答案质量。</w:t>
            </w:r>
          </w:p>
          <w:p w14:paraId="25886FDB">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5.4系统可以根据教师设置的得分点来匹配得分，确保评分符合标准化要求，同时满足教学目标和评价体系。</w:t>
            </w:r>
          </w:p>
          <w:p w14:paraId="3C7D9924">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6.AI学情分析</w:t>
            </w:r>
          </w:p>
          <w:p w14:paraId="29374CE1">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6.1支持智能呈现班级整体知识点分析数据，提供个性化学习路径。</w:t>
            </w:r>
          </w:p>
          <w:p w14:paraId="743E7752">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6.2可查看知识点平均完成率、平均掌握率、完成率分布和掌握率分布等。支持按知识点查看每个知识点的关联学习资源数、平均完成率、平均掌握率、课程资料数、课程资料人均阅读情况等。</w:t>
            </w:r>
          </w:p>
          <w:p w14:paraId="669181D5">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6.3基于AI学情分析，可由AI生成学情分析画像，减轻教师学情分析压力，提升效率。</w:t>
            </w:r>
          </w:p>
          <w:p w14:paraId="011DAA86">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6.4针对班级学情数据进行分析，将班级学生分布自动划分为</w:t>
            </w:r>
            <w:r>
              <w:rPr>
                <w:rFonts w:hint="eastAsia" w:ascii="仿宋" w:hAnsi="仿宋" w:eastAsia="仿宋" w:cs="仿宋"/>
                <w:color w:val="auto"/>
                <w:sz w:val="21"/>
                <w:szCs w:val="21"/>
                <w:highlight w:val="none"/>
                <w:lang w:val="en-US" w:eastAsia="zh-CN"/>
              </w:rPr>
              <w:t>全优</w:t>
            </w:r>
            <w:r>
              <w:rPr>
                <w:rFonts w:hint="eastAsia" w:ascii="仿宋" w:hAnsi="仿宋" w:eastAsia="仿宋" w:cs="仿宋"/>
                <w:color w:val="auto"/>
                <w:sz w:val="21"/>
                <w:szCs w:val="21"/>
                <w:highlight w:val="none"/>
              </w:rPr>
              <w:t>层、</w:t>
            </w:r>
            <w:r>
              <w:rPr>
                <w:rFonts w:hint="eastAsia" w:ascii="仿宋" w:hAnsi="仿宋" w:eastAsia="仿宋" w:cs="仿宋"/>
                <w:color w:val="auto"/>
                <w:sz w:val="21"/>
                <w:szCs w:val="21"/>
                <w:highlight w:val="none"/>
                <w:lang w:val="en-US" w:eastAsia="zh-CN"/>
              </w:rPr>
              <w:t>提升</w:t>
            </w:r>
            <w:r>
              <w:rPr>
                <w:rFonts w:hint="eastAsia" w:ascii="仿宋" w:hAnsi="仿宋" w:eastAsia="仿宋" w:cs="仿宋"/>
                <w:color w:val="auto"/>
                <w:sz w:val="21"/>
                <w:szCs w:val="21"/>
                <w:highlight w:val="none"/>
              </w:rPr>
              <w:t>层、</w:t>
            </w:r>
            <w:r>
              <w:rPr>
                <w:rFonts w:hint="eastAsia" w:ascii="仿宋" w:hAnsi="仿宋" w:eastAsia="仿宋" w:cs="仿宋"/>
                <w:color w:val="auto"/>
                <w:sz w:val="21"/>
                <w:szCs w:val="21"/>
                <w:highlight w:val="none"/>
                <w:lang w:val="en-US" w:eastAsia="zh-CN"/>
              </w:rPr>
              <w:t>勤奋</w:t>
            </w:r>
            <w:r>
              <w:rPr>
                <w:rFonts w:hint="eastAsia" w:ascii="仿宋" w:hAnsi="仿宋" w:eastAsia="仿宋" w:cs="仿宋"/>
                <w:color w:val="auto"/>
                <w:sz w:val="21"/>
                <w:szCs w:val="21"/>
                <w:highlight w:val="none"/>
              </w:rPr>
              <w:t>层、</w:t>
            </w:r>
            <w:r>
              <w:rPr>
                <w:rFonts w:hint="eastAsia" w:ascii="仿宋" w:hAnsi="仿宋" w:eastAsia="仿宋" w:cs="仿宋"/>
                <w:color w:val="auto"/>
                <w:sz w:val="21"/>
                <w:szCs w:val="21"/>
                <w:highlight w:val="none"/>
                <w:lang w:val="en-US" w:eastAsia="zh-CN"/>
              </w:rPr>
              <w:t>学霸</w:t>
            </w:r>
            <w:r>
              <w:rPr>
                <w:rFonts w:hint="eastAsia" w:ascii="仿宋" w:hAnsi="仿宋" w:eastAsia="仿宋" w:cs="仿宋"/>
                <w:color w:val="auto"/>
                <w:sz w:val="21"/>
                <w:szCs w:val="21"/>
                <w:highlight w:val="none"/>
              </w:rPr>
              <w:t>层，并给出具体的教学建议，帮助教师开展精准教学。</w:t>
            </w:r>
          </w:p>
          <w:p w14:paraId="35A979EE">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6.5支持根据平台学生整体学习数据及专项数据，或者上传excel文档，教师可自定义分析维度，AI自动进行学生学情分析并提供建议提醒。</w:t>
            </w:r>
          </w:p>
          <w:p w14:paraId="74ADB964">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6.6支持多班对比分析：对多个班级的数据进行深度分析，洞察每个班级的独特学情，为教育决策提供科学依据。</w:t>
            </w:r>
          </w:p>
          <w:p w14:paraId="164868BD">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w:t>
            </w:r>
            <w:bookmarkStart w:id="0" w:name="_Toc177679160"/>
            <w:r>
              <w:rPr>
                <w:rFonts w:hint="eastAsia" w:ascii="仿宋" w:hAnsi="仿宋" w:eastAsia="仿宋" w:cs="仿宋"/>
                <w:color w:val="auto"/>
                <w:sz w:val="21"/>
                <w:szCs w:val="21"/>
                <w:highlight w:val="none"/>
              </w:rPr>
              <w:t>个性化学习路径推荐</w:t>
            </w:r>
            <w:bookmarkEnd w:id="0"/>
          </w:p>
          <w:p w14:paraId="2DDCBD5D">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7.1为学生智能化推荐个性化学习路径，呈现路径中各知识点掌握率</w:t>
            </w:r>
          </w:p>
          <w:p w14:paraId="5AA2D5FE">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7.2基于知识点的学习，智能化分析学生学习进度与掌握情况，掌握率高于90%的知识点在学习路径上不再显示</w:t>
            </w:r>
          </w:p>
          <w:p w14:paraId="05F27980">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7.3基于错题智能推荐薄弱知识点</w:t>
            </w:r>
          </w:p>
          <w:p w14:paraId="105ED119">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8.智能推荐资源</w:t>
            </w:r>
          </w:p>
          <w:p w14:paraId="37D862AA">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根据需求，可通过问答方式由AI助教提供智能化资源推荐，通过关键词识别，智能化挖掘呈现相关联学术资源，包含期刊、图书等内容，助力学生复习相关知识、扩展学习的深度与广度。</w:t>
            </w:r>
          </w:p>
          <w:p w14:paraId="04CA770B">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9.文献阅读</w:t>
            </w:r>
          </w:p>
          <w:p w14:paraId="1DD82E97">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9.1根据原文内容支持随机生成并显示默认问题，可通过点击默认问题或自定义输入问题查看回复，平台通过匹配向量之间的相似性，支持文字、表格等多种输出格式；</w:t>
            </w:r>
          </w:p>
          <w:p w14:paraId="13D7F2EE">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9.2支持点击词云查看人物、机构、地名在原文出现次数、页码以及原文信息，快速了解原文的重点和主题；</w:t>
            </w:r>
          </w:p>
          <w:p w14:paraId="202980AD">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9.3通过对原文的分析，支持按照章节提取关键信息，生成摘要列表；</w:t>
            </w:r>
          </w:p>
          <w:p w14:paraId="0BD72E07">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9.4通过对原文的分析将复杂的概念和关系可视化，支持按照脑图或markdown格式切换查看，帮助知识整理和信息归纳；</w:t>
            </w:r>
          </w:p>
          <w:p w14:paraId="2492D4DE">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r>
              <w:rPr>
                <w:rFonts w:hint="eastAsia" w:ascii="仿宋" w:hAnsi="仿宋" w:eastAsia="仿宋" w:cs="仿宋"/>
                <w:color w:val="auto"/>
                <w:sz w:val="21"/>
                <w:szCs w:val="21"/>
                <w:highlight w:val="none"/>
                <w:lang w:val="en-US" w:eastAsia="zh-CN"/>
              </w:rPr>
              <w:t>0</w:t>
            </w:r>
            <w:r>
              <w:rPr>
                <w:rFonts w:hint="eastAsia" w:ascii="仿宋" w:hAnsi="仿宋" w:eastAsia="仿宋" w:cs="仿宋"/>
                <w:color w:val="auto"/>
                <w:sz w:val="21"/>
                <w:szCs w:val="21"/>
                <w:highlight w:val="none"/>
              </w:rPr>
              <w:t>.作业智能查重</w:t>
            </w:r>
          </w:p>
          <w:p w14:paraId="2444ECDA">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r>
              <w:rPr>
                <w:rFonts w:hint="eastAsia" w:ascii="仿宋" w:hAnsi="仿宋" w:eastAsia="仿宋" w:cs="仿宋"/>
                <w:color w:val="auto"/>
                <w:sz w:val="21"/>
                <w:szCs w:val="21"/>
                <w:highlight w:val="none"/>
                <w:lang w:val="en-US" w:eastAsia="zh-CN"/>
              </w:rPr>
              <w:t>0</w:t>
            </w:r>
            <w:r>
              <w:rPr>
                <w:rFonts w:hint="eastAsia" w:ascii="仿宋" w:hAnsi="仿宋" w:eastAsia="仿宋" w:cs="仿宋"/>
                <w:color w:val="auto"/>
                <w:sz w:val="21"/>
                <w:szCs w:val="21"/>
                <w:highlight w:val="none"/>
              </w:rPr>
              <w:t>.1比对基础库中的数据包含图书、报纸、期刊、网络文档等多种文献类型；支持选择不同的比对库，包含全部全文比对库、图书全文比对库、非图书全文比对库、法律法规比对库、自建库选择进行检测。用户可下载PDF报告（简洁报告、全文检测报告）和HTML报告（综合评估、相似片段、全文对比）进行查看和打印，（PDF报告和HTML报告均提供相似度检测专用印章）</w:t>
            </w:r>
          </w:p>
          <w:p w14:paraId="4FB7ECA5">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r>
              <w:rPr>
                <w:rFonts w:hint="eastAsia" w:ascii="仿宋" w:hAnsi="仿宋" w:eastAsia="仿宋" w:cs="仿宋"/>
                <w:color w:val="auto"/>
                <w:sz w:val="21"/>
                <w:szCs w:val="21"/>
                <w:highlight w:val="none"/>
                <w:lang w:val="en-US" w:eastAsia="zh-CN"/>
              </w:rPr>
              <w:t>0</w:t>
            </w: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3</w:t>
            </w:r>
            <w:r>
              <w:rPr>
                <w:rFonts w:hint="eastAsia" w:ascii="仿宋" w:hAnsi="仿宋" w:eastAsia="仿宋" w:cs="仿宋"/>
                <w:color w:val="auto"/>
                <w:sz w:val="21"/>
                <w:szCs w:val="21"/>
                <w:highlight w:val="none"/>
              </w:rPr>
              <w:t>支持按文献类型查看典型相似图书列表、典型相似报纸列表、典型相似期刊列表、典型相似网络文档列表，支持在检测结果中，单独查看两两文献的比对结果。</w:t>
            </w:r>
          </w:p>
          <w:p w14:paraId="7312CE4F">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11.</w:t>
            </w:r>
            <w:r>
              <w:rPr>
                <w:rFonts w:hint="eastAsia" w:ascii="仿宋" w:hAnsi="仿宋" w:eastAsia="仿宋" w:cs="仿宋"/>
                <w:color w:val="auto"/>
                <w:sz w:val="21"/>
                <w:szCs w:val="21"/>
                <w:highlight w:val="none"/>
              </w:rPr>
              <w:t>AI科研助手</w:t>
            </w:r>
          </w:p>
          <w:p w14:paraId="03C59CA8">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eastAsia="zh-CN"/>
              </w:rPr>
              <w:t>1</w:t>
            </w:r>
            <w:r>
              <w:rPr>
                <w:rFonts w:hint="eastAsia" w:ascii="仿宋" w:hAnsi="仿宋" w:eastAsia="仿宋" w:cs="仿宋"/>
                <w:color w:val="auto"/>
                <w:sz w:val="21"/>
                <w:szCs w:val="21"/>
                <w:highlight w:val="none"/>
                <w:lang w:val="en-US" w:eastAsia="zh-CN"/>
              </w:rPr>
              <w:t>1</w:t>
            </w:r>
            <w:r>
              <w:rPr>
                <w:rFonts w:hint="eastAsia" w:ascii="仿宋" w:hAnsi="仿宋" w:eastAsia="仿宋" w:cs="仿宋"/>
                <w:color w:val="auto"/>
                <w:sz w:val="21"/>
                <w:szCs w:val="21"/>
                <w:highlight w:val="none"/>
              </w:rPr>
              <w:t>.1AI科研智能问答</w:t>
            </w:r>
          </w:p>
          <w:p w14:paraId="51C588BB">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eastAsia="zh-CN"/>
              </w:rPr>
              <w:t>1</w:t>
            </w:r>
            <w:r>
              <w:rPr>
                <w:rFonts w:hint="eastAsia" w:ascii="仿宋" w:hAnsi="仿宋" w:eastAsia="仿宋" w:cs="仿宋"/>
                <w:color w:val="auto"/>
                <w:sz w:val="21"/>
                <w:szCs w:val="21"/>
                <w:highlight w:val="none"/>
                <w:lang w:val="en-US" w:eastAsia="zh-CN"/>
              </w:rPr>
              <w:t>1</w:t>
            </w:r>
            <w:r>
              <w:rPr>
                <w:rFonts w:hint="eastAsia" w:ascii="仿宋" w:hAnsi="仿宋" w:eastAsia="仿宋" w:cs="仿宋"/>
                <w:color w:val="auto"/>
                <w:sz w:val="21"/>
                <w:szCs w:val="21"/>
                <w:highlight w:val="none"/>
              </w:rPr>
              <w:t>.1.1支持自定义切换多个学科智能体，每个智能体可绑定多个AI知识库与大模型；支持自定义智能体名称、图标、角色定位与使用场景描述。</w:t>
            </w:r>
          </w:p>
          <w:p w14:paraId="453BE565">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eastAsia="zh-CN"/>
              </w:rPr>
              <w:t>1</w:t>
            </w:r>
            <w:r>
              <w:rPr>
                <w:rFonts w:hint="eastAsia" w:ascii="仿宋" w:hAnsi="仿宋" w:eastAsia="仿宋" w:cs="仿宋"/>
                <w:color w:val="auto"/>
                <w:sz w:val="21"/>
                <w:szCs w:val="21"/>
                <w:highlight w:val="none"/>
                <w:lang w:val="en-US" w:eastAsia="zh-CN"/>
              </w:rPr>
              <w:t>1</w:t>
            </w:r>
            <w:r>
              <w:rPr>
                <w:rFonts w:hint="eastAsia" w:ascii="仿宋" w:hAnsi="仿宋" w:eastAsia="仿宋" w:cs="仿宋"/>
                <w:color w:val="auto"/>
                <w:sz w:val="21"/>
                <w:szCs w:val="21"/>
                <w:highlight w:val="none"/>
              </w:rPr>
              <w:t>.1.2智能体回答内容支持溯源引用来源，确保回答可信；支持灵活选择多种大模型；支持设置提示词，定义智能体角色行为和问答风格。</w:t>
            </w:r>
          </w:p>
          <w:p w14:paraId="690BBA53">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eastAsia="zh-CN"/>
              </w:rPr>
              <w:t>1</w:t>
            </w:r>
            <w:r>
              <w:rPr>
                <w:rFonts w:hint="eastAsia" w:ascii="仿宋" w:hAnsi="仿宋" w:eastAsia="仿宋" w:cs="仿宋"/>
                <w:color w:val="auto"/>
                <w:sz w:val="21"/>
                <w:szCs w:val="21"/>
                <w:highlight w:val="none"/>
                <w:lang w:val="en-US" w:eastAsia="zh-CN"/>
              </w:rPr>
              <w:t>1</w:t>
            </w:r>
            <w:r>
              <w:rPr>
                <w:rFonts w:hint="eastAsia" w:ascii="仿宋" w:hAnsi="仿宋" w:eastAsia="仿宋" w:cs="仿宋"/>
                <w:color w:val="auto"/>
                <w:sz w:val="21"/>
                <w:szCs w:val="21"/>
                <w:highlight w:val="none"/>
              </w:rPr>
              <w:t>.1.3支持问答式检索，直接以问题形式获取文献推荐或答案摘要；支持检索结果加入阅读清单与AI解读功能。</w:t>
            </w:r>
          </w:p>
          <w:p w14:paraId="782CC1C0">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eastAsia="zh-CN"/>
              </w:rPr>
              <w:t>1</w:t>
            </w:r>
            <w:r>
              <w:rPr>
                <w:rFonts w:hint="eastAsia" w:ascii="仿宋" w:hAnsi="仿宋" w:eastAsia="仿宋" w:cs="仿宋"/>
                <w:color w:val="auto"/>
                <w:sz w:val="21"/>
                <w:szCs w:val="21"/>
                <w:highlight w:val="none"/>
                <w:lang w:val="en-US" w:eastAsia="zh-CN"/>
              </w:rPr>
              <w:t>1</w:t>
            </w:r>
            <w:r>
              <w:rPr>
                <w:rFonts w:hint="eastAsia" w:ascii="仿宋" w:hAnsi="仿宋" w:eastAsia="仿宋" w:cs="仿宋"/>
                <w:color w:val="auto"/>
                <w:sz w:val="21"/>
                <w:szCs w:val="21"/>
                <w:highlight w:val="none"/>
              </w:rPr>
              <w:t>.2AI学术追踪</w:t>
            </w:r>
          </w:p>
          <w:p w14:paraId="0C6A4992">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eastAsia="zh-CN"/>
              </w:rPr>
              <w:t>1</w:t>
            </w:r>
            <w:r>
              <w:rPr>
                <w:rFonts w:hint="eastAsia" w:ascii="仿宋" w:hAnsi="仿宋" w:eastAsia="仿宋" w:cs="仿宋"/>
                <w:color w:val="auto"/>
                <w:sz w:val="21"/>
                <w:szCs w:val="21"/>
                <w:highlight w:val="none"/>
                <w:lang w:val="en-US" w:eastAsia="zh-CN"/>
              </w:rPr>
              <w:t>1</w:t>
            </w:r>
            <w:r>
              <w:rPr>
                <w:rFonts w:hint="eastAsia" w:ascii="仿宋" w:hAnsi="仿宋" w:eastAsia="仿宋" w:cs="仿宋"/>
                <w:color w:val="auto"/>
                <w:sz w:val="21"/>
                <w:szCs w:val="21"/>
                <w:highlight w:val="none"/>
              </w:rPr>
              <w:t>.2.1支持用户自定义研究兴趣、学术期刊、学者、学术顶会等信息进行AI追踪，系统自动筛选并推送相关的最新优质文献。支持用户通过自然语言输入具体兴趣追踪最新学术文献。支持对推荐文献快捷引用，支持APA、MLA、GB/T7714等引用格式；支持勾选多篇推荐文献进行多文献对话，支持对多篇文献提供观点对比、研究方法对比、结论对比、摘要总结。</w:t>
            </w:r>
          </w:p>
          <w:p w14:paraId="3D035E9E">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eastAsia="zh-CN"/>
              </w:rPr>
              <w:t>1</w:t>
            </w:r>
            <w:r>
              <w:rPr>
                <w:rFonts w:hint="eastAsia" w:ascii="仿宋" w:hAnsi="仿宋" w:eastAsia="仿宋" w:cs="仿宋"/>
                <w:color w:val="auto"/>
                <w:sz w:val="21"/>
                <w:szCs w:val="21"/>
                <w:highlight w:val="none"/>
                <w:lang w:val="en-US" w:eastAsia="zh-CN"/>
              </w:rPr>
              <w:t>1</w:t>
            </w:r>
            <w:r>
              <w:rPr>
                <w:rFonts w:hint="eastAsia" w:ascii="仿宋" w:hAnsi="仿宋" w:eastAsia="仿宋" w:cs="仿宋"/>
                <w:color w:val="auto"/>
                <w:sz w:val="21"/>
                <w:szCs w:val="21"/>
                <w:highlight w:val="none"/>
              </w:rPr>
              <w:t>.3AI学术对话</w:t>
            </w:r>
          </w:p>
          <w:p w14:paraId="38BC9AB1">
            <w:pPr>
              <w:widowControl/>
              <w:jc w:val="left"/>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lang w:eastAsia="zh-CN"/>
              </w:rPr>
              <w:t>1</w:t>
            </w:r>
            <w:r>
              <w:rPr>
                <w:rFonts w:hint="eastAsia" w:ascii="仿宋" w:hAnsi="仿宋" w:eastAsia="仿宋" w:cs="仿宋"/>
                <w:color w:val="auto"/>
                <w:sz w:val="21"/>
                <w:szCs w:val="21"/>
                <w:highlight w:val="none"/>
                <w:lang w:val="en-US" w:eastAsia="zh-CN"/>
              </w:rPr>
              <w:t>1</w:t>
            </w:r>
            <w:r>
              <w:rPr>
                <w:rFonts w:hint="eastAsia" w:ascii="仿宋" w:hAnsi="仿宋" w:eastAsia="仿宋" w:cs="仿宋"/>
                <w:color w:val="auto"/>
                <w:sz w:val="21"/>
                <w:szCs w:val="21"/>
                <w:highlight w:val="none"/>
                <w:lang w:eastAsia="zh-CN"/>
              </w:rPr>
              <w:t>.3.1支持对学术追踪的内容进行AI总结；支持AI快速解读关注领域的最新科研动态，便于用户快速及时了解最新文献、大批量文献；AI速读支持提取文章结构（研究方法、结论、贡献等）并生成摘要，支持一键生成关键要点，支持生成脑图。</w:t>
            </w:r>
          </w:p>
          <w:p w14:paraId="75ACF08E">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12</w:t>
            </w:r>
            <w:r>
              <w:rPr>
                <w:rFonts w:hint="eastAsia" w:ascii="仿宋" w:hAnsi="仿宋" w:eastAsia="仿宋" w:cs="仿宋"/>
                <w:color w:val="auto"/>
                <w:sz w:val="21"/>
                <w:szCs w:val="21"/>
                <w:highlight w:val="none"/>
              </w:rPr>
              <w:t>.AI实践</w:t>
            </w:r>
          </w:p>
          <w:p w14:paraId="49C755B5">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AI实践：学科教学体系中，实践教学是培养应用型人才的核心模块，尤其在管理学等强应用性领域具有不可替代性。AI实践是一种融合智能技术与教学场景的任务型学习方式，支持教师根据教学目标配置不同类型的实践任务，如商业案例分析、经营决策模拟、数据分析实训等。</w:t>
            </w:r>
          </w:p>
          <w:p w14:paraId="6E6421B2">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12.1</w:t>
            </w:r>
            <w:r>
              <w:rPr>
                <w:rFonts w:hint="eastAsia" w:ascii="仿宋" w:hAnsi="仿宋" w:eastAsia="仿宋" w:cs="仿宋"/>
                <w:color w:val="auto"/>
                <w:sz w:val="21"/>
                <w:szCs w:val="21"/>
                <w:highlight w:val="none"/>
              </w:rPr>
              <w:t>支持预设任务内容、评分标准与评估视角等多项任务信息。</w:t>
            </w:r>
          </w:p>
          <w:p w14:paraId="097D82CE">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12.2</w:t>
            </w:r>
            <w:r>
              <w:rPr>
                <w:rFonts w:hint="eastAsia" w:ascii="仿宋" w:hAnsi="仿宋" w:eastAsia="仿宋" w:cs="仿宋"/>
                <w:color w:val="auto"/>
                <w:sz w:val="21"/>
                <w:szCs w:val="21"/>
                <w:highlight w:val="none"/>
              </w:rPr>
              <w:t>支持学生在系统引导下完成练习、提交作品或多轮互动。</w:t>
            </w:r>
          </w:p>
          <w:p w14:paraId="04C1E903">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12.3</w:t>
            </w:r>
            <w:r>
              <w:rPr>
                <w:rFonts w:hint="eastAsia" w:ascii="仿宋" w:hAnsi="仿宋" w:eastAsia="仿宋" w:cs="仿宋"/>
                <w:color w:val="auto"/>
                <w:sz w:val="21"/>
                <w:szCs w:val="21"/>
                <w:highlight w:val="none"/>
              </w:rPr>
              <w:t>系统可记录学生过程、提供智能评分反馈，帮助教师高效开展教学管理。</w:t>
            </w:r>
          </w:p>
          <w:p w14:paraId="3FEA24D7">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12.4</w:t>
            </w:r>
            <w:r>
              <w:rPr>
                <w:rFonts w:hint="eastAsia" w:ascii="仿宋" w:hAnsi="仿宋" w:eastAsia="仿宋" w:cs="仿宋"/>
                <w:color w:val="auto"/>
                <w:sz w:val="21"/>
                <w:szCs w:val="21"/>
                <w:highlight w:val="none"/>
              </w:rPr>
              <w:t>支持上传作品型任务：上传作品任务适用于学生提交作品型成果，如实验图片、图文混排文档等。支持教师在任务中明确作品要求，设置评估角色与评分标准，结合实际教学目标和评分标准，对学生提交内容进行评阅与打分反馈。5）支持学习阶梯型任务</w:t>
            </w:r>
          </w:p>
          <w:p w14:paraId="0267D210">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12.5</w:t>
            </w:r>
            <w:r>
              <w:rPr>
                <w:rFonts w:hint="eastAsia" w:ascii="仿宋" w:hAnsi="仿宋" w:eastAsia="仿宋" w:cs="仿宋"/>
                <w:color w:val="auto"/>
                <w:sz w:val="21"/>
                <w:szCs w:val="21"/>
                <w:highlight w:val="none"/>
              </w:rPr>
              <w:t>学习阶梯是一种层层递进的任务设计方式，围绕一个核心问题，支持教师预设多个认知维度。学生需逐步作答、逐层推进，答对当前层级的问题后，才能解锁下一层，实现“按维推进、层层深入”的学习过程，帮助学生在实践中锻炼逻辑、分析与综合能力。</w:t>
            </w:r>
          </w:p>
          <w:p w14:paraId="0D0C219D">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12.6</w:t>
            </w:r>
            <w:r>
              <w:rPr>
                <w:rFonts w:hint="eastAsia" w:ascii="仿宋" w:hAnsi="仿宋" w:eastAsia="仿宋" w:cs="仿宋"/>
                <w:color w:val="auto"/>
                <w:sz w:val="21"/>
                <w:szCs w:val="21"/>
                <w:highlight w:val="none"/>
              </w:rPr>
              <w:t>互动故事</w:t>
            </w:r>
          </w:p>
          <w:p w14:paraId="51F7AD67">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将学科知识点转化为可互动的教学剧情，学生通过与故事中的不同AI角色对话还原各类真实专业场景，在沉浸式体验中深化知识理解与应用。</w:t>
            </w:r>
          </w:p>
          <w:p w14:paraId="503E0134">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12.7</w:t>
            </w:r>
            <w:r>
              <w:rPr>
                <w:rFonts w:hint="eastAsia" w:ascii="仿宋" w:hAnsi="仿宋" w:eastAsia="仿宋" w:cs="仿宋"/>
                <w:color w:val="auto"/>
                <w:sz w:val="21"/>
                <w:szCs w:val="21"/>
                <w:highlight w:val="none"/>
              </w:rPr>
              <w:t>AI思辩擂台：支持设定某一主题的辩论任务，自定义话题、观点、评分标准与对话轮次，学生既可自主选择立场，也可由教师指定。任务开始后，学生将与AI智能体展开实时辩论，各自围绕所选观点进行论证、举证与反驳，以此锻炼学生的逻辑组织、证据运用与多角度分析的能力。辩论结束后，系统将依据教师预先设定的评分标准，由AI对学生的整体表现进行评估并给出结果，帮助学生在实践中提升逻辑思维能力、证据意识和多角度分析问题的能力。</w:t>
            </w:r>
          </w:p>
          <w:p w14:paraId="08E006A1">
            <w:pPr>
              <w:widowControl/>
              <w:numPr>
                <w:ilvl w:val="0"/>
                <w:numId w:val="0"/>
              </w:numPr>
              <w:jc w:val="left"/>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13.AI教学数据采集</w:t>
            </w:r>
          </w:p>
          <w:p w14:paraId="086F1CC6">
            <w:pPr>
              <w:widowControl/>
              <w:numPr>
                <w:ilvl w:val="0"/>
                <w:numId w:val="0"/>
              </w:numPr>
              <w:jc w:val="left"/>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13.1任务数据采集工具：支持新建表单、AI 对话创建、Excel 导入、复制已有应用等多方式创建表单采集数据；支持字段显隐规则设置，满足条件时显示对应字段；支持动态审批流程配置，可在业务流转中实时获取节点人员，适配管理员 / 任课教师等做数据采集及业务审批需求，可灵活调整审核人员。</w:t>
            </w:r>
          </w:p>
          <w:p w14:paraId="72EE6DFE">
            <w:pPr>
              <w:widowControl/>
              <w:numPr>
                <w:ilvl w:val="0"/>
                <w:numId w:val="0"/>
              </w:numPr>
              <w:jc w:val="left"/>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13.2任务数据填写工具：支持 AI 智能填表，支持粘贴文本或上传文档，由 AI 自动识别关键信息并精准填充至对应表单字段，提升数据填报效率与准确性；支持 AI 公式智能编辑，支持通过自然语言对话方式描述公式需求，系统自动完成公式编写、符号匹配及目标字段自动插入，无需人工手动输入公式及符号，保障公式规范性与填报准确率。</w:t>
            </w:r>
          </w:p>
        </w:tc>
        <w:tc>
          <w:tcPr>
            <w:tcW w:w="540" w:type="dxa"/>
            <w:tcBorders>
              <w:top w:val="single" w:color="auto" w:sz="4" w:space="0"/>
              <w:left w:val="single" w:color="auto" w:sz="4" w:space="0"/>
              <w:bottom w:val="single" w:color="auto" w:sz="4" w:space="0"/>
            </w:tcBorders>
          </w:tcPr>
          <w:p w14:paraId="5AF07681">
            <w:pPr>
              <w:spacing w:line="440" w:lineRule="atLeast"/>
              <w:rPr>
                <w:rFonts w:hint="eastAsia" w:ascii="宋体" w:hAnsi="宋体" w:eastAsia="宋体" w:cs="宋体"/>
                <w:b/>
                <w:bCs/>
                <w:color w:val="auto"/>
                <w:sz w:val="21"/>
                <w:szCs w:val="21"/>
                <w:highlight w:val="none"/>
              </w:rPr>
            </w:pPr>
          </w:p>
        </w:tc>
        <w:tc>
          <w:tcPr>
            <w:tcW w:w="562" w:type="dxa"/>
            <w:tcBorders>
              <w:top w:val="single" w:color="auto" w:sz="4" w:space="0"/>
              <w:left w:val="single" w:color="auto" w:sz="4" w:space="0"/>
              <w:bottom w:val="single" w:color="auto" w:sz="4" w:space="0"/>
            </w:tcBorders>
          </w:tcPr>
          <w:p w14:paraId="04CFA7DE">
            <w:pPr>
              <w:spacing w:line="440" w:lineRule="atLeast"/>
              <w:rPr>
                <w:rFonts w:hint="eastAsia" w:ascii="宋体" w:hAnsi="宋体" w:eastAsia="宋体" w:cs="宋体"/>
                <w:b/>
                <w:bCs/>
                <w:color w:val="auto"/>
                <w:sz w:val="21"/>
                <w:szCs w:val="21"/>
                <w:highlight w:val="none"/>
              </w:rPr>
            </w:pPr>
          </w:p>
        </w:tc>
        <w:tc>
          <w:tcPr>
            <w:tcW w:w="780" w:type="dxa"/>
            <w:tcBorders>
              <w:top w:val="single" w:color="auto" w:sz="4" w:space="0"/>
              <w:left w:val="single" w:color="auto" w:sz="4" w:space="0"/>
              <w:bottom w:val="single" w:color="auto" w:sz="4" w:space="0"/>
            </w:tcBorders>
          </w:tcPr>
          <w:p w14:paraId="6BC98436">
            <w:pPr>
              <w:spacing w:line="440" w:lineRule="atLeast"/>
              <w:rPr>
                <w:rFonts w:hint="eastAsia" w:ascii="宋体" w:hAnsi="宋体" w:eastAsia="宋体" w:cs="宋体"/>
                <w:b/>
                <w:bCs/>
                <w:color w:val="auto"/>
                <w:sz w:val="21"/>
                <w:szCs w:val="21"/>
                <w:highlight w:val="none"/>
              </w:rPr>
            </w:pPr>
          </w:p>
        </w:tc>
        <w:tc>
          <w:tcPr>
            <w:tcW w:w="1118" w:type="dxa"/>
            <w:gridSpan w:val="2"/>
            <w:tcBorders>
              <w:top w:val="single" w:color="auto" w:sz="4" w:space="0"/>
              <w:left w:val="single" w:color="auto" w:sz="4" w:space="0"/>
              <w:bottom w:val="single" w:color="auto" w:sz="4" w:space="0"/>
            </w:tcBorders>
          </w:tcPr>
          <w:p w14:paraId="00B319CA">
            <w:pPr>
              <w:spacing w:line="440" w:lineRule="atLeast"/>
              <w:rPr>
                <w:rFonts w:hint="eastAsia" w:ascii="宋体" w:hAnsi="宋体" w:eastAsia="宋体" w:cs="宋体"/>
                <w:b/>
                <w:bCs/>
                <w:color w:val="auto"/>
                <w:sz w:val="21"/>
                <w:szCs w:val="21"/>
                <w:highlight w:val="none"/>
              </w:rPr>
            </w:pPr>
          </w:p>
        </w:tc>
        <w:tc>
          <w:tcPr>
            <w:tcW w:w="676" w:type="dxa"/>
            <w:tcBorders>
              <w:top w:val="single" w:color="auto" w:sz="4" w:space="0"/>
              <w:left w:val="single" w:color="auto" w:sz="4" w:space="0"/>
              <w:bottom w:val="single" w:color="auto" w:sz="4" w:space="0"/>
            </w:tcBorders>
          </w:tcPr>
          <w:p w14:paraId="1DA25FD0">
            <w:pPr>
              <w:spacing w:line="440" w:lineRule="atLeast"/>
              <w:rPr>
                <w:rFonts w:hint="eastAsia" w:ascii="宋体" w:hAnsi="宋体" w:eastAsia="宋体" w:cs="宋体"/>
                <w:b/>
                <w:bCs/>
                <w:color w:val="auto"/>
                <w:sz w:val="21"/>
                <w:szCs w:val="21"/>
                <w:highlight w:val="none"/>
              </w:rPr>
            </w:pPr>
          </w:p>
        </w:tc>
      </w:tr>
      <w:tr w14:paraId="5AE55FD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444" w:type="dxa"/>
            <w:tcBorders>
              <w:top w:val="single" w:color="auto" w:sz="4" w:space="0"/>
              <w:bottom w:val="single" w:color="auto" w:sz="4" w:space="0"/>
              <w:right w:val="single" w:color="auto" w:sz="4" w:space="0"/>
            </w:tcBorders>
            <w:vAlign w:val="center"/>
          </w:tcPr>
          <w:p w14:paraId="33EFD2A2">
            <w:pPr>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2</w:t>
            </w:r>
          </w:p>
        </w:tc>
        <w:tc>
          <w:tcPr>
            <w:tcW w:w="1020" w:type="dxa"/>
            <w:tcBorders>
              <w:top w:val="single" w:color="auto" w:sz="4" w:space="0"/>
              <w:left w:val="single" w:color="auto" w:sz="4" w:space="0"/>
              <w:bottom w:val="single" w:color="auto" w:sz="4" w:space="0"/>
              <w:right w:val="single" w:color="auto" w:sz="4" w:space="0"/>
            </w:tcBorders>
            <w:vAlign w:val="center"/>
          </w:tcPr>
          <w:p w14:paraId="1AD93CAF">
            <w:pPr>
              <w:widowControl/>
              <w:jc w:val="center"/>
              <w:rPr>
                <w:rFonts w:hint="eastAsia" w:ascii="仿宋" w:hAnsi="仿宋" w:eastAsia="仿宋" w:cs="仿宋"/>
                <w:color w:val="auto"/>
                <w:sz w:val="21"/>
                <w:szCs w:val="21"/>
                <w:highlight w:val="none"/>
              </w:rPr>
            </w:pPr>
            <w:r>
              <w:rPr>
                <w:rFonts w:hint="eastAsia" w:ascii="仿宋" w:hAnsi="仿宋" w:eastAsia="仿宋" w:cs="仿宋"/>
                <w:sz w:val="21"/>
                <w:szCs w:val="21"/>
                <w:highlight w:val="none"/>
              </w:rPr>
              <w:t>《职业规划与就业创业》《</w:t>
            </w:r>
            <w:bookmarkStart w:id="1" w:name="_GoBack"/>
            <w:r>
              <w:rPr>
                <w:rFonts w:hint="eastAsia" w:ascii="仿宋" w:hAnsi="仿宋" w:eastAsia="仿宋" w:cs="仿宋"/>
                <w:sz w:val="21"/>
                <w:szCs w:val="21"/>
                <w:highlight w:val="none"/>
              </w:rPr>
              <w:t>管理沟通</w:t>
            </w:r>
            <w:bookmarkEnd w:id="1"/>
            <w:r>
              <w:rPr>
                <w:rFonts w:hint="eastAsia" w:ascii="仿宋" w:hAnsi="仿宋" w:eastAsia="仿宋" w:cs="仿宋"/>
                <w:sz w:val="21"/>
                <w:szCs w:val="21"/>
                <w:highlight w:val="none"/>
              </w:rPr>
              <w:t>》等两门智慧课程场景化数字人微课视频建设服务</w:t>
            </w:r>
          </w:p>
        </w:tc>
        <w:tc>
          <w:tcPr>
            <w:tcW w:w="4576" w:type="dxa"/>
            <w:tcBorders>
              <w:top w:val="single" w:color="auto" w:sz="4" w:space="0"/>
              <w:left w:val="single" w:color="auto" w:sz="4" w:space="0"/>
              <w:bottom w:val="single" w:color="auto" w:sz="4" w:space="0"/>
            </w:tcBorders>
            <w:vAlign w:val="center"/>
          </w:tcPr>
          <w:p w14:paraId="51390B53">
            <w:pPr>
              <w:widowControl/>
              <w:jc w:val="left"/>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1.公司提供3D速课制作服务系统，支持1个账号下生成视频总时长为500分钟，并为该账号下配置3个数字人形象定制用于视频的制作。</w:t>
            </w:r>
          </w:p>
          <w:p w14:paraId="7357B7F7">
            <w:pPr>
              <w:widowControl/>
              <w:jc w:val="left"/>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2.公司提供数字人形象训练：支持通过5-10分钟训练视频进行数字分身形象的复刻训练，训练生成的数字分身须具备播报能力及肢体动作复刻展示，训练后的形象可同步至速课平台进行使用。</w:t>
            </w:r>
          </w:p>
          <w:p w14:paraId="0B90BF93">
            <w:pPr>
              <w:widowControl/>
              <w:jc w:val="left"/>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3.公司提供声音训练：支持通过20S训练音频数据对用户音色进行复刻训练，支持数字人音调、语速、音量再调节，训练后的声音可同步至视频生产平台进行使用。</w:t>
            </w:r>
          </w:p>
          <w:p w14:paraId="6C3B8B1D">
            <w:pPr>
              <w:widowControl/>
              <w:jc w:val="left"/>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4.支持多语种能力，至少支持中文模型、英文模型、中英双语模型；</w:t>
            </w:r>
          </w:p>
          <w:p w14:paraId="62A003BC">
            <w:pPr>
              <w:widowControl/>
              <w:jc w:val="left"/>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5.数字分身自定义：用户在进行课程生产过程中，选择好数字分身后可灵活调整数字分身形象大小和位置，制作过程中允许替换数字分身及数字分身的音色及对应语速、音调及音量信息。</w:t>
            </w:r>
          </w:p>
          <w:p w14:paraId="64DC469D">
            <w:pPr>
              <w:widowControl/>
              <w:jc w:val="left"/>
              <w:rPr>
                <w:rFonts w:hint="eastAsia" w:ascii="仿宋" w:hAnsi="仿宋" w:eastAsia="仿宋" w:cs="仿宋"/>
                <w:color w:val="auto"/>
                <w:sz w:val="21"/>
                <w:szCs w:val="21"/>
                <w:highlight w:val="none"/>
              </w:rPr>
            </w:pPr>
            <w:r>
              <w:rPr>
                <w:rFonts w:hint="eastAsia" w:ascii="仿宋" w:hAnsi="仿宋" w:eastAsia="仿宋" w:cs="仿宋"/>
                <w:sz w:val="21"/>
                <w:szCs w:val="21"/>
                <w:highlight w:val="none"/>
                <w:lang w:val="en-US" w:eastAsia="zh-CN"/>
              </w:rPr>
              <w:t>6.PPT解析：支持通过导入PPT文件的方式，进行3D课程的构建，可快速基于导入的文件快速进行课程制作；支持对ppt每个场景快速预览；支持对数字人的声音和形象属性进行选择和编辑可将设置效果应用至全局。</w:t>
            </w:r>
          </w:p>
        </w:tc>
        <w:tc>
          <w:tcPr>
            <w:tcW w:w="540" w:type="dxa"/>
            <w:tcBorders>
              <w:top w:val="single" w:color="auto" w:sz="4" w:space="0"/>
              <w:left w:val="single" w:color="auto" w:sz="4" w:space="0"/>
              <w:bottom w:val="single" w:color="auto" w:sz="4" w:space="0"/>
            </w:tcBorders>
          </w:tcPr>
          <w:p w14:paraId="04754934">
            <w:pPr>
              <w:spacing w:line="440" w:lineRule="atLeast"/>
              <w:rPr>
                <w:rFonts w:hint="eastAsia" w:ascii="宋体" w:hAnsi="宋体" w:eastAsia="宋体" w:cs="宋体"/>
                <w:b/>
                <w:bCs/>
                <w:color w:val="auto"/>
                <w:sz w:val="21"/>
                <w:szCs w:val="21"/>
                <w:highlight w:val="none"/>
              </w:rPr>
            </w:pPr>
          </w:p>
        </w:tc>
        <w:tc>
          <w:tcPr>
            <w:tcW w:w="562" w:type="dxa"/>
            <w:tcBorders>
              <w:top w:val="single" w:color="auto" w:sz="4" w:space="0"/>
              <w:left w:val="single" w:color="auto" w:sz="4" w:space="0"/>
              <w:bottom w:val="single" w:color="auto" w:sz="4" w:space="0"/>
            </w:tcBorders>
          </w:tcPr>
          <w:p w14:paraId="69C77641">
            <w:pPr>
              <w:spacing w:line="440" w:lineRule="atLeast"/>
              <w:rPr>
                <w:rFonts w:hint="eastAsia" w:ascii="宋体" w:hAnsi="宋体" w:eastAsia="宋体" w:cs="宋体"/>
                <w:b/>
                <w:bCs/>
                <w:color w:val="auto"/>
                <w:sz w:val="21"/>
                <w:szCs w:val="21"/>
                <w:highlight w:val="none"/>
              </w:rPr>
            </w:pPr>
          </w:p>
        </w:tc>
        <w:tc>
          <w:tcPr>
            <w:tcW w:w="780" w:type="dxa"/>
            <w:tcBorders>
              <w:top w:val="single" w:color="auto" w:sz="4" w:space="0"/>
              <w:left w:val="single" w:color="auto" w:sz="4" w:space="0"/>
              <w:bottom w:val="single" w:color="auto" w:sz="4" w:space="0"/>
            </w:tcBorders>
          </w:tcPr>
          <w:p w14:paraId="1B06EECA">
            <w:pPr>
              <w:spacing w:line="440" w:lineRule="atLeast"/>
              <w:rPr>
                <w:rFonts w:hint="eastAsia" w:ascii="宋体" w:hAnsi="宋体" w:eastAsia="宋体" w:cs="宋体"/>
                <w:b/>
                <w:bCs/>
                <w:color w:val="auto"/>
                <w:sz w:val="21"/>
                <w:szCs w:val="21"/>
                <w:highlight w:val="none"/>
              </w:rPr>
            </w:pPr>
          </w:p>
        </w:tc>
        <w:tc>
          <w:tcPr>
            <w:tcW w:w="1118" w:type="dxa"/>
            <w:gridSpan w:val="2"/>
            <w:tcBorders>
              <w:top w:val="single" w:color="auto" w:sz="4" w:space="0"/>
              <w:left w:val="single" w:color="auto" w:sz="4" w:space="0"/>
              <w:bottom w:val="single" w:color="auto" w:sz="4" w:space="0"/>
            </w:tcBorders>
          </w:tcPr>
          <w:p w14:paraId="76682872">
            <w:pPr>
              <w:spacing w:line="440" w:lineRule="atLeast"/>
              <w:rPr>
                <w:rFonts w:hint="eastAsia" w:ascii="宋体" w:hAnsi="宋体" w:eastAsia="宋体" w:cs="宋体"/>
                <w:b/>
                <w:bCs/>
                <w:color w:val="auto"/>
                <w:sz w:val="21"/>
                <w:szCs w:val="21"/>
                <w:highlight w:val="none"/>
              </w:rPr>
            </w:pPr>
          </w:p>
        </w:tc>
        <w:tc>
          <w:tcPr>
            <w:tcW w:w="676" w:type="dxa"/>
            <w:tcBorders>
              <w:top w:val="single" w:color="auto" w:sz="4" w:space="0"/>
              <w:left w:val="single" w:color="auto" w:sz="4" w:space="0"/>
              <w:bottom w:val="single" w:color="auto" w:sz="4" w:space="0"/>
            </w:tcBorders>
          </w:tcPr>
          <w:p w14:paraId="72EFCFC2">
            <w:pPr>
              <w:spacing w:line="440" w:lineRule="atLeast"/>
              <w:rPr>
                <w:rFonts w:hint="eastAsia" w:ascii="宋体" w:hAnsi="宋体" w:eastAsia="宋体" w:cs="宋体"/>
                <w:b/>
                <w:bCs/>
                <w:color w:val="auto"/>
                <w:sz w:val="21"/>
                <w:szCs w:val="21"/>
                <w:highlight w:val="none"/>
              </w:rPr>
            </w:pPr>
          </w:p>
        </w:tc>
      </w:tr>
      <w:tr w14:paraId="015D103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9716" w:type="dxa"/>
            <w:gridSpan w:val="9"/>
            <w:tcBorders>
              <w:top w:val="single" w:color="auto" w:sz="4" w:space="0"/>
              <w:bottom w:val="single" w:color="auto" w:sz="4" w:space="0"/>
            </w:tcBorders>
            <w:vAlign w:val="center"/>
          </w:tcPr>
          <w:p w14:paraId="45E297C4">
            <w:pPr>
              <w:spacing w:line="440" w:lineRule="atLeast"/>
              <w:jc w:val="center"/>
              <w:rPr>
                <w:rFonts w:hint="eastAsia" w:ascii="宋体" w:hAnsi="宋体" w:eastAsia="宋体" w:cs="宋体"/>
                <w:b/>
                <w:bCs/>
                <w:color w:val="auto"/>
                <w:sz w:val="21"/>
                <w:szCs w:val="21"/>
                <w:highlight w:val="none"/>
                <w:lang w:eastAsia="zh-CN"/>
              </w:rPr>
            </w:pPr>
            <w:r>
              <w:rPr>
                <w:rFonts w:ascii="宋体" w:hAnsi="宋体" w:eastAsia="宋体" w:cs="宋体"/>
                <w:sz w:val="21"/>
                <w:szCs w:val="21"/>
                <w:highlight w:val="none"/>
              </w:rPr>
              <w:t>报价合计：（大写）</w:t>
            </w:r>
            <w:r>
              <w:rPr>
                <w:rFonts w:hint="eastAsia" w:ascii="宋体" w:hAnsi="宋体" w:cs="宋体"/>
                <w:sz w:val="21"/>
                <w:szCs w:val="21"/>
                <w:highlight w:val="none"/>
                <w:u w:val="single"/>
                <w:lang w:val="en-US" w:eastAsia="zh-CN"/>
              </w:rPr>
              <w:t xml:space="preserve">             </w:t>
            </w:r>
            <w:r>
              <w:rPr>
                <w:rFonts w:ascii="宋体" w:hAnsi="宋体" w:eastAsia="宋体" w:cs="宋体"/>
                <w:sz w:val="21"/>
                <w:szCs w:val="21"/>
                <w:highlight w:val="none"/>
              </w:rPr>
              <w:t>（小写</w:t>
            </w:r>
            <w:r>
              <w:rPr>
                <w:rFonts w:hint="eastAsia" w:ascii="宋体" w:hAnsi="宋体" w:cs="宋体"/>
                <w:sz w:val="21"/>
                <w:szCs w:val="21"/>
                <w:highlight w:val="none"/>
                <w:lang w:eastAsia="zh-CN"/>
              </w:rPr>
              <w:t>）</w:t>
            </w:r>
          </w:p>
        </w:tc>
      </w:tr>
      <w:tr w14:paraId="2027F7D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9716" w:type="dxa"/>
            <w:gridSpan w:val="9"/>
            <w:tcBorders>
              <w:top w:val="single" w:color="auto" w:sz="4" w:space="0"/>
              <w:bottom w:val="single" w:color="auto" w:sz="4" w:space="0"/>
            </w:tcBorders>
            <w:vAlign w:val="center"/>
          </w:tcPr>
          <w:p w14:paraId="284E29A8">
            <w:pPr>
              <w:spacing w:line="440" w:lineRule="atLeast"/>
              <w:jc w:val="center"/>
              <w:rPr>
                <w:rFonts w:hint="eastAsia" w:ascii="宋体" w:hAnsi="宋体" w:eastAsia="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商务要求</w:t>
            </w:r>
          </w:p>
        </w:tc>
      </w:tr>
      <w:tr w14:paraId="4246081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464" w:type="dxa"/>
            <w:gridSpan w:val="2"/>
            <w:tcBorders>
              <w:top w:val="single" w:color="auto" w:sz="4" w:space="0"/>
              <w:bottom w:val="single" w:color="auto" w:sz="4" w:space="0"/>
              <w:right w:val="single" w:color="auto" w:sz="4" w:space="0"/>
            </w:tcBorders>
            <w:shd w:val="clear" w:color="auto" w:fill="auto"/>
            <w:vAlign w:val="center"/>
          </w:tcPr>
          <w:p w14:paraId="59661E8E">
            <w:pPr>
              <w:widowControl/>
              <w:spacing w:line="320" w:lineRule="exact"/>
              <w:jc w:val="center"/>
              <w:rPr>
                <w:rFonts w:hint="eastAsia" w:ascii="黑体" w:hAnsi="黑体" w:eastAsia="黑体" w:cs="黑体"/>
                <w:b/>
                <w:bCs/>
                <w:kern w:val="0"/>
                <w:sz w:val="21"/>
                <w:szCs w:val="21"/>
                <w:highlight w:val="none"/>
                <w:lang w:val="en-US" w:eastAsia="zh-CN" w:bidi="ar-SA"/>
              </w:rPr>
            </w:pPr>
            <w:r>
              <w:rPr>
                <w:rFonts w:hint="eastAsia" w:ascii="黑体" w:hAnsi="黑体" w:eastAsia="黑体" w:cs="黑体"/>
                <w:b/>
                <w:bCs/>
                <w:kern w:val="0"/>
                <w:sz w:val="21"/>
                <w:szCs w:val="21"/>
                <w:highlight w:val="none"/>
                <w:lang w:val="en-US" w:eastAsia="zh-CN"/>
              </w:rPr>
              <w:t>要求名称</w:t>
            </w:r>
          </w:p>
        </w:tc>
        <w:tc>
          <w:tcPr>
            <w:tcW w:w="4576" w:type="dxa"/>
            <w:tcBorders>
              <w:top w:val="single" w:color="auto" w:sz="4" w:space="0"/>
              <w:left w:val="single" w:color="auto" w:sz="4" w:space="0"/>
              <w:bottom w:val="single" w:color="auto" w:sz="4" w:space="0"/>
              <w:right w:val="single" w:color="auto" w:sz="4" w:space="0"/>
            </w:tcBorders>
            <w:shd w:val="clear" w:color="auto" w:fill="auto"/>
            <w:vAlign w:val="center"/>
          </w:tcPr>
          <w:p w14:paraId="3B179704">
            <w:pPr>
              <w:adjustRightInd w:val="0"/>
              <w:snapToGrid w:val="0"/>
              <w:spacing w:line="320" w:lineRule="exact"/>
              <w:jc w:val="center"/>
              <w:rPr>
                <w:rFonts w:hint="eastAsia" w:ascii="黑体" w:hAnsi="黑体" w:eastAsia="黑体" w:cs="黑体"/>
                <w:b/>
                <w:bCs/>
                <w:kern w:val="2"/>
                <w:sz w:val="21"/>
                <w:szCs w:val="21"/>
                <w:highlight w:val="none"/>
                <w:lang w:val="en-US" w:eastAsia="zh-CN" w:bidi="ar-SA"/>
              </w:rPr>
            </w:pPr>
            <w:r>
              <w:rPr>
                <w:rFonts w:hint="eastAsia" w:ascii="黑体" w:hAnsi="黑体" w:eastAsia="黑体" w:cs="黑体"/>
                <w:b/>
                <w:bCs/>
                <w:sz w:val="21"/>
                <w:szCs w:val="21"/>
                <w:highlight w:val="none"/>
                <w:lang w:val="en-US" w:eastAsia="zh-CN"/>
              </w:rPr>
              <w:t>要求内容</w:t>
            </w:r>
          </w:p>
        </w:tc>
        <w:tc>
          <w:tcPr>
            <w:tcW w:w="2805"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7747E104">
            <w:pPr>
              <w:spacing w:line="320" w:lineRule="exact"/>
              <w:jc w:val="center"/>
              <w:rPr>
                <w:rFonts w:hint="eastAsia" w:ascii="黑体" w:hAnsi="黑体" w:eastAsia="黑体" w:cs="黑体"/>
                <w:b/>
                <w:bCs/>
                <w:kern w:val="2"/>
                <w:sz w:val="21"/>
                <w:szCs w:val="21"/>
                <w:highlight w:val="none"/>
                <w:lang w:val="en-US" w:eastAsia="zh-CN" w:bidi="ar-SA"/>
              </w:rPr>
            </w:pPr>
            <w:r>
              <w:rPr>
                <w:rFonts w:hint="eastAsia" w:ascii="黑体" w:hAnsi="黑体" w:eastAsia="黑体" w:cs="黑体"/>
                <w:b/>
                <w:bCs/>
                <w:sz w:val="21"/>
                <w:szCs w:val="21"/>
                <w:highlight w:val="none"/>
                <w:lang w:val="en-US" w:eastAsia="zh-CN"/>
              </w:rPr>
              <w:t>是否响应</w:t>
            </w:r>
          </w:p>
        </w:tc>
        <w:tc>
          <w:tcPr>
            <w:tcW w:w="871" w:type="dxa"/>
            <w:gridSpan w:val="2"/>
            <w:tcBorders>
              <w:top w:val="single" w:color="auto" w:sz="4" w:space="0"/>
              <w:left w:val="single" w:color="auto" w:sz="4" w:space="0"/>
              <w:bottom w:val="single" w:color="auto" w:sz="4" w:space="0"/>
            </w:tcBorders>
            <w:shd w:val="clear" w:color="auto" w:fill="auto"/>
            <w:vAlign w:val="center"/>
          </w:tcPr>
          <w:p w14:paraId="1AD72028">
            <w:pPr>
              <w:spacing w:line="320" w:lineRule="exact"/>
              <w:jc w:val="center"/>
              <w:rPr>
                <w:rFonts w:hint="eastAsia" w:ascii="黑体" w:hAnsi="黑体" w:eastAsia="黑体" w:cs="黑体"/>
                <w:b/>
                <w:bCs/>
                <w:kern w:val="2"/>
                <w:sz w:val="21"/>
                <w:szCs w:val="21"/>
                <w:highlight w:val="none"/>
                <w:lang w:val="en-US" w:eastAsia="zh-CN" w:bidi="ar-SA"/>
              </w:rPr>
            </w:pPr>
            <w:r>
              <w:rPr>
                <w:rFonts w:hint="eastAsia" w:ascii="黑体" w:hAnsi="黑体" w:eastAsia="黑体" w:cs="黑体"/>
                <w:b/>
                <w:bCs/>
                <w:sz w:val="21"/>
                <w:szCs w:val="21"/>
                <w:highlight w:val="none"/>
                <w:lang w:val="en-US" w:eastAsia="zh-CN"/>
              </w:rPr>
              <w:t>备注</w:t>
            </w:r>
          </w:p>
        </w:tc>
      </w:tr>
      <w:tr w14:paraId="39F3EA0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464" w:type="dxa"/>
            <w:gridSpan w:val="2"/>
            <w:tcBorders>
              <w:top w:val="single" w:color="auto" w:sz="4" w:space="0"/>
              <w:bottom w:val="single" w:color="auto" w:sz="4" w:space="0"/>
              <w:right w:val="single" w:color="auto" w:sz="4" w:space="0"/>
            </w:tcBorders>
            <w:shd w:val="clear" w:color="auto" w:fill="auto"/>
            <w:vAlign w:val="center"/>
          </w:tcPr>
          <w:p w14:paraId="1925BB0B">
            <w:pPr>
              <w:widowControl/>
              <w:spacing w:line="320" w:lineRule="exact"/>
              <w:jc w:val="center"/>
              <w:rPr>
                <w:rFonts w:hint="eastAsia" w:ascii="仿宋" w:hAnsi="仿宋" w:eastAsia="仿宋" w:cs="仿宋"/>
                <w:kern w:val="0"/>
                <w:sz w:val="21"/>
                <w:szCs w:val="21"/>
                <w:highlight w:val="none"/>
                <w:lang w:val="en-US" w:eastAsia="zh-CN" w:bidi="ar-SA"/>
              </w:rPr>
            </w:pPr>
            <w:r>
              <w:rPr>
                <w:rFonts w:hint="eastAsia" w:ascii="仿宋" w:hAnsi="仿宋" w:eastAsia="仿宋" w:cs="仿宋"/>
                <w:kern w:val="0"/>
                <w:sz w:val="21"/>
                <w:szCs w:val="21"/>
                <w:highlight w:val="none"/>
                <w:lang w:val="en-US" w:eastAsia="zh-CN"/>
              </w:rPr>
              <w:t>报价要求</w:t>
            </w:r>
          </w:p>
        </w:tc>
        <w:tc>
          <w:tcPr>
            <w:tcW w:w="4576" w:type="dxa"/>
            <w:tcBorders>
              <w:top w:val="single" w:color="auto" w:sz="4" w:space="0"/>
              <w:left w:val="single" w:color="auto" w:sz="4" w:space="0"/>
              <w:bottom w:val="single" w:color="auto" w:sz="4" w:space="0"/>
              <w:right w:val="single" w:color="auto" w:sz="4" w:space="0"/>
            </w:tcBorders>
            <w:shd w:val="clear" w:color="auto" w:fill="auto"/>
            <w:vAlign w:val="center"/>
          </w:tcPr>
          <w:p w14:paraId="234671E9">
            <w:pPr>
              <w:adjustRightInd w:val="0"/>
              <w:snapToGrid w:val="0"/>
              <w:spacing w:line="320" w:lineRule="exact"/>
              <w:rPr>
                <w:rFonts w:hint="eastAsia" w:ascii="仿宋" w:hAnsi="仿宋" w:eastAsia="仿宋" w:cs="仿宋"/>
                <w:bCs/>
                <w:kern w:val="2"/>
                <w:sz w:val="21"/>
                <w:szCs w:val="21"/>
                <w:highlight w:val="none"/>
                <w:lang w:val="en-US" w:eastAsia="zh-CN" w:bidi="ar-SA"/>
              </w:rPr>
            </w:pPr>
            <w:r>
              <w:rPr>
                <w:rFonts w:hint="eastAsia" w:ascii="仿宋" w:hAnsi="仿宋" w:eastAsia="仿宋" w:cs="仿宋"/>
                <w:bCs/>
                <w:sz w:val="21"/>
                <w:szCs w:val="21"/>
                <w:highlight w:val="none"/>
                <w:lang w:val="en-US" w:eastAsia="zh-CN"/>
              </w:rPr>
              <w:t>报价应包括完成服务实施所需的费用（包含但不限于课程开发设计、培训、技术支持、售后服务等费用）、保险费用和各项税金等完成本项目所产生的全部费用。</w:t>
            </w:r>
          </w:p>
        </w:tc>
        <w:tc>
          <w:tcPr>
            <w:tcW w:w="2805"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2FE3ABCD">
            <w:pPr>
              <w:spacing w:line="320" w:lineRule="exact"/>
              <w:jc w:val="center"/>
              <w:rPr>
                <w:rFonts w:hint="eastAsia" w:ascii="仿宋_GB2312" w:hAnsi="仿宋_GB2312" w:cs="仿宋_GB2312"/>
                <w:b/>
                <w:bCs/>
                <w:sz w:val="21"/>
                <w:szCs w:val="21"/>
                <w:highlight w:val="none"/>
                <w:lang w:val="en-US" w:eastAsia="zh-CN"/>
              </w:rPr>
            </w:pPr>
          </w:p>
        </w:tc>
        <w:tc>
          <w:tcPr>
            <w:tcW w:w="871" w:type="dxa"/>
            <w:gridSpan w:val="2"/>
            <w:tcBorders>
              <w:top w:val="single" w:color="auto" w:sz="4" w:space="0"/>
              <w:left w:val="single" w:color="auto" w:sz="4" w:space="0"/>
              <w:bottom w:val="single" w:color="auto" w:sz="4" w:space="0"/>
            </w:tcBorders>
            <w:shd w:val="clear" w:color="auto" w:fill="auto"/>
            <w:vAlign w:val="center"/>
          </w:tcPr>
          <w:p w14:paraId="3D516D9E">
            <w:pPr>
              <w:spacing w:line="320" w:lineRule="exact"/>
              <w:jc w:val="center"/>
              <w:rPr>
                <w:rFonts w:hint="eastAsia" w:ascii="仿宋_GB2312" w:hAnsi="仿宋_GB2312" w:cs="仿宋_GB2312"/>
                <w:b/>
                <w:bCs/>
                <w:sz w:val="21"/>
                <w:szCs w:val="21"/>
                <w:highlight w:val="none"/>
                <w:lang w:val="en-US" w:eastAsia="zh-CN"/>
              </w:rPr>
            </w:pPr>
          </w:p>
        </w:tc>
      </w:tr>
      <w:tr w14:paraId="48EB3AD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464" w:type="dxa"/>
            <w:gridSpan w:val="2"/>
            <w:tcBorders>
              <w:top w:val="single" w:color="auto" w:sz="4" w:space="0"/>
              <w:bottom w:val="single" w:color="auto" w:sz="4" w:space="0"/>
              <w:right w:val="single" w:color="auto" w:sz="4" w:space="0"/>
            </w:tcBorders>
            <w:shd w:val="clear" w:color="auto" w:fill="auto"/>
            <w:vAlign w:val="center"/>
          </w:tcPr>
          <w:p w14:paraId="7E7D8C74">
            <w:pPr>
              <w:widowControl/>
              <w:spacing w:line="320" w:lineRule="exact"/>
              <w:jc w:val="center"/>
              <w:rPr>
                <w:rFonts w:hint="eastAsia" w:ascii="仿宋" w:hAnsi="仿宋" w:eastAsia="仿宋" w:cs="仿宋"/>
                <w:kern w:val="0"/>
                <w:sz w:val="21"/>
                <w:szCs w:val="21"/>
                <w:highlight w:val="none"/>
                <w:lang w:val="en-US" w:eastAsia="zh-CN" w:bidi="ar-SA"/>
              </w:rPr>
            </w:pPr>
            <w:r>
              <w:rPr>
                <w:rFonts w:hint="eastAsia" w:ascii="仿宋" w:hAnsi="仿宋" w:eastAsia="仿宋" w:cs="仿宋"/>
                <w:kern w:val="0"/>
                <w:sz w:val="21"/>
                <w:szCs w:val="21"/>
                <w:highlight w:val="none"/>
                <w:lang w:val="en-US" w:eastAsia="zh-CN"/>
              </w:rPr>
              <w:t>质保期</w:t>
            </w:r>
          </w:p>
        </w:tc>
        <w:tc>
          <w:tcPr>
            <w:tcW w:w="4576" w:type="dxa"/>
            <w:tcBorders>
              <w:top w:val="single" w:color="auto" w:sz="4" w:space="0"/>
              <w:left w:val="single" w:color="auto" w:sz="4" w:space="0"/>
              <w:bottom w:val="single" w:color="auto" w:sz="4" w:space="0"/>
              <w:right w:val="single" w:color="auto" w:sz="4" w:space="0"/>
            </w:tcBorders>
            <w:shd w:val="clear" w:color="auto" w:fill="auto"/>
            <w:vAlign w:val="center"/>
          </w:tcPr>
          <w:p w14:paraId="6AF5E0E7">
            <w:pPr>
              <w:adjustRightInd w:val="0"/>
              <w:snapToGrid w:val="0"/>
              <w:spacing w:line="320" w:lineRule="exact"/>
              <w:rPr>
                <w:rFonts w:hint="eastAsia" w:ascii="仿宋" w:hAnsi="仿宋" w:eastAsia="仿宋" w:cs="仿宋"/>
                <w:bCs/>
                <w:kern w:val="2"/>
                <w:sz w:val="21"/>
                <w:szCs w:val="21"/>
                <w:highlight w:val="none"/>
                <w:lang w:val="en-US" w:eastAsia="zh-CN" w:bidi="ar-SA"/>
              </w:rPr>
            </w:pPr>
            <w:r>
              <w:rPr>
                <w:rFonts w:hint="eastAsia" w:ascii="仿宋" w:hAnsi="仿宋" w:eastAsia="仿宋" w:cs="仿宋"/>
                <w:bCs/>
                <w:sz w:val="21"/>
                <w:szCs w:val="21"/>
                <w:highlight w:val="none"/>
                <w:lang w:val="en-US" w:eastAsia="zh-CN"/>
              </w:rPr>
              <w:t>按国家有关产品“三包”规定执行“三包”，免费质保期最短不得少于1年，质保期内免费提供课程维护、运行、升级及技术支持服务。</w:t>
            </w:r>
          </w:p>
        </w:tc>
        <w:tc>
          <w:tcPr>
            <w:tcW w:w="2805"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52143A20">
            <w:pPr>
              <w:spacing w:line="320" w:lineRule="exact"/>
              <w:jc w:val="center"/>
              <w:rPr>
                <w:rFonts w:hint="eastAsia" w:ascii="仿宋_GB2312" w:hAnsi="仿宋_GB2312" w:cs="仿宋_GB2312"/>
                <w:b/>
                <w:bCs/>
                <w:sz w:val="21"/>
                <w:szCs w:val="21"/>
                <w:highlight w:val="none"/>
                <w:lang w:val="en-US" w:eastAsia="zh-CN"/>
              </w:rPr>
            </w:pPr>
          </w:p>
        </w:tc>
        <w:tc>
          <w:tcPr>
            <w:tcW w:w="871" w:type="dxa"/>
            <w:gridSpan w:val="2"/>
            <w:tcBorders>
              <w:top w:val="single" w:color="auto" w:sz="4" w:space="0"/>
              <w:left w:val="single" w:color="auto" w:sz="4" w:space="0"/>
              <w:bottom w:val="single" w:color="auto" w:sz="4" w:space="0"/>
            </w:tcBorders>
            <w:shd w:val="clear" w:color="auto" w:fill="auto"/>
            <w:vAlign w:val="center"/>
          </w:tcPr>
          <w:p w14:paraId="753110F0">
            <w:pPr>
              <w:spacing w:line="320" w:lineRule="exact"/>
              <w:jc w:val="center"/>
              <w:rPr>
                <w:rFonts w:hint="eastAsia" w:ascii="仿宋_GB2312" w:hAnsi="仿宋_GB2312" w:cs="仿宋_GB2312"/>
                <w:b/>
                <w:bCs/>
                <w:sz w:val="21"/>
                <w:szCs w:val="21"/>
                <w:highlight w:val="none"/>
                <w:lang w:val="en-US" w:eastAsia="zh-CN"/>
              </w:rPr>
            </w:pPr>
          </w:p>
        </w:tc>
      </w:tr>
      <w:tr w14:paraId="6C51D88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464" w:type="dxa"/>
            <w:gridSpan w:val="2"/>
            <w:tcBorders>
              <w:top w:val="single" w:color="auto" w:sz="4" w:space="0"/>
              <w:bottom w:val="single" w:color="auto" w:sz="4" w:space="0"/>
              <w:right w:val="single" w:color="auto" w:sz="4" w:space="0"/>
            </w:tcBorders>
            <w:shd w:val="clear" w:color="auto" w:fill="auto"/>
            <w:vAlign w:val="center"/>
          </w:tcPr>
          <w:p w14:paraId="3FAE7758">
            <w:pPr>
              <w:widowControl/>
              <w:spacing w:line="320" w:lineRule="exact"/>
              <w:jc w:val="center"/>
              <w:rPr>
                <w:rFonts w:hint="eastAsia" w:ascii="仿宋" w:hAnsi="仿宋" w:eastAsia="仿宋" w:cs="仿宋"/>
                <w:kern w:val="0"/>
                <w:sz w:val="21"/>
                <w:szCs w:val="21"/>
                <w:highlight w:val="none"/>
                <w:lang w:val="en-US" w:eastAsia="zh-CN" w:bidi="ar-SA"/>
              </w:rPr>
            </w:pPr>
            <w:r>
              <w:rPr>
                <w:rFonts w:hint="eastAsia" w:ascii="仿宋" w:hAnsi="仿宋" w:eastAsia="仿宋" w:cs="仿宋"/>
                <w:kern w:val="0"/>
                <w:sz w:val="21"/>
                <w:szCs w:val="21"/>
                <w:highlight w:val="none"/>
                <w:lang w:val="en-US" w:eastAsia="zh-CN"/>
              </w:rPr>
              <w:t>产品及售后服务要求</w:t>
            </w:r>
          </w:p>
        </w:tc>
        <w:tc>
          <w:tcPr>
            <w:tcW w:w="4576" w:type="dxa"/>
            <w:tcBorders>
              <w:top w:val="single" w:color="auto" w:sz="4" w:space="0"/>
              <w:left w:val="single" w:color="auto" w:sz="4" w:space="0"/>
              <w:bottom w:val="single" w:color="auto" w:sz="4" w:space="0"/>
              <w:right w:val="single" w:color="auto" w:sz="4" w:space="0"/>
            </w:tcBorders>
            <w:shd w:val="clear" w:color="auto" w:fill="auto"/>
            <w:vAlign w:val="center"/>
          </w:tcPr>
          <w:p w14:paraId="53AD1254">
            <w:pPr>
              <w:adjustRightInd w:val="0"/>
              <w:snapToGrid w:val="0"/>
              <w:spacing w:line="320" w:lineRule="exact"/>
              <w:rPr>
                <w:rFonts w:hint="eastAsia" w:ascii="仿宋" w:hAnsi="仿宋" w:eastAsia="仿宋" w:cs="仿宋"/>
                <w:bCs/>
                <w:sz w:val="21"/>
                <w:szCs w:val="21"/>
                <w:highlight w:val="none"/>
              </w:rPr>
            </w:pPr>
            <w:r>
              <w:rPr>
                <w:rFonts w:hint="eastAsia" w:ascii="仿宋" w:hAnsi="仿宋" w:eastAsia="仿宋" w:cs="仿宋"/>
                <w:bCs/>
                <w:sz w:val="21"/>
                <w:szCs w:val="21"/>
                <w:highlight w:val="none"/>
                <w:lang w:val="en-US" w:eastAsia="zh-CN"/>
              </w:rPr>
              <w:t>1.交付产品</w:t>
            </w:r>
            <w:r>
              <w:rPr>
                <w:rFonts w:hint="eastAsia" w:ascii="仿宋" w:hAnsi="仿宋" w:eastAsia="仿宋" w:cs="仿宋"/>
                <w:bCs/>
                <w:sz w:val="21"/>
                <w:szCs w:val="21"/>
                <w:highlight w:val="none"/>
              </w:rPr>
              <w:t>必须是签订合同之日前</w:t>
            </w:r>
            <w:r>
              <w:rPr>
                <w:rFonts w:hint="eastAsia" w:ascii="仿宋" w:hAnsi="仿宋" w:eastAsia="仿宋" w:cs="仿宋"/>
                <w:bCs/>
                <w:sz w:val="21"/>
                <w:szCs w:val="21"/>
                <w:highlight w:val="none"/>
                <w:lang w:val="en-US" w:eastAsia="zh-CN"/>
              </w:rPr>
              <w:t xml:space="preserve"> 1 </w:t>
            </w:r>
            <w:r>
              <w:rPr>
                <w:rFonts w:hint="eastAsia" w:ascii="仿宋" w:hAnsi="仿宋" w:eastAsia="仿宋" w:cs="仿宋"/>
                <w:bCs/>
                <w:sz w:val="21"/>
                <w:szCs w:val="21"/>
                <w:highlight w:val="none"/>
              </w:rPr>
              <w:t>年内生产的产品。</w:t>
            </w:r>
          </w:p>
          <w:p w14:paraId="6259A322">
            <w:pPr>
              <w:adjustRightInd w:val="0"/>
              <w:snapToGrid w:val="0"/>
              <w:spacing w:line="320" w:lineRule="exact"/>
              <w:rPr>
                <w:rFonts w:hint="eastAsia" w:ascii="仿宋" w:hAnsi="仿宋" w:eastAsia="仿宋" w:cs="仿宋"/>
                <w:bCs/>
                <w:sz w:val="21"/>
                <w:szCs w:val="21"/>
                <w:highlight w:val="none"/>
              </w:rPr>
            </w:pPr>
            <w:r>
              <w:rPr>
                <w:rFonts w:hint="eastAsia" w:ascii="仿宋" w:hAnsi="仿宋" w:eastAsia="仿宋" w:cs="仿宋"/>
                <w:bCs/>
                <w:sz w:val="21"/>
                <w:szCs w:val="21"/>
                <w:highlight w:val="none"/>
                <w:lang w:val="en-US" w:eastAsia="zh-CN"/>
              </w:rPr>
              <w:t>2.售后服务内容全面，提供必要内容更新、升级维护等服务；有教师技术培训服务；承诺提供7×12小时服务，接到故障通知后 2 小时内提供解决问题方案。同时提供备用云服务器；提供定制培训方案，每次投入培训的工作人员不少于 3 人，整体集中培训次数 5 次，建立及时沟通指导机制，无条件及时为培训人员解决技术指导。</w:t>
            </w:r>
          </w:p>
          <w:p w14:paraId="51155CF2">
            <w:pPr>
              <w:adjustRightInd w:val="0"/>
              <w:snapToGrid w:val="0"/>
              <w:spacing w:line="320" w:lineRule="exact"/>
              <w:rPr>
                <w:rFonts w:hint="eastAsia" w:ascii="仿宋" w:hAnsi="仿宋" w:eastAsia="仿宋" w:cs="仿宋"/>
                <w:bCs/>
                <w:sz w:val="21"/>
                <w:szCs w:val="21"/>
                <w:highlight w:val="none"/>
                <w:lang w:val="en-US" w:eastAsia="zh-CN"/>
              </w:rPr>
            </w:pPr>
            <w:r>
              <w:rPr>
                <w:rFonts w:hint="eastAsia" w:ascii="仿宋" w:hAnsi="仿宋" w:eastAsia="仿宋" w:cs="仿宋"/>
                <w:bCs/>
                <w:sz w:val="21"/>
                <w:szCs w:val="21"/>
                <w:highlight w:val="none"/>
                <w:lang w:val="en-US" w:eastAsia="zh-CN"/>
              </w:rPr>
              <w:t>3.服务期1年，成交供应商对制作的智慧课程负有更新义务，即随着课程内容更新、知识结构调整，提供课程知识库和问答库更新，图谱的知识结构、能力/目标升级进行更新升级服务的义务。</w:t>
            </w:r>
          </w:p>
          <w:p w14:paraId="1B5FAF60">
            <w:pPr>
              <w:adjustRightInd w:val="0"/>
              <w:snapToGrid w:val="0"/>
              <w:spacing w:line="320" w:lineRule="exact"/>
              <w:rPr>
                <w:rFonts w:hint="eastAsia" w:ascii="仿宋" w:hAnsi="仿宋" w:eastAsia="仿宋" w:cs="仿宋"/>
                <w:bCs/>
                <w:sz w:val="21"/>
                <w:szCs w:val="21"/>
                <w:highlight w:val="none"/>
                <w:lang w:val="en-US" w:eastAsia="zh-CN"/>
              </w:rPr>
            </w:pPr>
            <w:r>
              <w:rPr>
                <w:rFonts w:hint="eastAsia" w:ascii="仿宋" w:hAnsi="仿宋" w:eastAsia="仿宋" w:cs="仿宋"/>
                <w:bCs/>
                <w:sz w:val="21"/>
                <w:szCs w:val="21"/>
                <w:highlight w:val="none"/>
                <w:lang w:val="en-US" w:eastAsia="zh-CN"/>
              </w:rPr>
              <w:t>4.数据对接服务。为保证学校教学数据的延续性，所有系统及课程部署上线后必须实现与学校超星智慧课程中心平台对接，对原数据进行及时维护和更新，实现课程教学数据的同步，供应商需在投标文件中提供具体的服务承诺书并加盖供应商公章。</w:t>
            </w:r>
          </w:p>
          <w:p w14:paraId="3EC787D0">
            <w:pPr>
              <w:adjustRightInd w:val="0"/>
              <w:snapToGrid w:val="0"/>
              <w:spacing w:line="320" w:lineRule="exact"/>
              <w:rPr>
                <w:rFonts w:hint="eastAsia" w:ascii="仿宋" w:hAnsi="仿宋" w:eastAsia="仿宋" w:cs="仿宋"/>
                <w:b/>
                <w:bCs w:val="0"/>
                <w:color w:val="auto"/>
                <w:kern w:val="2"/>
                <w:sz w:val="21"/>
                <w:szCs w:val="21"/>
                <w:highlight w:val="none"/>
                <w:lang w:val="en-US" w:eastAsia="zh-CN" w:bidi="ar-SA"/>
              </w:rPr>
            </w:pPr>
            <w:r>
              <w:rPr>
                <w:rFonts w:hint="eastAsia" w:ascii="仿宋" w:hAnsi="仿宋" w:eastAsia="仿宋" w:cs="仿宋"/>
                <w:b w:val="0"/>
                <w:bCs/>
                <w:color w:val="auto"/>
                <w:sz w:val="21"/>
                <w:szCs w:val="21"/>
                <w:highlight w:val="none"/>
                <w:lang w:val="en-US" w:eastAsia="zh-CN"/>
              </w:rPr>
              <w:t>5.智慧课程建设后，不应产生后续的维护费用，学校老师可以自行维护、添加各种资料。</w:t>
            </w:r>
          </w:p>
        </w:tc>
        <w:tc>
          <w:tcPr>
            <w:tcW w:w="2805"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62501245">
            <w:pPr>
              <w:spacing w:line="320" w:lineRule="exact"/>
              <w:jc w:val="center"/>
              <w:rPr>
                <w:rFonts w:hint="eastAsia" w:ascii="仿宋_GB2312" w:hAnsi="仿宋_GB2312" w:cs="仿宋_GB2312"/>
                <w:b/>
                <w:bCs/>
                <w:sz w:val="21"/>
                <w:szCs w:val="21"/>
                <w:highlight w:val="none"/>
                <w:lang w:val="en-US" w:eastAsia="zh-CN"/>
              </w:rPr>
            </w:pPr>
          </w:p>
        </w:tc>
        <w:tc>
          <w:tcPr>
            <w:tcW w:w="871" w:type="dxa"/>
            <w:gridSpan w:val="2"/>
            <w:tcBorders>
              <w:top w:val="single" w:color="auto" w:sz="4" w:space="0"/>
              <w:left w:val="single" w:color="auto" w:sz="4" w:space="0"/>
              <w:bottom w:val="single" w:color="auto" w:sz="4" w:space="0"/>
            </w:tcBorders>
            <w:shd w:val="clear" w:color="auto" w:fill="auto"/>
            <w:vAlign w:val="center"/>
          </w:tcPr>
          <w:p w14:paraId="1E5DC40D">
            <w:pPr>
              <w:spacing w:line="320" w:lineRule="exact"/>
              <w:jc w:val="center"/>
              <w:rPr>
                <w:rFonts w:hint="eastAsia" w:ascii="仿宋_GB2312" w:hAnsi="仿宋_GB2312" w:cs="仿宋_GB2312"/>
                <w:b/>
                <w:bCs/>
                <w:sz w:val="21"/>
                <w:szCs w:val="21"/>
                <w:highlight w:val="none"/>
                <w:lang w:val="en-US" w:eastAsia="zh-CN"/>
              </w:rPr>
            </w:pPr>
          </w:p>
        </w:tc>
      </w:tr>
      <w:tr w14:paraId="3CC4F45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464" w:type="dxa"/>
            <w:gridSpan w:val="2"/>
            <w:tcBorders>
              <w:top w:val="single" w:color="auto" w:sz="4" w:space="0"/>
              <w:bottom w:val="single" w:color="auto" w:sz="4" w:space="0"/>
              <w:right w:val="single" w:color="auto" w:sz="4" w:space="0"/>
            </w:tcBorders>
            <w:shd w:val="clear" w:color="auto" w:fill="auto"/>
            <w:vAlign w:val="center"/>
          </w:tcPr>
          <w:p w14:paraId="7F09893B">
            <w:pPr>
              <w:widowControl/>
              <w:spacing w:line="320" w:lineRule="exact"/>
              <w:jc w:val="center"/>
              <w:rPr>
                <w:rFonts w:hint="eastAsia" w:ascii="仿宋" w:hAnsi="仿宋" w:eastAsia="仿宋" w:cs="仿宋"/>
                <w:kern w:val="0"/>
                <w:sz w:val="21"/>
                <w:szCs w:val="21"/>
                <w:highlight w:val="none"/>
                <w:lang w:val="en-US" w:eastAsia="zh-CN" w:bidi="ar-SA"/>
              </w:rPr>
            </w:pPr>
            <w:r>
              <w:rPr>
                <w:rFonts w:hint="eastAsia" w:ascii="仿宋" w:hAnsi="仿宋" w:eastAsia="仿宋" w:cs="仿宋"/>
                <w:kern w:val="0"/>
                <w:sz w:val="21"/>
                <w:szCs w:val="21"/>
                <w:highlight w:val="none"/>
                <w:lang w:val="en-US" w:eastAsia="zh-CN"/>
              </w:rPr>
              <w:t>交付时间及地点</w:t>
            </w:r>
          </w:p>
        </w:tc>
        <w:tc>
          <w:tcPr>
            <w:tcW w:w="4576" w:type="dxa"/>
            <w:tcBorders>
              <w:top w:val="single" w:color="auto" w:sz="4" w:space="0"/>
              <w:left w:val="single" w:color="auto" w:sz="4" w:space="0"/>
              <w:bottom w:val="single" w:color="auto" w:sz="4" w:space="0"/>
              <w:right w:val="single" w:color="auto" w:sz="4" w:space="0"/>
            </w:tcBorders>
            <w:shd w:val="clear" w:color="auto" w:fill="auto"/>
            <w:vAlign w:val="center"/>
          </w:tcPr>
          <w:p w14:paraId="28A04CE2">
            <w:pPr>
              <w:adjustRightInd w:val="0"/>
              <w:snapToGrid w:val="0"/>
              <w:spacing w:line="320" w:lineRule="exact"/>
              <w:rPr>
                <w:rFonts w:hint="eastAsia" w:ascii="仿宋" w:hAnsi="仿宋" w:eastAsia="仿宋" w:cs="仿宋"/>
                <w:bCs/>
                <w:sz w:val="21"/>
                <w:szCs w:val="21"/>
                <w:highlight w:val="none"/>
              </w:rPr>
            </w:pPr>
            <w:r>
              <w:rPr>
                <w:rFonts w:hint="eastAsia" w:ascii="仿宋" w:hAnsi="仿宋" w:eastAsia="仿宋" w:cs="仿宋"/>
                <w:bCs/>
                <w:sz w:val="21"/>
                <w:szCs w:val="21"/>
                <w:highlight w:val="none"/>
              </w:rPr>
              <w:t>1.交付时间：自签订合同之日起</w:t>
            </w:r>
            <w:r>
              <w:rPr>
                <w:rFonts w:hint="eastAsia" w:ascii="仿宋" w:hAnsi="仿宋" w:eastAsia="仿宋" w:cs="仿宋"/>
                <w:bCs/>
                <w:sz w:val="21"/>
                <w:szCs w:val="21"/>
                <w:highlight w:val="none"/>
                <w:lang w:val="en-US" w:eastAsia="zh-CN"/>
              </w:rPr>
              <w:t xml:space="preserve"> 20 个日历</w:t>
            </w:r>
            <w:r>
              <w:rPr>
                <w:rFonts w:hint="eastAsia" w:ascii="仿宋" w:hAnsi="仿宋" w:eastAsia="仿宋" w:cs="仿宋"/>
                <w:bCs/>
                <w:sz w:val="21"/>
                <w:szCs w:val="21"/>
                <w:highlight w:val="none"/>
              </w:rPr>
              <w:t>内全部交付完成并验收合格。</w:t>
            </w:r>
          </w:p>
          <w:p w14:paraId="7943FC4F">
            <w:pPr>
              <w:adjustRightInd w:val="0"/>
              <w:snapToGrid w:val="0"/>
              <w:spacing w:line="320" w:lineRule="exact"/>
              <w:rPr>
                <w:rFonts w:hint="eastAsia" w:ascii="仿宋" w:hAnsi="仿宋" w:eastAsia="仿宋" w:cs="仿宋"/>
                <w:bCs/>
                <w:kern w:val="2"/>
                <w:sz w:val="21"/>
                <w:szCs w:val="21"/>
                <w:highlight w:val="none"/>
                <w:lang w:val="en-US" w:eastAsia="zh-CN" w:bidi="ar-SA"/>
              </w:rPr>
            </w:pPr>
            <w:r>
              <w:rPr>
                <w:rFonts w:hint="eastAsia" w:ascii="仿宋" w:hAnsi="仿宋" w:eastAsia="仿宋" w:cs="仿宋"/>
                <w:bCs/>
                <w:sz w:val="21"/>
                <w:szCs w:val="21"/>
                <w:highlight w:val="none"/>
              </w:rPr>
              <w:t>2.交付地点：</w:t>
            </w:r>
            <w:r>
              <w:rPr>
                <w:rFonts w:hint="eastAsia" w:ascii="仿宋" w:hAnsi="仿宋" w:eastAsia="仿宋" w:cs="仿宋"/>
                <w:bCs/>
                <w:sz w:val="21"/>
                <w:szCs w:val="21"/>
                <w:highlight w:val="none"/>
                <w:lang w:val="en-US" w:eastAsia="zh-CN"/>
              </w:rPr>
              <w:t>广西财经学院相思湖校区</w:t>
            </w:r>
            <w:r>
              <w:rPr>
                <w:rFonts w:hint="eastAsia" w:ascii="仿宋" w:hAnsi="仿宋" w:eastAsia="仿宋" w:cs="仿宋"/>
                <w:bCs/>
                <w:sz w:val="21"/>
                <w:szCs w:val="21"/>
                <w:highlight w:val="none"/>
              </w:rPr>
              <w:t>。</w:t>
            </w:r>
          </w:p>
        </w:tc>
        <w:tc>
          <w:tcPr>
            <w:tcW w:w="2805"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6ECEBF8E">
            <w:pPr>
              <w:spacing w:line="320" w:lineRule="exact"/>
              <w:jc w:val="center"/>
              <w:rPr>
                <w:rFonts w:hint="eastAsia" w:ascii="仿宋_GB2312" w:hAnsi="仿宋_GB2312" w:cs="仿宋_GB2312"/>
                <w:b/>
                <w:bCs/>
                <w:sz w:val="21"/>
                <w:szCs w:val="21"/>
                <w:highlight w:val="none"/>
                <w:lang w:val="en-US" w:eastAsia="zh-CN"/>
              </w:rPr>
            </w:pPr>
          </w:p>
        </w:tc>
        <w:tc>
          <w:tcPr>
            <w:tcW w:w="871" w:type="dxa"/>
            <w:gridSpan w:val="2"/>
            <w:tcBorders>
              <w:top w:val="single" w:color="auto" w:sz="4" w:space="0"/>
              <w:left w:val="single" w:color="auto" w:sz="4" w:space="0"/>
              <w:bottom w:val="single" w:color="auto" w:sz="4" w:space="0"/>
            </w:tcBorders>
            <w:shd w:val="clear" w:color="auto" w:fill="auto"/>
            <w:vAlign w:val="center"/>
          </w:tcPr>
          <w:p w14:paraId="1B88A9AC">
            <w:pPr>
              <w:spacing w:line="320" w:lineRule="exact"/>
              <w:jc w:val="center"/>
              <w:rPr>
                <w:rFonts w:hint="eastAsia" w:ascii="仿宋_GB2312" w:hAnsi="仿宋_GB2312" w:cs="仿宋_GB2312"/>
                <w:b/>
                <w:bCs/>
                <w:sz w:val="21"/>
                <w:szCs w:val="21"/>
                <w:highlight w:val="none"/>
                <w:lang w:val="en-US" w:eastAsia="zh-CN"/>
              </w:rPr>
            </w:pPr>
          </w:p>
        </w:tc>
      </w:tr>
      <w:tr w14:paraId="5527E1B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464" w:type="dxa"/>
            <w:gridSpan w:val="2"/>
            <w:tcBorders>
              <w:top w:val="single" w:color="auto" w:sz="4" w:space="0"/>
              <w:bottom w:val="single" w:color="auto" w:sz="4" w:space="0"/>
              <w:right w:val="single" w:color="auto" w:sz="4" w:space="0"/>
            </w:tcBorders>
            <w:shd w:val="clear" w:color="auto" w:fill="auto"/>
            <w:vAlign w:val="center"/>
          </w:tcPr>
          <w:p w14:paraId="0F75AA17">
            <w:pPr>
              <w:widowControl/>
              <w:spacing w:line="320" w:lineRule="exact"/>
              <w:jc w:val="center"/>
              <w:rPr>
                <w:rFonts w:hint="eastAsia" w:ascii="仿宋" w:hAnsi="仿宋" w:eastAsia="仿宋" w:cs="仿宋"/>
                <w:kern w:val="0"/>
                <w:sz w:val="21"/>
                <w:szCs w:val="21"/>
                <w:highlight w:val="none"/>
                <w:lang w:val="en-US" w:eastAsia="zh-CN" w:bidi="ar-SA"/>
              </w:rPr>
            </w:pPr>
            <w:r>
              <w:rPr>
                <w:rFonts w:hint="eastAsia" w:ascii="仿宋" w:hAnsi="仿宋" w:eastAsia="仿宋" w:cs="仿宋"/>
                <w:kern w:val="0"/>
                <w:sz w:val="21"/>
                <w:szCs w:val="21"/>
                <w:highlight w:val="none"/>
                <w:lang w:val="en-US" w:eastAsia="zh-CN"/>
              </w:rPr>
              <w:t>付款方式</w:t>
            </w:r>
          </w:p>
        </w:tc>
        <w:tc>
          <w:tcPr>
            <w:tcW w:w="4576" w:type="dxa"/>
            <w:tcBorders>
              <w:top w:val="single" w:color="auto" w:sz="4" w:space="0"/>
              <w:left w:val="single" w:color="auto" w:sz="4" w:space="0"/>
              <w:bottom w:val="single" w:color="auto" w:sz="4" w:space="0"/>
              <w:right w:val="single" w:color="auto" w:sz="4" w:space="0"/>
            </w:tcBorders>
            <w:shd w:val="clear" w:color="auto" w:fill="auto"/>
            <w:vAlign w:val="center"/>
          </w:tcPr>
          <w:p w14:paraId="676A2914">
            <w:pPr>
              <w:adjustRightInd w:val="0"/>
              <w:snapToGrid w:val="0"/>
              <w:spacing w:line="320" w:lineRule="exact"/>
              <w:rPr>
                <w:rFonts w:hint="eastAsia" w:ascii="仿宋" w:hAnsi="仿宋" w:eastAsia="仿宋" w:cs="仿宋"/>
                <w:bCs/>
                <w:kern w:val="2"/>
                <w:sz w:val="21"/>
                <w:szCs w:val="21"/>
                <w:highlight w:val="none"/>
                <w:lang w:val="en-US" w:eastAsia="zh-CN" w:bidi="ar-SA"/>
              </w:rPr>
            </w:pPr>
            <w:r>
              <w:rPr>
                <w:rFonts w:hint="eastAsia" w:ascii="仿宋" w:hAnsi="仿宋" w:eastAsia="仿宋" w:cs="仿宋"/>
                <w:bCs/>
                <w:kern w:val="2"/>
                <w:sz w:val="21"/>
                <w:szCs w:val="21"/>
                <w:highlight w:val="none"/>
                <w:lang w:val="en-US" w:eastAsia="zh-CN" w:bidi="ar-SA"/>
              </w:rPr>
              <w:t>本项目无预付款，成交供应商完成合同服务并验收合格后，采购人通知成交供应商开具有效发票，在收到成交供应商开具的发票及付款相关材料后，一次性支付100%项目款。</w:t>
            </w:r>
          </w:p>
        </w:tc>
        <w:tc>
          <w:tcPr>
            <w:tcW w:w="2805"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6039F0A8">
            <w:pPr>
              <w:spacing w:line="320" w:lineRule="exact"/>
              <w:jc w:val="center"/>
              <w:rPr>
                <w:rFonts w:hint="eastAsia" w:ascii="仿宋_GB2312" w:hAnsi="仿宋_GB2312" w:cs="仿宋_GB2312"/>
                <w:b/>
                <w:bCs/>
                <w:sz w:val="21"/>
                <w:szCs w:val="21"/>
                <w:highlight w:val="none"/>
                <w:lang w:val="en-US" w:eastAsia="zh-CN"/>
              </w:rPr>
            </w:pPr>
          </w:p>
        </w:tc>
        <w:tc>
          <w:tcPr>
            <w:tcW w:w="871" w:type="dxa"/>
            <w:gridSpan w:val="2"/>
            <w:tcBorders>
              <w:top w:val="single" w:color="auto" w:sz="4" w:space="0"/>
              <w:left w:val="single" w:color="auto" w:sz="4" w:space="0"/>
              <w:bottom w:val="single" w:color="auto" w:sz="4" w:space="0"/>
            </w:tcBorders>
            <w:shd w:val="clear" w:color="auto" w:fill="auto"/>
            <w:vAlign w:val="center"/>
          </w:tcPr>
          <w:p w14:paraId="2AFD0F8A">
            <w:pPr>
              <w:spacing w:line="320" w:lineRule="exact"/>
              <w:jc w:val="center"/>
              <w:rPr>
                <w:rFonts w:hint="eastAsia" w:ascii="仿宋_GB2312" w:hAnsi="仿宋_GB2312" w:cs="仿宋_GB2312"/>
                <w:b/>
                <w:bCs/>
                <w:sz w:val="21"/>
                <w:szCs w:val="21"/>
                <w:highlight w:val="none"/>
                <w:lang w:val="en-US" w:eastAsia="zh-CN"/>
              </w:rPr>
            </w:pPr>
          </w:p>
        </w:tc>
      </w:tr>
      <w:tr w14:paraId="53F3047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464" w:type="dxa"/>
            <w:gridSpan w:val="2"/>
            <w:tcBorders>
              <w:top w:val="single" w:color="auto" w:sz="4" w:space="0"/>
              <w:bottom w:val="single" w:color="auto" w:sz="4" w:space="0"/>
              <w:right w:val="single" w:color="auto" w:sz="4" w:space="0"/>
            </w:tcBorders>
            <w:shd w:val="clear" w:color="auto" w:fill="auto"/>
            <w:vAlign w:val="center"/>
          </w:tcPr>
          <w:p w14:paraId="0E1E3FC7">
            <w:pPr>
              <w:widowControl/>
              <w:spacing w:line="320" w:lineRule="exact"/>
              <w:jc w:val="center"/>
              <w:rPr>
                <w:rFonts w:hint="eastAsia" w:ascii="仿宋" w:hAnsi="仿宋" w:eastAsia="仿宋" w:cs="仿宋"/>
                <w:kern w:val="0"/>
                <w:sz w:val="21"/>
                <w:szCs w:val="21"/>
                <w:highlight w:val="none"/>
                <w:lang w:val="en-US" w:eastAsia="zh-CN" w:bidi="ar-SA"/>
              </w:rPr>
            </w:pPr>
            <w:r>
              <w:rPr>
                <w:rFonts w:hint="eastAsia" w:ascii="仿宋" w:hAnsi="仿宋" w:eastAsia="仿宋" w:cs="仿宋"/>
                <w:kern w:val="0"/>
                <w:sz w:val="21"/>
                <w:szCs w:val="21"/>
                <w:highlight w:val="none"/>
                <w:lang w:val="en-US" w:eastAsia="zh-CN"/>
              </w:rPr>
              <w:t>验收标准及要求</w:t>
            </w:r>
          </w:p>
        </w:tc>
        <w:tc>
          <w:tcPr>
            <w:tcW w:w="4576" w:type="dxa"/>
            <w:tcBorders>
              <w:top w:val="single" w:color="auto" w:sz="4" w:space="0"/>
              <w:left w:val="single" w:color="auto" w:sz="4" w:space="0"/>
              <w:bottom w:val="single" w:color="auto" w:sz="4" w:space="0"/>
              <w:right w:val="single" w:color="auto" w:sz="4" w:space="0"/>
            </w:tcBorders>
            <w:shd w:val="clear" w:color="auto" w:fill="auto"/>
            <w:vAlign w:val="center"/>
          </w:tcPr>
          <w:p w14:paraId="384E9EE6">
            <w:pPr>
              <w:adjustRightInd w:val="0"/>
              <w:snapToGrid w:val="0"/>
              <w:spacing w:line="320" w:lineRule="exact"/>
              <w:rPr>
                <w:rFonts w:hint="eastAsia" w:ascii="仿宋" w:hAnsi="仿宋" w:eastAsia="仿宋" w:cs="仿宋"/>
                <w:bCs/>
                <w:sz w:val="21"/>
                <w:szCs w:val="21"/>
                <w:highlight w:val="none"/>
                <w:lang w:val="en-US" w:eastAsia="zh-CN"/>
              </w:rPr>
            </w:pPr>
            <w:r>
              <w:rPr>
                <w:rFonts w:hint="eastAsia" w:ascii="仿宋" w:hAnsi="仿宋" w:eastAsia="仿宋" w:cs="仿宋"/>
                <w:bCs/>
                <w:sz w:val="21"/>
                <w:szCs w:val="21"/>
                <w:highlight w:val="none"/>
                <w:lang w:val="en-US" w:eastAsia="zh-CN"/>
              </w:rPr>
              <w:t>1.验收时由采购人对照采购文件的各项技术指标进行全面核对检验，如不符合采购文件的技术指标要求或提供虚假承诺的，采购人有权拒绝验收，中标供应商承担所有责任和损失，采购人有权解除合同并保留进一步追究责任的权利。</w:t>
            </w:r>
          </w:p>
          <w:p w14:paraId="0C4B2470">
            <w:pPr>
              <w:adjustRightInd w:val="0"/>
              <w:snapToGrid w:val="0"/>
              <w:spacing w:line="320" w:lineRule="exact"/>
              <w:rPr>
                <w:rFonts w:hint="eastAsia" w:ascii="仿宋" w:hAnsi="仿宋" w:eastAsia="仿宋" w:cs="仿宋"/>
                <w:bCs/>
                <w:sz w:val="21"/>
                <w:szCs w:val="21"/>
                <w:highlight w:val="none"/>
                <w:lang w:val="en-US" w:eastAsia="zh-CN"/>
              </w:rPr>
            </w:pPr>
            <w:r>
              <w:rPr>
                <w:rFonts w:hint="eastAsia" w:ascii="仿宋" w:hAnsi="仿宋" w:eastAsia="仿宋" w:cs="仿宋"/>
                <w:bCs/>
                <w:sz w:val="21"/>
                <w:szCs w:val="21"/>
                <w:highlight w:val="none"/>
                <w:lang w:val="en-US" w:eastAsia="zh-CN"/>
              </w:rPr>
              <w:t>2.项目验收过程中所产生的费用均由中标供应商承担。</w:t>
            </w:r>
          </w:p>
          <w:p w14:paraId="2A5BCF0D">
            <w:pPr>
              <w:adjustRightInd w:val="0"/>
              <w:snapToGrid w:val="0"/>
              <w:spacing w:line="320" w:lineRule="exact"/>
              <w:rPr>
                <w:rFonts w:hint="eastAsia" w:ascii="仿宋" w:hAnsi="仿宋" w:eastAsia="仿宋" w:cs="仿宋"/>
                <w:bCs/>
                <w:kern w:val="2"/>
                <w:sz w:val="21"/>
                <w:szCs w:val="21"/>
                <w:highlight w:val="none"/>
                <w:lang w:val="en-US" w:eastAsia="zh-CN" w:bidi="ar-SA"/>
              </w:rPr>
            </w:pPr>
            <w:r>
              <w:rPr>
                <w:rFonts w:hint="eastAsia" w:ascii="仿宋" w:hAnsi="仿宋" w:eastAsia="仿宋" w:cs="仿宋"/>
                <w:bCs/>
                <w:sz w:val="21"/>
                <w:szCs w:val="21"/>
                <w:highlight w:val="none"/>
                <w:lang w:val="en-US" w:eastAsia="zh-CN"/>
              </w:rPr>
              <w:t>3.本项目须严格执行国家、地方及教育行业相关验收标准及规范。</w:t>
            </w:r>
          </w:p>
        </w:tc>
        <w:tc>
          <w:tcPr>
            <w:tcW w:w="2805"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4EF0392A">
            <w:pPr>
              <w:spacing w:line="320" w:lineRule="exact"/>
              <w:jc w:val="center"/>
              <w:rPr>
                <w:rFonts w:hint="eastAsia" w:ascii="仿宋_GB2312" w:hAnsi="仿宋_GB2312" w:cs="仿宋_GB2312"/>
                <w:b/>
                <w:bCs/>
                <w:sz w:val="21"/>
                <w:szCs w:val="21"/>
                <w:highlight w:val="none"/>
                <w:lang w:val="en-US" w:eastAsia="zh-CN"/>
              </w:rPr>
            </w:pPr>
          </w:p>
        </w:tc>
        <w:tc>
          <w:tcPr>
            <w:tcW w:w="871" w:type="dxa"/>
            <w:gridSpan w:val="2"/>
            <w:tcBorders>
              <w:top w:val="single" w:color="auto" w:sz="4" w:space="0"/>
              <w:left w:val="single" w:color="auto" w:sz="4" w:space="0"/>
              <w:bottom w:val="single" w:color="auto" w:sz="4" w:space="0"/>
            </w:tcBorders>
            <w:shd w:val="clear" w:color="auto" w:fill="auto"/>
            <w:vAlign w:val="center"/>
          </w:tcPr>
          <w:p w14:paraId="668E2E4D">
            <w:pPr>
              <w:spacing w:line="320" w:lineRule="exact"/>
              <w:jc w:val="center"/>
              <w:rPr>
                <w:rFonts w:hint="eastAsia" w:ascii="仿宋_GB2312" w:hAnsi="仿宋_GB2312" w:cs="仿宋_GB2312"/>
                <w:b/>
                <w:bCs/>
                <w:sz w:val="21"/>
                <w:szCs w:val="21"/>
                <w:highlight w:val="none"/>
                <w:lang w:val="en-US" w:eastAsia="zh-CN"/>
              </w:rPr>
            </w:pPr>
          </w:p>
        </w:tc>
      </w:tr>
      <w:tr w14:paraId="5A9A307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464" w:type="dxa"/>
            <w:gridSpan w:val="2"/>
            <w:tcBorders>
              <w:top w:val="single" w:color="auto" w:sz="4" w:space="0"/>
              <w:bottom w:val="single" w:color="auto" w:sz="4" w:space="0"/>
              <w:right w:val="single" w:color="auto" w:sz="4" w:space="0"/>
            </w:tcBorders>
            <w:shd w:val="clear" w:color="auto" w:fill="auto"/>
            <w:vAlign w:val="center"/>
          </w:tcPr>
          <w:p w14:paraId="4CE05870">
            <w:pPr>
              <w:widowControl/>
              <w:spacing w:line="320" w:lineRule="exact"/>
              <w:jc w:val="center"/>
              <w:rPr>
                <w:rFonts w:hint="eastAsia" w:ascii="仿宋" w:hAnsi="仿宋" w:eastAsia="仿宋" w:cs="仿宋"/>
                <w:kern w:val="0"/>
                <w:sz w:val="21"/>
                <w:szCs w:val="21"/>
                <w:highlight w:val="none"/>
                <w:lang w:val="en-US" w:eastAsia="zh-CN" w:bidi="ar-SA"/>
              </w:rPr>
            </w:pPr>
            <w:r>
              <w:rPr>
                <w:rFonts w:hint="eastAsia" w:ascii="仿宋" w:hAnsi="仿宋" w:eastAsia="仿宋" w:cs="仿宋"/>
                <w:kern w:val="0"/>
                <w:sz w:val="21"/>
                <w:szCs w:val="21"/>
                <w:highlight w:val="none"/>
                <w:lang w:val="en-US" w:eastAsia="zh-CN"/>
              </w:rPr>
              <w:t>著作权归属</w:t>
            </w:r>
          </w:p>
        </w:tc>
        <w:tc>
          <w:tcPr>
            <w:tcW w:w="4576" w:type="dxa"/>
            <w:tcBorders>
              <w:top w:val="single" w:color="auto" w:sz="4" w:space="0"/>
              <w:left w:val="single" w:color="auto" w:sz="4" w:space="0"/>
              <w:bottom w:val="single" w:color="auto" w:sz="4" w:space="0"/>
              <w:right w:val="single" w:color="auto" w:sz="4" w:space="0"/>
            </w:tcBorders>
            <w:shd w:val="clear" w:color="auto" w:fill="auto"/>
            <w:vAlign w:val="center"/>
          </w:tcPr>
          <w:p w14:paraId="7F01ADBD">
            <w:pPr>
              <w:keepNext w:val="0"/>
              <w:keepLines w:val="0"/>
              <w:pageBreakBefore w:val="0"/>
              <w:widowControl/>
              <w:kinsoku/>
              <w:wordWrap/>
              <w:overflowPunct/>
              <w:topLinePunct w:val="0"/>
              <w:autoSpaceDE/>
              <w:autoSpaceDN/>
              <w:bidi w:val="0"/>
              <w:adjustRightInd w:val="0"/>
              <w:snapToGrid w:val="0"/>
              <w:spacing w:line="400" w:lineRule="exact"/>
              <w:jc w:val="left"/>
              <w:textAlignment w:val="center"/>
              <w:rPr>
                <w:rFonts w:hint="eastAsia" w:ascii="仿宋" w:hAnsi="仿宋" w:eastAsia="仿宋" w:cs="仿宋"/>
                <w:bCs/>
                <w:kern w:val="2"/>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
              </w:rPr>
              <w:t>课程内容的著作权为广西财经学院所拥有，未经采购人允许，供应商不得以任何方式提供给其他任何单位或个人占有使用。</w:t>
            </w:r>
          </w:p>
        </w:tc>
        <w:tc>
          <w:tcPr>
            <w:tcW w:w="2805"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1531A633">
            <w:pPr>
              <w:spacing w:line="320" w:lineRule="exact"/>
              <w:jc w:val="center"/>
              <w:rPr>
                <w:rFonts w:hint="eastAsia" w:ascii="仿宋_GB2312" w:hAnsi="仿宋_GB2312" w:cs="仿宋_GB2312"/>
                <w:b/>
                <w:bCs/>
                <w:sz w:val="21"/>
                <w:szCs w:val="21"/>
                <w:highlight w:val="none"/>
                <w:lang w:val="en-US" w:eastAsia="zh-CN"/>
              </w:rPr>
            </w:pPr>
          </w:p>
        </w:tc>
        <w:tc>
          <w:tcPr>
            <w:tcW w:w="871" w:type="dxa"/>
            <w:gridSpan w:val="2"/>
            <w:tcBorders>
              <w:top w:val="single" w:color="auto" w:sz="4" w:space="0"/>
              <w:left w:val="single" w:color="auto" w:sz="4" w:space="0"/>
              <w:bottom w:val="single" w:color="auto" w:sz="4" w:space="0"/>
            </w:tcBorders>
            <w:shd w:val="clear" w:color="auto" w:fill="auto"/>
            <w:vAlign w:val="center"/>
          </w:tcPr>
          <w:p w14:paraId="5FF89B84">
            <w:pPr>
              <w:spacing w:line="320" w:lineRule="exact"/>
              <w:jc w:val="center"/>
              <w:rPr>
                <w:rFonts w:hint="eastAsia" w:ascii="仿宋_GB2312" w:hAnsi="仿宋_GB2312" w:cs="仿宋_GB2312"/>
                <w:b/>
                <w:bCs/>
                <w:sz w:val="21"/>
                <w:szCs w:val="21"/>
                <w:highlight w:val="none"/>
                <w:lang w:val="en-US" w:eastAsia="zh-CN"/>
              </w:rPr>
            </w:pPr>
          </w:p>
        </w:tc>
      </w:tr>
      <w:tr w14:paraId="4A04984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464" w:type="dxa"/>
            <w:gridSpan w:val="2"/>
            <w:tcBorders>
              <w:top w:val="single" w:color="auto" w:sz="4" w:space="0"/>
              <w:bottom w:val="single" w:color="auto" w:sz="4" w:space="0"/>
              <w:right w:val="single" w:color="auto" w:sz="4" w:space="0"/>
            </w:tcBorders>
            <w:shd w:val="clear" w:color="auto" w:fill="auto"/>
            <w:vAlign w:val="center"/>
          </w:tcPr>
          <w:p w14:paraId="0B4DDE31">
            <w:pPr>
              <w:widowControl/>
              <w:spacing w:line="320" w:lineRule="exact"/>
              <w:jc w:val="center"/>
              <w:rPr>
                <w:rFonts w:hint="eastAsia" w:ascii="仿宋" w:hAnsi="仿宋" w:eastAsia="仿宋" w:cs="仿宋"/>
                <w:kern w:val="0"/>
                <w:sz w:val="21"/>
                <w:szCs w:val="21"/>
                <w:highlight w:val="none"/>
                <w:lang w:val="en-US" w:eastAsia="zh-CN" w:bidi="ar-SA"/>
              </w:rPr>
            </w:pPr>
            <w:r>
              <w:rPr>
                <w:rFonts w:hint="eastAsia" w:ascii="仿宋" w:hAnsi="仿宋" w:eastAsia="仿宋" w:cs="仿宋"/>
                <w:kern w:val="0"/>
                <w:sz w:val="21"/>
                <w:szCs w:val="21"/>
                <w:highlight w:val="none"/>
                <w:lang w:val="en-US" w:eastAsia="zh-CN"/>
              </w:rPr>
              <w:t>其他要求</w:t>
            </w:r>
          </w:p>
        </w:tc>
        <w:tc>
          <w:tcPr>
            <w:tcW w:w="4576" w:type="dxa"/>
            <w:tcBorders>
              <w:top w:val="single" w:color="auto" w:sz="4" w:space="0"/>
              <w:left w:val="single" w:color="auto" w:sz="4" w:space="0"/>
              <w:bottom w:val="single" w:color="auto" w:sz="4" w:space="0"/>
              <w:right w:val="single" w:color="auto" w:sz="4" w:space="0"/>
            </w:tcBorders>
            <w:shd w:val="clear" w:color="auto" w:fill="auto"/>
            <w:vAlign w:val="center"/>
          </w:tcPr>
          <w:p w14:paraId="2D043D0B">
            <w:pPr>
              <w:adjustRightInd w:val="0"/>
              <w:snapToGrid w:val="0"/>
              <w:spacing w:line="320" w:lineRule="exact"/>
              <w:rPr>
                <w:rFonts w:hint="eastAsia" w:ascii="仿宋" w:hAnsi="仿宋" w:eastAsia="仿宋" w:cs="仿宋"/>
                <w:bCs/>
                <w:sz w:val="21"/>
                <w:szCs w:val="21"/>
                <w:highlight w:val="none"/>
                <w:lang w:val="en-US" w:eastAsia="zh-CN"/>
              </w:rPr>
            </w:pPr>
            <w:r>
              <w:rPr>
                <w:rFonts w:hint="eastAsia" w:ascii="仿宋" w:hAnsi="仿宋" w:eastAsia="仿宋" w:cs="仿宋"/>
                <w:bCs/>
                <w:sz w:val="21"/>
                <w:szCs w:val="21"/>
                <w:highlight w:val="none"/>
                <w:lang w:val="en-US" w:eastAsia="zh-CN"/>
              </w:rPr>
              <w:t>1.所有系统及课程须严格按采购人要求提供，服务成果须按采购人要求修改完善，直至采购人验收合格。</w:t>
            </w:r>
          </w:p>
          <w:p w14:paraId="6E4A1171">
            <w:pPr>
              <w:adjustRightInd w:val="0"/>
              <w:snapToGrid w:val="0"/>
              <w:spacing w:line="320" w:lineRule="exact"/>
              <w:rPr>
                <w:rFonts w:hint="eastAsia" w:ascii="仿宋" w:hAnsi="仿宋" w:eastAsia="仿宋" w:cs="仿宋"/>
                <w:bCs/>
                <w:kern w:val="2"/>
                <w:sz w:val="21"/>
                <w:szCs w:val="21"/>
                <w:highlight w:val="none"/>
                <w:lang w:val="en-US" w:eastAsia="zh-CN" w:bidi="ar-SA"/>
              </w:rPr>
            </w:pPr>
            <w:r>
              <w:rPr>
                <w:rFonts w:hint="eastAsia" w:ascii="仿宋" w:hAnsi="仿宋" w:eastAsia="仿宋" w:cs="仿宋"/>
                <w:bCs/>
                <w:sz w:val="21"/>
                <w:szCs w:val="21"/>
                <w:highlight w:val="none"/>
                <w:lang w:val="en-US" w:eastAsia="zh-CN"/>
              </w:rPr>
              <w:t>2.中标供应商须为本项目服务实施投入充足的服务人员和硬件设备，并确保投标文件中的人员信息真实、有效。投标文件承诺的人员、设备必须如实投入到项目实施中，未经采购人同意不允许更换。</w:t>
            </w:r>
          </w:p>
        </w:tc>
        <w:tc>
          <w:tcPr>
            <w:tcW w:w="2805"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7100F7AB">
            <w:pPr>
              <w:spacing w:line="320" w:lineRule="exact"/>
              <w:jc w:val="center"/>
              <w:rPr>
                <w:rFonts w:hint="eastAsia" w:ascii="仿宋_GB2312" w:hAnsi="仿宋_GB2312" w:cs="仿宋_GB2312"/>
                <w:b/>
                <w:bCs/>
                <w:sz w:val="21"/>
                <w:szCs w:val="21"/>
                <w:highlight w:val="none"/>
                <w:lang w:val="en-US" w:eastAsia="zh-CN"/>
              </w:rPr>
            </w:pPr>
          </w:p>
        </w:tc>
        <w:tc>
          <w:tcPr>
            <w:tcW w:w="871" w:type="dxa"/>
            <w:gridSpan w:val="2"/>
            <w:tcBorders>
              <w:top w:val="single" w:color="auto" w:sz="4" w:space="0"/>
              <w:left w:val="single" w:color="auto" w:sz="4" w:space="0"/>
              <w:bottom w:val="single" w:color="auto" w:sz="4" w:space="0"/>
            </w:tcBorders>
            <w:shd w:val="clear" w:color="auto" w:fill="auto"/>
            <w:vAlign w:val="center"/>
          </w:tcPr>
          <w:p w14:paraId="50C6F406">
            <w:pPr>
              <w:spacing w:line="320" w:lineRule="exact"/>
              <w:jc w:val="center"/>
              <w:rPr>
                <w:rFonts w:hint="eastAsia" w:ascii="仿宋_GB2312" w:hAnsi="仿宋_GB2312" w:cs="仿宋_GB2312"/>
                <w:b/>
                <w:bCs/>
                <w:sz w:val="21"/>
                <w:szCs w:val="21"/>
                <w:highlight w:val="none"/>
                <w:lang w:val="en-US" w:eastAsia="zh-CN"/>
              </w:rPr>
            </w:pPr>
          </w:p>
        </w:tc>
      </w:tr>
    </w:tbl>
    <w:p w14:paraId="159510A2">
      <w:pPr>
        <w:spacing w:line="560" w:lineRule="exact"/>
        <w:rPr>
          <w:rFonts w:hint="eastAsia" w:ascii="仿宋" w:hAnsi="仿宋" w:eastAsia="仿宋" w:cs="仿宋"/>
          <w:sz w:val="24"/>
        </w:rPr>
      </w:pPr>
      <w:r>
        <w:rPr>
          <w:rFonts w:hint="eastAsia" w:ascii="仿宋" w:hAnsi="仿宋" w:eastAsia="仿宋" w:cs="仿宋"/>
          <w:sz w:val="24"/>
        </w:rPr>
        <w:t xml:space="preserve">报价公司（盖公章）：                     法定代表人签字：       </w:t>
      </w:r>
    </w:p>
    <w:p w14:paraId="78E7F467">
      <w:pPr>
        <w:spacing w:line="560" w:lineRule="exact"/>
        <w:rPr>
          <w:rFonts w:hint="eastAsia" w:ascii="仿宋" w:hAnsi="仿宋" w:eastAsia="仿宋" w:cs="仿宋"/>
          <w:sz w:val="24"/>
        </w:rPr>
      </w:pPr>
      <w:r>
        <w:rPr>
          <w:rFonts w:hint="eastAsia" w:ascii="仿宋" w:hAnsi="仿宋" w:eastAsia="仿宋" w:cs="仿宋"/>
          <w:sz w:val="24"/>
        </w:rPr>
        <w:t>报价时间：     年  月 日                 联系人及电话：</w:t>
      </w:r>
    </w:p>
    <w:sectPr>
      <w:pgSz w:w="11906" w:h="16838"/>
      <w:pgMar w:top="1134" w:right="1287" w:bottom="1134" w:left="12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3720D07-7F54-488A-A169-B1DBA438958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金山简黑体">
    <w:altName w:val="黑体"/>
    <w:panose1 w:val="00000000000000000000"/>
    <w:charset w:val="00"/>
    <w:family w:val="auto"/>
    <w:pitch w:val="default"/>
    <w:sig w:usb0="00000000" w:usb1="00000000" w:usb2="00000000" w:usb3="00000000" w:csb0="00000000" w:csb1="00000000"/>
  </w:font>
  <w:font w:name="Verdana">
    <w:panose1 w:val="020B0604030504040204"/>
    <w:charset w:val="00"/>
    <w:family w:val="swiss"/>
    <w:pitch w:val="default"/>
    <w:sig w:usb0="A00006FF" w:usb1="4000205B" w:usb2="00000010" w:usb3="00000000" w:csb0="2000019F" w:csb1="00000000"/>
  </w:font>
  <w:font w:name="方正小标宋简体">
    <w:panose1 w:val="02000000000000000000"/>
    <w:charset w:val="86"/>
    <w:family w:val="auto"/>
    <w:pitch w:val="default"/>
    <w:sig w:usb0="00000001" w:usb1="08000000" w:usb2="00000000" w:usb3="00000000" w:csb0="00040000" w:csb1="00000000"/>
    <w:embedRegular r:id="rId2" w:fontKey="{DC71B475-1BF1-4DF2-9CFB-BBB57B3F2D16}"/>
  </w:font>
  <w:font w:name="仿宋">
    <w:panose1 w:val="02010609060101010101"/>
    <w:charset w:val="86"/>
    <w:family w:val="auto"/>
    <w:pitch w:val="default"/>
    <w:sig w:usb0="800002BF" w:usb1="38CF7CFA" w:usb2="00000016" w:usb3="00000000" w:csb0="00040001" w:csb1="00000000"/>
    <w:embedRegular r:id="rId3" w:fontKey="{A718DCE6-CEE1-4650-AB0D-F645A9E15943}"/>
  </w:font>
  <w:font w:name="仿宋_GB2312">
    <w:altName w:val="仿宋"/>
    <w:panose1 w:val="02010609030101010101"/>
    <w:charset w:val="86"/>
    <w:family w:val="modern"/>
    <w:pitch w:val="default"/>
    <w:sig w:usb0="00000000" w:usb1="00000000" w:usb2="00000000" w:usb3="00000000" w:csb0="00040000" w:csb1="00000000"/>
    <w:embedRegular r:id="rId4" w:fontKey="{CC93FEB4-6618-425F-AE80-BB3FDC6604A5}"/>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oNotDisplayPageBoundaries w:val="1"/>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7D54"/>
    <w:rsid w:val="00001ACF"/>
    <w:rsid w:val="00002182"/>
    <w:rsid w:val="00003A4C"/>
    <w:rsid w:val="000060A8"/>
    <w:rsid w:val="00006114"/>
    <w:rsid w:val="000061C3"/>
    <w:rsid w:val="00006872"/>
    <w:rsid w:val="000072FB"/>
    <w:rsid w:val="000079DD"/>
    <w:rsid w:val="00010B68"/>
    <w:rsid w:val="000113AB"/>
    <w:rsid w:val="00012AE8"/>
    <w:rsid w:val="000132C2"/>
    <w:rsid w:val="00014329"/>
    <w:rsid w:val="0001583F"/>
    <w:rsid w:val="00015951"/>
    <w:rsid w:val="00015F6B"/>
    <w:rsid w:val="0001671E"/>
    <w:rsid w:val="000170C0"/>
    <w:rsid w:val="000177F9"/>
    <w:rsid w:val="00020B43"/>
    <w:rsid w:val="00021C7C"/>
    <w:rsid w:val="00023582"/>
    <w:rsid w:val="0002381D"/>
    <w:rsid w:val="0002428A"/>
    <w:rsid w:val="00024932"/>
    <w:rsid w:val="00024AAA"/>
    <w:rsid w:val="00025070"/>
    <w:rsid w:val="000278E1"/>
    <w:rsid w:val="0002791F"/>
    <w:rsid w:val="00027FD7"/>
    <w:rsid w:val="000317D6"/>
    <w:rsid w:val="00031CAD"/>
    <w:rsid w:val="00032649"/>
    <w:rsid w:val="00036FEE"/>
    <w:rsid w:val="0004014B"/>
    <w:rsid w:val="00040279"/>
    <w:rsid w:val="0004126C"/>
    <w:rsid w:val="00041B6D"/>
    <w:rsid w:val="00042FC1"/>
    <w:rsid w:val="0004380E"/>
    <w:rsid w:val="00043E86"/>
    <w:rsid w:val="000442D1"/>
    <w:rsid w:val="00045E28"/>
    <w:rsid w:val="000466B3"/>
    <w:rsid w:val="00047F88"/>
    <w:rsid w:val="00050A03"/>
    <w:rsid w:val="0005115F"/>
    <w:rsid w:val="00051A52"/>
    <w:rsid w:val="00052580"/>
    <w:rsid w:val="000533B8"/>
    <w:rsid w:val="00053B05"/>
    <w:rsid w:val="0005488F"/>
    <w:rsid w:val="0005502C"/>
    <w:rsid w:val="0006343D"/>
    <w:rsid w:val="00065D82"/>
    <w:rsid w:val="000663CE"/>
    <w:rsid w:val="000664D1"/>
    <w:rsid w:val="00071433"/>
    <w:rsid w:val="00071BF4"/>
    <w:rsid w:val="000723AA"/>
    <w:rsid w:val="000725AA"/>
    <w:rsid w:val="00072C84"/>
    <w:rsid w:val="0007334D"/>
    <w:rsid w:val="000733B5"/>
    <w:rsid w:val="0007384F"/>
    <w:rsid w:val="00074B2C"/>
    <w:rsid w:val="00075CF5"/>
    <w:rsid w:val="00076952"/>
    <w:rsid w:val="00076FB4"/>
    <w:rsid w:val="00080E16"/>
    <w:rsid w:val="00081AC0"/>
    <w:rsid w:val="00082C08"/>
    <w:rsid w:val="00083B6B"/>
    <w:rsid w:val="00085D95"/>
    <w:rsid w:val="00085ECB"/>
    <w:rsid w:val="000860AB"/>
    <w:rsid w:val="00092965"/>
    <w:rsid w:val="00092E39"/>
    <w:rsid w:val="00092EEA"/>
    <w:rsid w:val="000940B4"/>
    <w:rsid w:val="00094B2D"/>
    <w:rsid w:val="0009658D"/>
    <w:rsid w:val="000A05C8"/>
    <w:rsid w:val="000A063F"/>
    <w:rsid w:val="000A10B8"/>
    <w:rsid w:val="000A1B39"/>
    <w:rsid w:val="000A2632"/>
    <w:rsid w:val="000A3148"/>
    <w:rsid w:val="000A45B1"/>
    <w:rsid w:val="000A490D"/>
    <w:rsid w:val="000A4ECD"/>
    <w:rsid w:val="000A505C"/>
    <w:rsid w:val="000A670B"/>
    <w:rsid w:val="000A68D6"/>
    <w:rsid w:val="000A6DDC"/>
    <w:rsid w:val="000A75DA"/>
    <w:rsid w:val="000A7D57"/>
    <w:rsid w:val="000B50C6"/>
    <w:rsid w:val="000B700F"/>
    <w:rsid w:val="000C2976"/>
    <w:rsid w:val="000C29ED"/>
    <w:rsid w:val="000C2EAD"/>
    <w:rsid w:val="000C4787"/>
    <w:rsid w:val="000C7000"/>
    <w:rsid w:val="000D0BC2"/>
    <w:rsid w:val="000D0E17"/>
    <w:rsid w:val="000D103C"/>
    <w:rsid w:val="000D1496"/>
    <w:rsid w:val="000D1E36"/>
    <w:rsid w:val="000D25C2"/>
    <w:rsid w:val="000D31B8"/>
    <w:rsid w:val="000D50F2"/>
    <w:rsid w:val="000D5219"/>
    <w:rsid w:val="000D704F"/>
    <w:rsid w:val="000E04A7"/>
    <w:rsid w:val="000E0971"/>
    <w:rsid w:val="000E1139"/>
    <w:rsid w:val="000E1D0C"/>
    <w:rsid w:val="000E3880"/>
    <w:rsid w:val="000E3C4A"/>
    <w:rsid w:val="000E403F"/>
    <w:rsid w:val="000E47E3"/>
    <w:rsid w:val="000E4FCB"/>
    <w:rsid w:val="000E5396"/>
    <w:rsid w:val="000E73F7"/>
    <w:rsid w:val="000F103F"/>
    <w:rsid w:val="000F2550"/>
    <w:rsid w:val="000F29D8"/>
    <w:rsid w:val="000F305B"/>
    <w:rsid w:val="000F4335"/>
    <w:rsid w:val="000F4622"/>
    <w:rsid w:val="000F5C2B"/>
    <w:rsid w:val="000F7AF9"/>
    <w:rsid w:val="00100433"/>
    <w:rsid w:val="00100DDA"/>
    <w:rsid w:val="001016BC"/>
    <w:rsid w:val="00102888"/>
    <w:rsid w:val="00103408"/>
    <w:rsid w:val="00104E28"/>
    <w:rsid w:val="0010671C"/>
    <w:rsid w:val="00107C9C"/>
    <w:rsid w:val="001110AF"/>
    <w:rsid w:val="00112550"/>
    <w:rsid w:val="001140B4"/>
    <w:rsid w:val="00114274"/>
    <w:rsid w:val="001164F7"/>
    <w:rsid w:val="00117117"/>
    <w:rsid w:val="00117FB2"/>
    <w:rsid w:val="00120FC9"/>
    <w:rsid w:val="00121E84"/>
    <w:rsid w:val="001226FC"/>
    <w:rsid w:val="00122F08"/>
    <w:rsid w:val="00122F73"/>
    <w:rsid w:val="001237C4"/>
    <w:rsid w:val="00124672"/>
    <w:rsid w:val="0012498B"/>
    <w:rsid w:val="0012602E"/>
    <w:rsid w:val="00127285"/>
    <w:rsid w:val="0012766B"/>
    <w:rsid w:val="001277AC"/>
    <w:rsid w:val="00127B1E"/>
    <w:rsid w:val="00132622"/>
    <w:rsid w:val="0013538B"/>
    <w:rsid w:val="00135A65"/>
    <w:rsid w:val="0013610C"/>
    <w:rsid w:val="001367E3"/>
    <w:rsid w:val="00137441"/>
    <w:rsid w:val="00137551"/>
    <w:rsid w:val="001400C5"/>
    <w:rsid w:val="00141F90"/>
    <w:rsid w:val="00142B5F"/>
    <w:rsid w:val="00143205"/>
    <w:rsid w:val="0014382D"/>
    <w:rsid w:val="0014450E"/>
    <w:rsid w:val="00145530"/>
    <w:rsid w:val="0015077E"/>
    <w:rsid w:val="001526B6"/>
    <w:rsid w:val="00152A23"/>
    <w:rsid w:val="001530C5"/>
    <w:rsid w:val="0015380E"/>
    <w:rsid w:val="001540B4"/>
    <w:rsid w:val="001541E8"/>
    <w:rsid w:val="0015421C"/>
    <w:rsid w:val="001549F5"/>
    <w:rsid w:val="0015693A"/>
    <w:rsid w:val="00156BB5"/>
    <w:rsid w:val="00156CB8"/>
    <w:rsid w:val="00160B63"/>
    <w:rsid w:val="00161EE0"/>
    <w:rsid w:val="001621E3"/>
    <w:rsid w:val="001634DA"/>
    <w:rsid w:val="00170444"/>
    <w:rsid w:val="001713EE"/>
    <w:rsid w:val="00171D2A"/>
    <w:rsid w:val="00174598"/>
    <w:rsid w:val="0017466A"/>
    <w:rsid w:val="00175BA9"/>
    <w:rsid w:val="00176176"/>
    <w:rsid w:val="0018006A"/>
    <w:rsid w:val="00182D8D"/>
    <w:rsid w:val="001840FD"/>
    <w:rsid w:val="001869B0"/>
    <w:rsid w:val="001900DC"/>
    <w:rsid w:val="00190517"/>
    <w:rsid w:val="00190F73"/>
    <w:rsid w:val="00190FCF"/>
    <w:rsid w:val="0019251A"/>
    <w:rsid w:val="00192D05"/>
    <w:rsid w:val="0019316C"/>
    <w:rsid w:val="0019335F"/>
    <w:rsid w:val="0019339B"/>
    <w:rsid w:val="00193EF4"/>
    <w:rsid w:val="001952A5"/>
    <w:rsid w:val="00195E46"/>
    <w:rsid w:val="001961C8"/>
    <w:rsid w:val="001A00B8"/>
    <w:rsid w:val="001A21DD"/>
    <w:rsid w:val="001A3F17"/>
    <w:rsid w:val="001A4132"/>
    <w:rsid w:val="001A58D8"/>
    <w:rsid w:val="001B0AB8"/>
    <w:rsid w:val="001B0C0A"/>
    <w:rsid w:val="001B0F26"/>
    <w:rsid w:val="001B1788"/>
    <w:rsid w:val="001B1D80"/>
    <w:rsid w:val="001B2455"/>
    <w:rsid w:val="001B3EA4"/>
    <w:rsid w:val="001B44EC"/>
    <w:rsid w:val="001B6A3E"/>
    <w:rsid w:val="001B71A6"/>
    <w:rsid w:val="001C2262"/>
    <w:rsid w:val="001C2FD6"/>
    <w:rsid w:val="001C3171"/>
    <w:rsid w:val="001C3871"/>
    <w:rsid w:val="001C4EFB"/>
    <w:rsid w:val="001C584C"/>
    <w:rsid w:val="001C6FAE"/>
    <w:rsid w:val="001D054E"/>
    <w:rsid w:val="001D2A98"/>
    <w:rsid w:val="001D340F"/>
    <w:rsid w:val="001D3701"/>
    <w:rsid w:val="001D3C87"/>
    <w:rsid w:val="001D4396"/>
    <w:rsid w:val="001D4F16"/>
    <w:rsid w:val="001D6139"/>
    <w:rsid w:val="001D69A8"/>
    <w:rsid w:val="001E0280"/>
    <w:rsid w:val="001E15BE"/>
    <w:rsid w:val="001E26E3"/>
    <w:rsid w:val="001E30EA"/>
    <w:rsid w:val="001E3181"/>
    <w:rsid w:val="001E3A67"/>
    <w:rsid w:val="001E3E27"/>
    <w:rsid w:val="001E546B"/>
    <w:rsid w:val="001E6B13"/>
    <w:rsid w:val="001E78B5"/>
    <w:rsid w:val="001E79DF"/>
    <w:rsid w:val="001E7DA5"/>
    <w:rsid w:val="001F004F"/>
    <w:rsid w:val="001F0BE7"/>
    <w:rsid w:val="001F26CE"/>
    <w:rsid w:val="001F2EBD"/>
    <w:rsid w:val="001F2FB3"/>
    <w:rsid w:val="001F3550"/>
    <w:rsid w:val="001F3866"/>
    <w:rsid w:val="001F3F6D"/>
    <w:rsid w:val="001F4DDA"/>
    <w:rsid w:val="001F53A4"/>
    <w:rsid w:val="001F5FAE"/>
    <w:rsid w:val="00200424"/>
    <w:rsid w:val="00200840"/>
    <w:rsid w:val="0020095F"/>
    <w:rsid w:val="00201046"/>
    <w:rsid w:val="0020196A"/>
    <w:rsid w:val="00201997"/>
    <w:rsid w:val="002030CC"/>
    <w:rsid w:val="00203363"/>
    <w:rsid w:val="00203BE8"/>
    <w:rsid w:val="00204D5D"/>
    <w:rsid w:val="0020587B"/>
    <w:rsid w:val="00207160"/>
    <w:rsid w:val="00207D59"/>
    <w:rsid w:val="00207D8A"/>
    <w:rsid w:val="0021019C"/>
    <w:rsid w:val="00210353"/>
    <w:rsid w:val="002104C6"/>
    <w:rsid w:val="00210A02"/>
    <w:rsid w:val="00210A0D"/>
    <w:rsid w:val="00211995"/>
    <w:rsid w:val="0021232E"/>
    <w:rsid w:val="0021317B"/>
    <w:rsid w:val="00213D28"/>
    <w:rsid w:val="00214AD0"/>
    <w:rsid w:val="002151DB"/>
    <w:rsid w:val="0021589C"/>
    <w:rsid w:val="00215B87"/>
    <w:rsid w:val="0021692E"/>
    <w:rsid w:val="00220262"/>
    <w:rsid w:val="00220BEE"/>
    <w:rsid w:val="00221DDF"/>
    <w:rsid w:val="00222515"/>
    <w:rsid w:val="002239D4"/>
    <w:rsid w:val="00223F95"/>
    <w:rsid w:val="002244D1"/>
    <w:rsid w:val="0022458D"/>
    <w:rsid w:val="00226CD9"/>
    <w:rsid w:val="00227B09"/>
    <w:rsid w:val="00230A88"/>
    <w:rsid w:val="00230BB9"/>
    <w:rsid w:val="00231AA8"/>
    <w:rsid w:val="00231C53"/>
    <w:rsid w:val="002327E9"/>
    <w:rsid w:val="00232E08"/>
    <w:rsid w:val="002332D9"/>
    <w:rsid w:val="00235133"/>
    <w:rsid w:val="002352A5"/>
    <w:rsid w:val="00236173"/>
    <w:rsid w:val="00236E13"/>
    <w:rsid w:val="00240709"/>
    <w:rsid w:val="00242861"/>
    <w:rsid w:val="002433A2"/>
    <w:rsid w:val="00244143"/>
    <w:rsid w:val="00245B5B"/>
    <w:rsid w:val="00245F47"/>
    <w:rsid w:val="00246E19"/>
    <w:rsid w:val="0025029E"/>
    <w:rsid w:val="00250BF5"/>
    <w:rsid w:val="002516A8"/>
    <w:rsid w:val="00252CE2"/>
    <w:rsid w:val="00253569"/>
    <w:rsid w:val="00253B17"/>
    <w:rsid w:val="00254E5E"/>
    <w:rsid w:val="00254EE1"/>
    <w:rsid w:val="00255490"/>
    <w:rsid w:val="00256363"/>
    <w:rsid w:val="002564E5"/>
    <w:rsid w:val="00256843"/>
    <w:rsid w:val="00260F69"/>
    <w:rsid w:val="00262500"/>
    <w:rsid w:val="00263AAE"/>
    <w:rsid w:val="00264A88"/>
    <w:rsid w:val="002663B0"/>
    <w:rsid w:val="00266DA9"/>
    <w:rsid w:val="00270044"/>
    <w:rsid w:val="00270B47"/>
    <w:rsid w:val="002718D3"/>
    <w:rsid w:val="00272D88"/>
    <w:rsid w:val="002754AB"/>
    <w:rsid w:val="00275A96"/>
    <w:rsid w:val="00275C47"/>
    <w:rsid w:val="00277AFA"/>
    <w:rsid w:val="00280D14"/>
    <w:rsid w:val="00280D7C"/>
    <w:rsid w:val="00281FB7"/>
    <w:rsid w:val="002820C7"/>
    <w:rsid w:val="00282124"/>
    <w:rsid w:val="00282AA4"/>
    <w:rsid w:val="00283EFB"/>
    <w:rsid w:val="00284DD7"/>
    <w:rsid w:val="00285CFE"/>
    <w:rsid w:val="002903F7"/>
    <w:rsid w:val="002911DA"/>
    <w:rsid w:val="002920A2"/>
    <w:rsid w:val="0029392B"/>
    <w:rsid w:val="00295079"/>
    <w:rsid w:val="002950B8"/>
    <w:rsid w:val="00296307"/>
    <w:rsid w:val="00296D6B"/>
    <w:rsid w:val="00297AC1"/>
    <w:rsid w:val="002A062F"/>
    <w:rsid w:val="002A2CB3"/>
    <w:rsid w:val="002A4DAF"/>
    <w:rsid w:val="002A4E31"/>
    <w:rsid w:val="002A53C1"/>
    <w:rsid w:val="002A6894"/>
    <w:rsid w:val="002A6F31"/>
    <w:rsid w:val="002A7528"/>
    <w:rsid w:val="002A7E84"/>
    <w:rsid w:val="002B14FE"/>
    <w:rsid w:val="002B189A"/>
    <w:rsid w:val="002B4ECA"/>
    <w:rsid w:val="002B5311"/>
    <w:rsid w:val="002B5FB7"/>
    <w:rsid w:val="002B65C3"/>
    <w:rsid w:val="002B6C0A"/>
    <w:rsid w:val="002B7857"/>
    <w:rsid w:val="002C131D"/>
    <w:rsid w:val="002C142F"/>
    <w:rsid w:val="002C21B9"/>
    <w:rsid w:val="002C3D1C"/>
    <w:rsid w:val="002C3DDD"/>
    <w:rsid w:val="002C3EBE"/>
    <w:rsid w:val="002C5BAF"/>
    <w:rsid w:val="002C6203"/>
    <w:rsid w:val="002C6565"/>
    <w:rsid w:val="002C6D7A"/>
    <w:rsid w:val="002D12B4"/>
    <w:rsid w:val="002D156A"/>
    <w:rsid w:val="002D218B"/>
    <w:rsid w:val="002D77D5"/>
    <w:rsid w:val="002D7B3B"/>
    <w:rsid w:val="002E0934"/>
    <w:rsid w:val="002E1F15"/>
    <w:rsid w:val="002E2F10"/>
    <w:rsid w:val="002E381A"/>
    <w:rsid w:val="002E3F8D"/>
    <w:rsid w:val="002E466A"/>
    <w:rsid w:val="002E4E07"/>
    <w:rsid w:val="002E528D"/>
    <w:rsid w:val="002E58AD"/>
    <w:rsid w:val="002E6983"/>
    <w:rsid w:val="002E7127"/>
    <w:rsid w:val="002E77E3"/>
    <w:rsid w:val="002E7D4E"/>
    <w:rsid w:val="002F0471"/>
    <w:rsid w:val="002F0EBB"/>
    <w:rsid w:val="002F143C"/>
    <w:rsid w:val="002F269B"/>
    <w:rsid w:val="002F2B4C"/>
    <w:rsid w:val="002F2BC6"/>
    <w:rsid w:val="002F30B4"/>
    <w:rsid w:val="002F4BCA"/>
    <w:rsid w:val="002F5DEA"/>
    <w:rsid w:val="002F6417"/>
    <w:rsid w:val="002F6C1F"/>
    <w:rsid w:val="002F7075"/>
    <w:rsid w:val="002F755B"/>
    <w:rsid w:val="003004C5"/>
    <w:rsid w:val="00300E9F"/>
    <w:rsid w:val="00300F8D"/>
    <w:rsid w:val="00302E30"/>
    <w:rsid w:val="00303976"/>
    <w:rsid w:val="00304072"/>
    <w:rsid w:val="00305181"/>
    <w:rsid w:val="0030553B"/>
    <w:rsid w:val="00306162"/>
    <w:rsid w:val="00306A2E"/>
    <w:rsid w:val="003076C2"/>
    <w:rsid w:val="00310DF5"/>
    <w:rsid w:val="003120BF"/>
    <w:rsid w:val="00312C11"/>
    <w:rsid w:val="00314522"/>
    <w:rsid w:val="0031672A"/>
    <w:rsid w:val="00316767"/>
    <w:rsid w:val="0031738D"/>
    <w:rsid w:val="00320601"/>
    <w:rsid w:val="00321446"/>
    <w:rsid w:val="003228C3"/>
    <w:rsid w:val="00324CEB"/>
    <w:rsid w:val="00325119"/>
    <w:rsid w:val="00325A88"/>
    <w:rsid w:val="0032626A"/>
    <w:rsid w:val="003263DB"/>
    <w:rsid w:val="00326FCA"/>
    <w:rsid w:val="0032772D"/>
    <w:rsid w:val="0033077B"/>
    <w:rsid w:val="00330CED"/>
    <w:rsid w:val="00332E4E"/>
    <w:rsid w:val="00333B39"/>
    <w:rsid w:val="00335A84"/>
    <w:rsid w:val="00336A84"/>
    <w:rsid w:val="0033706F"/>
    <w:rsid w:val="0033729E"/>
    <w:rsid w:val="0034081B"/>
    <w:rsid w:val="00340A57"/>
    <w:rsid w:val="00341434"/>
    <w:rsid w:val="00341597"/>
    <w:rsid w:val="00341C74"/>
    <w:rsid w:val="00341EB5"/>
    <w:rsid w:val="0034205F"/>
    <w:rsid w:val="0034252C"/>
    <w:rsid w:val="00342D8E"/>
    <w:rsid w:val="00343080"/>
    <w:rsid w:val="00344B11"/>
    <w:rsid w:val="00344B70"/>
    <w:rsid w:val="0034517D"/>
    <w:rsid w:val="0034557F"/>
    <w:rsid w:val="0034675A"/>
    <w:rsid w:val="003503C2"/>
    <w:rsid w:val="00352230"/>
    <w:rsid w:val="00352640"/>
    <w:rsid w:val="00354DDB"/>
    <w:rsid w:val="00354DE7"/>
    <w:rsid w:val="00355218"/>
    <w:rsid w:val="00355E2E"/>
    <w:rsid w:val="00356059"/>
    <w:rsid w:val="00356884"/>
    <w:rsid w:val="0035790B"/>
    <w:rsid w:val="00357E96"/>
    <w:rsid w:val="003611AC"/>
    <w:rsid w:val="003620AE"/>
    <w:rsid w:val="00363E07"/>
    <w:rsid w:val="0036466B"/>
    <w:rsid w:val="003647AC"/>
    <w:rsid w:val="003663D2"/>
    <w:rsid w:val="00366E88"/>
    <w:rsid w:val="003672C9"/>
    <w:rsid w:val="0036769C"/>
    <w:rsid w:val="003703A9"/>
    <w:rsid w:val="0037049A"/>
    <w:rsid w:val="00372A4E"/>
    <w:rsid w:val="003757F7"/>
    <w:rsid w:val="00376A92"/>
    <w:rsid w:val="00376A98"/>
    <w:rsid w:val="003774B5"/>
    <w:rsid w:val="003801BE"/>
    <w:rsid w:val="00380892"/>
    <w:rsid w:val="00380DD2"/>
    <w:rsid w:val="00381F2E"/>
    <w:rsid w:val="0038208B"/>
    <w:rsid w:val="003825C6"/>
    <w:rsid w:val="003854AA"/>
    <w:rsid w:val="00385AB2"/>
    <w:rsid w:val="003863F8"/>
    <w:rsid w:val="0039027C"/>
    <w:rsid w:val="00390622"/>
    <w:rsid w:val="00390BFA"/>
    <w:rsid w:val="00390C56"/>
    <w:rsid w:val="003916AB"/>
    <w:rsid w:val="00391A97"/>
    <w:rsid w:val="0039429B"/>
    <w:rsid w:val="00394A4F"/>
    <w:rsid w:val="0039563A"/>
    <w:rsid w:val="0039576F"/>
    <w:rsid w:val="003966CA"/>
    <w:rsid w:val="00397430"/>
    <w:rsid w:val="003A1FA5"/>
    <w:rsid w:val="003A203A"/>
    <w:rsid w:val="003A2128"/>
    <w:rsid w:val="003A2239"/>
    <w:rsid w:val="003A267F"/>
    <w:rsid w:val="003A3F07"/>
    <w:rsid w:val="003A5DF0"/>
    <w:rsid w:val="003A64E9"/>
    <w:rsid w:val="003A70BF"/>
    <w:rsid w:val="003A73AC"/>
    <w:rsid w:val="003A7601"/>
    <w:rsid w:val="003B02B1"/>
    <w:rsid w:val="003B15AC"/>
    <w:rsid w:val="003B2AAD"/>
    <w:rsid w:val="003B3518"/>
    <w:rsid w:val="003B4B40"/>
    <w:rsid w:val="003B5329"/>
    <w:rsid w:val="003B57D7"/>
    <w:rsid w:val="003B5A26"/>
    <w:rsid w:val="003B5ACA"/>
    <w:rsid w:val="003B6B3F"/>
    <w:rsid w:val="003C0034"/>
    <w:rsid w:val="003C097A"/>
    <w:rsid w:val="003C16C8"/>
    <w:rsid w:val="003C1FF3"/>
    <w:rsid w:val="003C237D"/>
    <w:rsid w:val="003C2801"/>
    <w:rsid w:val="003C3FF9"/>
    <w:rsid w:val="003C45CF"/>
    <w:rsid w:val="003C565E"/>
    <w:rsid w:val="003C71D7"/>
    <w:rsid w:val="003C7278"/>
    <w:rsid w:val="003C7650"/>
    <w:rsid w:val="003C7BE3"/>
    <w:rsid w:val="003D0292"/>
    <w:rsid w:val="003D1301"/>
    <w:rsid w:val="003D1DA5"/>
    <w:rsid w:val="003D26BB"/>
    <w:rsid w:val="003D3E5B"/>
    <w:rsid w:val="003D4086"/>
    <w:rsid w:val="003D41C9"/>
    <w:rsid w:val="003D64D5"/>
    <w:rsid w:val="003D69DC"/>
    <w:rsid w:val="003D71AC"/>
    <w:rsid w:val="003D7A18"/>
    <w:rsid w:val="003D7AFB"/>
    <w:rsid w:val="003E047D"/>
    <w:rsid w:val="003E08AA"/>
    <w:rsid w:val="003E2942"/>
    <w:rsid w:val="003E3697"/>
    <w:rsid w:val="003E39E3"/>
    <w:rsid w:val="003E3B1C"/>
    <w:rsid w:val="003E4CE1"/>
    <w:rsid w:val="003E58DF"/>
    <w:rsid w:val="003E5C45"/>
    <w:rsid w:val="003E6DA1"/>
    <w:rsid w:val="003E6DBB"/>
    <w:rsid w:val="003E7FEA"/>
    <w:rsid w:val="003F0DF2"/>
    <w:rsid w:val="003F17F2"/>
    <w:rsid w:val="003F391F"/>
    <w:rsid w:val="003F39AB"/>
    <w:rsid w:val="003F4079"/>
    <w:rsid w:val="003F40A9"/>
    <w:rsid w:val="003F4933"/>
    <w:rsid w:val="003F4AA7"/>
    <w:rsid w:val="003F5D2E"/>
    <w:rsid w:val="003F6806"/>
    <w:rsid w:val="0040140A"/>
    <w:rsid w:val="0040217F"/>
    <w:rsid w:val="0040462F"/>
    <w:rsid w:val="004062D9"/>
    <w:rsid w:val="0041002E"/>
    <w:rsid w:val="00410EEC"/>
    <w:rsid w:val="004118F9"/>
    <w:rsid w:val="0041305A"/>
    <w:rsid w:val="00413D81"/>
    <w:rsid w:val="004148C3"/>
    <w:rsid w:val="00414FBE"/>
    <w:rsid w:val="004178B7"/>
    <w:rsid w:val="00417EC7"/>
    <w:rsid w:val="004204C5"/>
    <w:rsid w:val="004235C4"/>
    <w:rsid w:val="00423841"/>
    <w:rsid w:val="004245DA"/>
    <w:rsid w:val="00425643"/>
    <w:rsid w:val="00425B19"/>
    <w:rsid w:val="00426719"/>
    <w:rsid w:val="0042727F"/>
    <w:rsid w:val="004275FF"/>
    <w:rsid w:val="00431777"/>
    <w:rsid w:val="004327B7"/>
    <w:rsid w:val="0043288C"/>
    <w:rsid w:val="00434AA1"/>
    <w:rsid w:val="004362C5"/>
    <w:rsid w:val="00441614"/>
    <w:rsid w:val="00441B08"/>
    <w:rsid w:val="00444C76"/>
    <w:rsid w:val="00444F38"/>
    <w:rsid w:val="0044522A"/>
    <w:rsid w:val="00445641"/>
    <w:rsid w:val="00445CDC"/>
    <w:rsid w:val="004460EA"/>
    <w:rsid w:val="0044767F"/>
    <w:rsid w:val="0044774F"/>
    <w:rsid w:val="00447901"/>
    <w:rsid w:val="00447C63"/>
    <w:rsid w:val="00447F3B"/>
    <w:rsid w:val="00450AFD"/>
    <w:rsid w:val="004510C4"/>
    <w:rsid w:val="00454B99"/>
    <w:rsid w:val="00454EFF"/>
    <w:rsid w:val="004551BB"/>
    <w:rsid w:val="0045539A"/>
    <w:rsid w:val="0045540E"/>
    <w:rsid w:val="00455888"/>
    <w:rsid w:val="00456176"/>
    <w:rsid w:val="0045669D"/>
    <w:rsid w:val="004576B3"/>
    <w:rsid w:val="00457B3A"/>
    <w:rsid w:val="00461203"/>
    <w:rsid w:val="004619D8"/>
    <w:rsid w:val="00461AF4"/>
    <w:rsid w:val="00461F6F"/>
    <w:rsid w:val="0046245A"/>
    <w:rsid w:val="00464036"/>
    <w:rsid w:val="0046448E"/>
    <w:rsid w:val="00465D85"/>
    <w:rsid w:val="004664A5"/>
    <w:rsid w:val="00466E5A"/>
    <w:rsid w:val="00466FAF"/>
    <w:rsid w:val="00467FD0"/>
    <w:rsid w:val="00470CF2"/>
    <w:rsid w:val="004737A5"/>
    <w:rsid w:val="00473F9C"/>
    <w:rsid w:val="00473FBD"/>
    <w:rsid w:val="00474F29"/>
    <w:rsid w:val="00480744"/>
    <w:rsid w:val="00480C53"/>
    <w:rsid w:val="00481827"/>
    <w:rsid w:val="00482866"/>
    <w:rsid w:val="00483451"/>
    <w:rsid w:val="00484209"/>
    <w:rsid w:val="00484D66"/>
    <w:rsid w:val="00484E10"/>
    <w:rsid w:val="00484F93"/>
    <w:rsid w:val="00485369"/>
    <w:rsid w:val="004853B1"/>
    <w:rsid w:val="004865E0"/>
    <w:rsid w:val="00486CE6"/>
    <w:rsid w:val="00487576"/>
    <w:rsid w:val="00490985"/>
    <w:rsid w:val="00490BF1"/>
    <w:rsid w:val="00491A84"/>
    <w:rsid w:val="00493804"/>
    <w:rsid w:val="004954F4"/>
    <w:rsid w:val="00495EF3"/>
    <w:rsid w:val="00496C68"/>
    <w:rsid w:val="004A0036"/>
    <w:rsid w:val="004A0588"/>
    <w:rsid w:val="004A1251"/>
    <w:rsid w:val="004A27E9"/>
    <w:rsid w:val="004A3229"/>
    <w:rsid w:val="004A39EB"/>
    <w:rsid w:val="004A4836"/>
    <w:rsid w:val="004A6027"/>
    <w:rsid w:val="004A606B"/>
    <w:rsid w:val="004A65F5"/>
    <w:rsid w:val="004A6FA3"/>
    <w:rsid w:val="004A71E9"/>
    <w:rsid w:val="004B015A"/>
    <w:rsid w:val="004B07FC"/>
    <w:rsid w:val="004B1507"/>
    <w:rsid w:val="004B24C1"/>
    <w:rsid w:val="004B3476"/>
    <w:rsid w:val="004B4BCD"/>
    <w:rsid w:val="004B5D98"/>
    <w:rsid w:val="004C1B97"/>
    <w:rsid w:val="004C5083"/>
    <w:rsid w:val="004C5500"/>
    <w:rsid w:val="004C5AEE"/>
    <w:rsid w:val="004C79EA"/>
    <w:rsid w:val="004C7C16"/>
    <w:rsid w:val="004D17BD"/>
    <w:rsid w:val="004D25AB"/>
    <w:rsid w:val="004D2953"/>
    <w:rsid w:val="004D424D"/>
    <w:rsid w:val="004D6715"/>
    <w:rsid w:val="004E0468"/>
    <w:rsid w:val="004E1A5F"/>
    <w:rsid w:val="004E338E"/>
    <w:rsid w:val="004E37C8"/>
    <w:rsid w:val="004E469B"/>
    <w:rsid w:val="004E4ED1"/>
    <w:rsid w:val="004E6977"/>
    <w:rsid w:val="004F0F7B"/>
    <w:rsid w:val="004F1696"/>
    <w:rsid w:val="004F193B"/>
    <w:rsid w:val="004F1E41"/>
    <w:rsid w:val="004F2650"/>
    <w:rsid w:val="004F35AD"/>
    <w:rsid w:val="004F4153"/>
    <w:rsid w:val="004F56F0"/>
    <w:rsid w:val="004F6FD8"/>
    <w:rsid w:val="004F7CC7"/>
    <w:rsid w:val="00500B85"/>
    <w:rsid w:val="00501B62"/>
    <w:rsid w:val="00502C83"/>
    <w:rsid w:val="005031F0"/>
    <w:rsid w:val="0050321E"/>
    <w:rsid w:val="00503A22"/>
    <w:rsid w:val="0050614B"/>
    <w:rsid w:val="00506FF1"/>
    <w:rsid w:val="00511F4F"/>
    <w:rsid w:val="00512271"/>
    <w:rsid w:val="005135CA"/>
    <w:rsid w:val="00513673"/>
    <w:rsid w:val="0051410A"/>
    <w:rsid w:val="0051454C"/>
    <w:rsid w:val="005148F0"/>
    <w:rsid w:val="00515148"/>
    <w:rsid w:val="0051528F"/>
    <w:rsid w:val="0051605A"/>
    <w:rsid w:val="005179C4"/>
    <w:rsid w:val="0052105C"/>
    <w:rsid w:val="00521768"/>
    <w:rsid w:val="005240F2"/>
    <w:rsid w:val="005252AE"/>
    <w:rsid w:val="00526533"/>
    <w:rsid w:val="00526628"/>
    <w:rsid w:val="00527460"/>
    <w:rsid w:val="00527DE3"/>
    <w:rsid w:val="00531952"/>
    <w:rsid w:val="00532E1F"/>
    <w:rsid w:val="0053346F"/>
    <w:rsid w:val="00534D88"/>
    <w:rsid w:val="00535385"/>
    <w:rsid w:val="00537209"/>
    <w:rsid w:val="00537BE1"/>
    <w:rsid w:val="00541336"/>
    <w:rsid w:val="005416FB"/>
    <w:rsid w:val="005418F1"/>
    <w:rsid w:val="005421AA"/>
    <w:rsid w:val="00542876"/>
    <w:rsid w:val="0054441E"/>
    <w:rsid w:val="005450CA"/>
    <w:rsid w:val="00545154"/>
    <w:rsid w:val="0054600E"/>
    <w:rsid w:val="005503D7"/>
    <w:rsid w:val="00554A73"/>
    <w:rsid w:val="00554ECD"/>
    <w:rsid w:val="00555734"/>
    <w:rsid w:val="00555C24"/>
    <w:rsid w:val="00557480"/>
    <w:rsid w:val="00557518"/>
    <w:rsid w:val="00564659"/>
    <w:rsid w:val="005649B5"/>
    <w:rsid w:val="00565CE1"/>
    <w:rsid w:val="00565CEE"/>
    <w:rsid w:val="00565F93"/>
    <w:rsid w:val="00566987"/>
    <w:rsid w:val="00567718"/>
    <w:rsid w:val="00567AF7"/>
    <w:rsid w:val="0057026B"/>
    <w:rsid w:val="005705AA"/>
    <w:rsid w:val="005714DA"/>
    <w:rsid w:val="00571624"/>
    <w:rsid w:val="00575C66"/>
    <w:rsid w:val="00576406"/>
    <w:rsid w:val="00577844"/>
    <w:rsid w:val="00581C0B"/>
    <w:rsid w:val="00583AAA"/>
    <w:rsid w:val="0058403C"/>
    <w:rsid w:val="00584C90"/>
    <w:rsid w:val="005868BD"/>
    <w:rsid w:val="00586B08"/>
    <w:rsid w:val="0058722D"/>
    <w:rsid w:val="00587CD9"/>
    <w:rsid w:val="00587E46"/>
    <w:rsid w:val="0059166A"/>
    <w:rsid w:val="00591CDC"/>
    <w:rsid w:val="005925DA"/>
    <w:rsid w:val="00592862"/>
    <w:rsid w:val="005941B3"/>
    <w:rsid w:val="00594F90"/>
    <w:rsid w:val="00596CF3"/>
    <w:rsid w:val="005971A8"/>
    <w:rsid w:val="00597C00"/>
    <w:rsid w:val="005A1424"/>
    <w:rsid w:val="005A1593"/>
    <w:rsid w:val="005A15E7"/>
    <w:rsid w:val="005A1DE2"/>
    <w:rsid w:val="005A25B5"/>
    <w:rsid w:val="005A53EB"/>
    <w:rsid w:val="005A5BA7"/>
    <w:rsid w:val="005A6C59"/>
    <w:rsid w:val="005A7A80"/>
    <w:rsid w:val="005B075E"/>
    <w:rsid w:val="005B14A2"/>
    <w:rsid w:val="005B25FC"/>
    <w:rsid w:val="005B2792"/>
    <w:rsid w:val="005B34BF"/>
    <w:rsid w:val="005B4489"/>
    <w:rsid w:val="005B5532"/>
    <w:rsid w:val="005B5E70"/>
    <w:rsid w:val="005B6414"/>
    <w:rsid w:val="005B7013"/>
    <w:rsid w:val="005B7516"/>
    <w:rsid w:val="005B7C19"/>
    <w:rsid w:val="005C098E"/>
    <w:rsid w:val="005C4EC7"/>
    <w:rsid w:val="005C5CD2"/>
    <w:rsid w:val="005C639C"/>
    <w:rsid w:val="005C7BCE"/>
    <w:rsid w:val="005D2051"/>
    <w:rsid w:val="005D39BB"/>
    <w:rsid w:val="005D653A"/>
    <w:rsid w:val="005E1075"/>
    <w:rsid w:val="005E157A"/>
    <w:rsid w:val="005E1713"/>
    <w:rsid w:val="005E208C"/>
    <w:rsid w:val="005E2432"/>
    <w:rsid w:val="005E2EA7"/>
    <w:rsid w:val="005E3525"/>
    <w:rsid w:val="005E3FB7"/>
    <w:rsid w:val="005E5011"/>
    <w:rsid w:val="005E61D8"/>
    <w:rsid w:val="005E6EC4"/>
    <w:rsid w:val="005E74A0"/>
    <w:rsid w:val="005E76EB"/>
    <w:rsid w:val="005F0687"/>
    <w:rsid w:val="005F0D6C"/>
    <w:rsid w:val="005F1B98"/>
    <w:rsid w:val="005F320E"/>
    <w:rsid w:val="005F32A8"/>
    <w:rsid w:val="005F3EBD"/>
    <w:rsid w:val="005F6B24"/>
    <w:rsid w:val="005F7DB9"/>
    <w:rsid w:val="00600448"/>
    <w:rsid w:val="006005DA"/>
    <w:rsid w:val="006011C6"/>
    <w:rsid w:val="00601707"/>
    <w:rsid w:val="00601B7D"/>
    <w:rsid w:val="00602E0C"/>
    <w:rsid w:val="00603D77"/>
    <w:rsid w:val="00604FD8"/>
    <w:rsid w:val="00606125"/>
    <w:rsid w:val="006076B7"/>
    <w:rsid w:val="006077A2"/>
    <w:rsid w:val="006100E5"/>
    <w:rsid w:val="00612A77"/>
    <w:rsid w:val="00612AD9"/>
    <w:rsid w:val="0061326F"/>
    <w:rsid w:val="00613DE4"/>
    <w:rsid w:val="00614A5D"/>
    <w:rsid w:val="00614BD4"/>
    <w:rsid w:val="00614F95"/>
    <w:rsid w:val="00617EF4"/>
    <w:rsid w:val="00620620"/>
    <w:rsid w:val="00621ED8"/>
    <w:rsid w:val="00622CB9"/>
    <w:rsid w:val="006244C8"/>
    <w:rsid w:val="00624E79"/>
    <w:rsid w:val="00626C0C"/>
    <w:rsid w:val="00626D3E"/>
    <w:rsid w:val="00630389"/>
    <w:rsid w:val="0063045E"/>
    <w:rsid w:val="00632CE3"/>
    <w:rsid w:val="00633BF2"/>
    <w:rsid w:val="0063411F"/>
    <w:rsid w:val="006353B5"/>
    <w:rsid w:val="00635F3D"/>
    <w:rsid w:val="00636757"/>
    <w:rsid w:val="00636A74"/>
    <w:rsid w:val="00641444"/>
    <w:rsid w:val="00641CD9"/>
    <w:rsid w:val="00642344"/>
    <w:rsid w:val="00643A43"/>
    <w:rsid w:val="00645685"/>
    <w:rsid w:val="00645E8F"/>
    <w:rsid w:val="00646C24"/>
    <w:rsid w:val="00646D77"/>
    <w:rsid w:val="00647EA7"/>
    <w:rsid w:val="00652213"/>
    <w:rsid w:val="006527AB"/>
    <w:rsid w:val="00652C94"/>
    <w:rsid w:val="00653C22"/>
    <w:rsid w:val="00653E5F"/>
    <w:rsid w:val="00655309"/>
    <w:rsid w:val="0065536F"/>
    <w:rsid w:val="00656660"/>
    <w:rsid w:val="00656F95"/>
    <w:rsid w:val="006609B0"/>
    <w:rsid w:val="00661168"/>
    <w:rsid w:val="00662286"/>
    <w:rsid w:val="00662D4A"/>
    <w:rsid w:val="00664263"/>
    <w:rsid w:val="00664921"/>
    <w:rsid w:val="00667205"/>
    <w:rsid w:val="00670F89"/>
    <w:rsid w:val="00671CC7"/>
    <w:rsid w:val="00673529"/>
    <w:rsid w:val="0067427E"/>
    <w:rsid w:val="006760EE"/>
    <w:rsid w:val="00676710"/>
    <w:rsid w:val="0067712F"/>
    <w:rsid w:val="006777E9"/>
    <w:rsid w:val="00677BF2"/>
    <w:rsid w:val="00681A8E"/>
    <w:rsid w:val="006830B0"/>
    <w:rsid w:val="00684194"/>
    <w:rsid w:val="00684759"/>
    <w:rsid w:val="00684A7D"/>
    <w:rsid w:val="006852A0"/>
    <w:rsid w:val="00686161"/>
    <w:rsid w:val="00686394"/>
    <w:rsid w:val="00686761"/>
    <w:rsid w:val="00686FF4"/>
    <w:rsid w:val="00687560"/>
    <w:rsid w:val="00692080"/>
    <w:rsid w:val="0069217C"/>
    <w:rsid w:val="006923A8"/>
    <w:rsid w:val="006926DA"/>
    <w:rsid w:val="006927DF"/>
    <w:rsid w:val="00693293"/>
    <w:rsid w:val="006944A5"/>
    <w:rsid w:val="0069537E"/>
    <w:rsid w:val="006959A9"/>
    <w:rsid w:val="00695F1C"/>
    <w:rsid w:val="00697B0D"/>
    <w:rsid w:val="006A3756"/>
    <w:rsid w:val="006A4197"/>
    <w:rsid w:val="006A423B"/>
    <w:rsid w:val="006A44B4"/>
    <w:rsid w:val="006A485E"/>
    <w:rsid w:val="006B07C6"/>
    <w:rsid w:val="006B0D5E"/>
    <w:rsid w:val="006B17D2"/>
    <w:rsid w:val="006B1F9C"/>
    <w:rsid w:val="006B2D62"/>
    <w:rsid w:val="006B53A7"/>
    <w:rsid w:val="006C2208"/>
    <w:rsid w:val="006C222A"/>
    <w:rsid w:val="006C2778"/>
    <w:rsid w:val="006C3800"/>
    <w:rsid w:val="006C3BFE"/>
    <w:rsid w:val="006C484C"/>
    <w:rsid w:val="006C59F6"/>
    <w:rsid w:val="006C62BA"/>
    <w:rsid w:val="006C7814"/>
    <w:rsid w:val="006D025C"/>
    <w:rsid w:val="006D10BB"/>
    <w:rsid w:val="006D28D3"/>
    <w:rsid w:val="006D3565"/>
    <w:rsid w:val="006D492B"/>
    <w:rsid w:val="006D4B9C"/>
    <w:rsid w:val="006D4DCC"/>
    <w:rsid w:val="006D51A8"/>
    <w:rsid w:val="006D51D2"/>
    <w:rsid w:val="006D5F0B"/>
    <w:rsid w:val="006D6566"/>
    <w:rsid w:val="006D7034"/>
    <w:rsid w:val="006D7519"/>
    <w:rsid w:val="006D7E5F"/>
    <w:rsid w:val="006E0896"/>
    <w:rsid w:val="006E19BC"/>
    <w:rsid w:val="006E2351"/>
    <w:rsid w:val="006E3DE1"/>
    <w:rsid w:val="006E3F4A"/>
    <w:rsid w:val="006E697A"/>
    <w:rsid w:val="006E798A"/>
    <w:rsid w:val="006E7C6E"/>
    <w:rsid w:val="006F05A1"/>
    <w:rsid w:val="006F070F"/>
    <w:rsid w:val="006F14F2"/>
    <w:rsid w:val="006F288E"/>
    <w:rsid w:val="006F2981"/>
    <w:rsid w:val="006F3C5D"/>
    <w:rsid w:val="006F43CE"/>
    <w:rsid w:val="006F667D"/>
    <w:rsid w:val="006F6D80"/>
    <w:rsid w:val="006F7202"/>
    <w:rsid w:val="00700C07"/>
    <w:rsid w:val="007017EF"/>
    <w:rsid w:val="0070329B"/>
    <w:rsid w:val="00703C4F"/>
    <w:rsid w:val="00704FF4"/>
    <w:rsid w:val="00706069"/>
    <w:rsid w:val="007109E5"/>
    <w:rsid w:val="0071230D"/>
    <w:rsid w:val="00712CF4"/>
    <w:rsid w:val="00713FA9"/>
    <w:rsid w:val="00714EE3"/>
    <w:rsid w:val="00715A0C"/>
    <w:rsid w:val="0071775C"/>
    <w:rsid w:val="00721F2E"/>
    <w:rsid w:val="00723020"/>
    <w:rsid w:val="007237FF"/>
    <w:rsid w:val="00726386"/>
    <w:rsid w:val="00726AE1"/>
    <w:rsid w:val="007272A8"/>
    <w:rsid w:val="00727537"/>
    <w:rsid w:val="00727D76"/>
    <w:rsid w:val="007302F7"/>
    <w:rsid w:val="007312B5"/>
    <w:rsid w:val="0073431F"/>
    <w:rsid w:val="00735B5A"/>
    <w:rsid w:val="00736B21"/>
    <w:rsid w:val="007370B7"/>
    <w:rsid w:val="00737342"/>
    <w:rsid w:val="00737E85"/>
    <w:rsid w:val="00741805"/>
    <w:rsid w:val="00742925"/>
    <w:rsid w:val="007434AF"/>
    <w:rsid w:val="007445B7"/>
    <w:rsid w:val="007445D2"/>
    <w:rsid w:val="0074671D"/>
    <w:rsid w:val="007475B6"/>
    <w:rsid w:val="00747AED"/>
    <w:rsid w:val="00751AF4"/>
    <w:rsid w:val="00752B33"/>
    <w:rsid w:val="00752B95"/>
    <w:rsid w:val="00752F72"/>
    <w:rsid w:val="00753D24"/>
    <w:rsid w:val="007552B9"/>
    <w:rsid w:val="00755BEA"/>
    <w:rsid w:val="007560F0"/>
    <w:rsid w:val="00761D20"/>
    <w:rsid w:val="00770ACE"/>
    <w:rsid w:val="007717AA"/>
    <w:rsid w:val="00772251"/>
    <w:rsid w:val="00772389"/>
    <w:rsid w:val="00772B6F"/>
    <w:rsid w:val="00772E8E"/>
    <w:rsid w:val="007730B2"/>
    <w:rsid w:val="0077317A"/>
    <w:rsid w:val="00774351"/>
    <w:rsid w:val="00774C19"/>
    <w:rsid w:val="00774D81"/>
    <w:rsid w:val="00774EC4"/>
    <w:rsid w:val="00775B89"/>
    <w:rsid w:val="0077695A"/>
    <w:rsid w:val="00776DF5"/>
    <w:rsid w:val="0077705A"/>
    <w:rsid w:val="007803B3"/>
    <w:rsid w:val="0078149C"/>
    <w:rsid w:val="00782079"/>
    <w:rsid w:val="00782C15"/>
    <w:rsid w:val="00783D77"/>
    <w:rsid w:val="0078474E"/>
    <w:rsid w:val="0078631E"/>
    <w:rsid w:val="00790813"/>
    <w:rsid w:val="00792491"/>
    <w:rsid w:val="00792527"/>
    <w:rsid w:val="00792B78"/>
    <w:rsid w:val="00794D41"/>
    <w:rsid w:val="00795FD6"/>
    <w:rsid w:val="00797357"/>
    <w:rsid w:val="007A0897"/>
    <w:rsid w:val="007A1A6B"/>
    <w:rsid w:val="007A1EF5"/>
    <w:rsid w:val="007A2058"/>
    <w:rsid w:val="007A26CB"/>
    <w:rsid w:val="007A3345"/>
    <w:rsid w:val="007A43A8"/>
    <w:rsid w:val="007B0702"/>
    <w:rsid w:val="007B285E"/>
    <w:rsid w:val="007B29B0"/>
    <w:rsid w:val="007B2F23"/>
    <w:rsid w:val="007B3A65"/>
    <w:rsid w:val="007B426E"/>
    <w:rsid w:val="007B7AF4"/>
    <w:rsid w:val="007C012C"/>
    <w:rsid w:val="007C0D68"/>
    <w:rsid w:val="007C2652"/>
    <w:rsid w:val="007C2D0F"/>
    <w:rsid w:val="007C2D79"/>
    <w:rsid w:val="007C3858"/>
    <w:rsid w:val="007C44AC"/>
    <w:rsid w:val="007C6108"/>
    <w:rsid w:val="007C6C75"/>
    <w:rsid w:val="007D183B"/>
    <w:rsid w:val="007D1C9B"/>
    <w:rsid w:val="007D1E5B"/>
    <w:rsid w:val="007D39E7"/>
    <w:rsid w:val="007D4983"/>
    <w:rsid w:val="007D7211"/>
    <w:rsid w:val="007E2363"/>
    <w:rsid w:val="007E6B0A"/>
    <w:rsid w:val="007E7E39"/>
    <w:rsid w:val="007F1140"/>
    <w:rsid w:val="007F18CD"/>
    <w:rsid w:val="007F2BCB"/>
    <w:rsid w:val="007F3A3A"/>
    <w:rsid w:val="007F40D3"/>
    <w:rsid w:val="007F4186"/>
    <w:rsid w:val="007F43D2"/>
    <w:rsid w:val="007F4A52"/>
    <w:rsid w:val="007F4BEE"/>
    <w:rsid w:val="007F5207"/>
    <w:rsid w:val="007F5B03"/>
    <w:rsid w:val="007F5D6E"/>
    <w:rsid w:val="007F62BA"/>
    <w:rsid w:val="007F6FB5"/>
    <w:rsid w:val="00800592"/>
    <w:rsid w:val="008052B4"/>
    <w:rsid w:val="00805894"/>
    <w:rsid w:val="00805CC9"/>
    <w:rsid w:val="00805D69"/>
    <w:rsid w:val="00805E9D"/>
    <w:rsid w:val="00806B69"/>
    <w:rsid w:val="00807C15"/>
    <w:rsid w:val="00814E33"/>
    <w:rsid w:val="00815931"/>
    <w:rsid w:val="00815D83"/>
    <w:rsid w:val="008173A0"/>
    <w:rsid w:val="0081753A"/>
    <w:rsid w:val="00820180"/>
    <w:rsid w:val="00820995"/>
    <w:rsid w:val="00823306"/>
    <w:rsid w:val="00823335"/>
    <w:rsid w:val="00823678"/>
    <w:rsid w:val="00826EAA"/>
    <w:rsid w:val="008279A9"/>
    <w:rsid w:val="0083024D"/>
    <w:rsid w:val="00830568"/>
    <w:rsid w:val="00830B11"/>
    <w:rsid w:val="0083267B"/>
    <w:rsid w:val="00834629"/>
    <w:rsid w:val="0083496D"/>
    <w:rsid w:val="00835800"/>
    <w:rsid w:val="00835A6B"/>
    <w:rsid w:val="008400DB"/>
    <w:rsid w:val="00843292"/>
    <w:rsid w:val="00844BCB"/>
    <w:rsid w:val="00845F1E"/>
    <w:rsid w:val="00846081"/>
    <w:rsid w:val="008460EF"/>
    <w:rsid w:val="0084664E"/>
    <w:rsid w:val="00846B15"/>
    <w:rsid w:val="00846D7B"/>
    <w:rsid w:val="00850243"/>
    <w:rsid w:val="00850A6D"/>
    <w:rsid w:val="00850BE9"/>
    <w:rsid w:val="00851A36"/>
    <w:rsid w:val="00852002"/>
    <w:rsid w:val="00852C57"/>
    <w:rsid w:val="00853108"/>
    <w:rsid w:val="00853FD2"/>
    <w:rsid w:val="00854140"/>
    <w:rsid w:val="00854317"/>
    <w:rsid w:val="008544F6"/>
    <w:rsid w:val="00855899"/>
    <w:rsid w:val="0085667B"/>
    <w:rsid w:val="00857F97"/>
    <w:rsid w:val="00860FC2"/>
    <w:rsid w:val="008615F6"/>
    <w:rsid w:val="00861913"/>
    <w:rsid w:val="00861DAA"/>
    <w:rsid w:val="008624FE"/>
    <w:rsid w:val="00864C0D"/>
    <w:rsid w:val="0086536A"/>
    <w:rsid w:val="00870809"/>
    <w:rsid w:val="00871CBD"/>
    <w:rsid w:val="008727C0"/>
    <w:rsid w:val="0087453F"/>
    <w:rsid w:val="00874552"/>
    <w:rsid w:val="008746C8"/>
    <w:rsid w:val="008750F9"/>
    <w:rsid w:val="008756A2"/>
    <w:rsid w:val="00875FC5"/>
    <w:rsid w:val="00876232"/>
    <w:rsid w:val="00876EF8"/>
    <w:rsid w:val="00881506"/>
    <w:rsid w:val="00882314"/>
    <w:rsid w:val="00884BEA"/>
    <w:rsid w:val="00885D69"/>
    <w:rsid w:val="00885DC9"/>
    <w:rsid w:val="00886151"/>
    <w:rsid w:val="00886501"/>
    <w:rsid w:val="008902B7"/>
    <w:rsid w:val="0089056F"/>
    <w:rsid w:val="008916EF"/>
    <w:rsid w:val="008919A9"/>
    <w:rsid w:val="00891EB1"/>
    <w:rsid w:val="00891EF8"/>
    <w:rsid w:val="0089208A"/>
    <w:rsid w:val="0089337C"/>
    <w:rsid w:val="0089361D"/>
    <w:rsid w:val="00894EB0"/>
    <w:rsid w:val="00895C53"/>
    <w:rsid w:val="0089758F"/>
    <w:rsid w:val="00897D89"/>
    <w:rsid w:val="008A01E7"/>
    <w:rsid w:val="008A1FDE"/>
    <w:rsid w:val="008A226C"/>
    <w:rsid w:val="008A3251"/>
    <w:rsid w:val="008A3334"/>
    <w:rsid w:val="008A401B"/>
    <w:rsid w:val="008A4AFD"/>
    <w:rsid w:val="008A4C43"/>
    <w:rsid w:val="008A7DC2"/>
    <w:rsid w:val="008B3321"/>
    <w:rsid w:val="008B4E80"/>
    <w:rsid w:val="008B5242"/>
    <w:rsid w:val="008B5547"/>
    <w:rsid w:val="008B6C32"/>
    <w:rsid w:val="008B7839"/>
    <w:rsid w:val="008B7A09"/>
    <w:rsid w:val="008C04F7"/>
    <w:rsid w:val="008C0C85"/>
    <w:rsid w:val="008C1380"/>
    <w:rsid w:val="008C1CFC"/>
    <w:rsid w:val="008C23B0"/>
    <w:rsid w:val="008C2EB8"/>
    <w:rsid w:val="008C33DB"/>
    <w:rsid w:val="008C44B6"/>
    <w:rsid w:val="008C49FC"/>
    <w:rsid w:val="008C58C5"/>
    <w:rsid w:val="008C6EFB"/>
    <w:rsid w:val="008C7702"/>
    <w:rsid w:val="008D336D"/>
    <w:rsid w:val="008D4A40"/>
    <w:rsid w:val="008D4DDA"/>
    <w:rsid w:val="008D75F0"/>
    <w:rsid w:val="008E0B42"/>
    <w:rsid w:val="008E0F43"/>
    <w:rsid w:val="008E334F"/>
    <w:rsid w:val="008E35C2"/>
    <w:rsid w:val="008E46B5"/>
    <w:rsid w:val="008E4EF2"/>
    <w:rsid w:val="008E5739"/>
    <w:rsid w:val="008E7334"/>
    <w:rsid w:val="008E7D77"/>
    <w:rsid w:val="008F00F4"/>
    <w:rsid w:val="008F397B"/>
    <w:rsid w:val="008F4B5D"/>
    <w:rsid w:val="008F4F2C"/>
    <w:rsid w:val="008F4FC6"/>
    <w:rsid w:val="008F7895"/>
    <w:rsid w:val="008F78F6"/>
    <w:rsid w:val="009004EB"/>
    <w:rsid w:val="009009B4"/>
    <w:rsid w:val="00900C0E"/>
    <w:rsid w:val="00902679"/>
    <w:rsid w:val="009038C3"/>
    <w:rsid w:val="00903E80"/>
    <w:rsid w:val="009043B5"/>
    <w:rsid w:val="00904734"/>
    <w:rsid w:val="009049E8"/>
    <w:rsid w:val="009052EE"/>
    <w:rsid w:val="00906888"/>
    <w:rsid w:val="00906CDE"/>
    <w:rsid w:val="00906E30"/>
    <w:rsid w:val="00907BE5"/>
    <w:rsid w:val="00910D10"/>
    <w:rsid w:val="00912456"/>
    <w:rsid w:val="009129EC"/>
    <w:rsid w:val="009138A0"/>
    <w:rsid w:val="009143A4"/>
    <w:rsid w:val="00914F46"/>
    <w:rsid w:val="0091563F"/>
    <w:rsid w:val="009161EE"/>
    <w:rsid w:val="00916357"/>
    <w:rsid w:val="0091672A"/>
    <w:rsid w:val="00916768"/>
    <w:rsid w:val="009176E8"/>
    <w:rsid w:val="00917727"/>
    <w:rsid w:val="00917998"/>
    <w:rsid w:val="00920B02"/>
    <w:rsid w:val="00922C15"/>
    <w:rsid w:val="00923999"/>
    <w:rsid w:val="00923BC4"/>
    <w:rsid w:val="0092490B"/>
    <w:rsid w:val="00924EBF"/>
    <w:rsid w:val="009265EB"/>
    <w:rsid w:val="00927471"/>
    <w:rsid w:val="00927788"/>
    <w:rsid w:val="00930CE7"/>
    <w:rsid w:val="00931EDD"/>
    <w:rsid w:val="00932C6C"/>
    <w:rsid w:val="00933637"/>
    <w:rsid w:val="00933816"/>
    <w:rsid w:val="00934E67"/>
    <w:rsid w:val="0093507D"/>
    <w:rsid w:val="00935B15"/>
    <w:rsid w:val="009364F7"/>
    <w:rsid w:val="009367A4"/>
    <w:rsid w:val="00940ED8"/>
    <w:rsid w:val="009411F1"/>
    <w:rsid w:val="00941A34"/>
    <w:rsid w:val="00942426"/>
    <w:rsid w:val="0094246D"/>
    <w:rsid w:val="0094419A"/>
    <w:rsid w:val="00944214"/>
    <w:rsid w:val="009447D2"/>
    <w:rsid w:val="00944D17"/>
    <w:rsid w:val="0094645A"/>
    <w:rsid w:val="00947883"/>
    <w:rsid w:val="0095080B"/>
    <w:rsid w:val="00952B6A"/>
    <w:rsid w:val="00954FC0"/>
    <w:rsid w:val="00955DEA"/>
    <w:rsid w:val="00955E26"/>
    <w:rsid w:val="00956072"/>
    <w:rsid w:val="009567F7"/>
    <w:rsid w:val="00956BA4"/>
    <w:rsid w:val="00957843"/>
    <w:rsid w:val="00957AE4"/>
    <w:rsid w:val="0096012F"/>
    <w:rsid w:val="00963011"/>
    <w:rsid w:val="00966C77"/>
    <w:rsid w:val="009670FC"/>
    <w:rsid w:val="00970782"/>
    <w:rsid w:val="009709AA"/>
    <w:rsid w:val="009709AE"/>
    <w:rsid w:val="0097102C"/>
    <w:rsid w:val="00971860"/>
    <w:rsid w:val="00974AD5"/>
    <w:rsid w:val="00975A27"/>
    <w:rsid w:val="00976036"/>
    <w:rsid w:val="0097629F"/>
    <w:rsid w:val="0098140E"/>
    <w:rsid w:val="009816A4"/>
    <w:rsid w:val="00982046"/>
    <w:rsid w:val="00983D8B"/>
    <w:rsid w:val="0098533D"/>
    <w:rsid w:val="0098557F"/>
    <w:rsid w:val="009858DD"/>
    <w:rsid w:val="00985960"/>
    <w:rsid w:val="00987FB0"/>
    <w:rsid w:val="009901FB"/>
    <w:rsid w:val="00991838"/>
    <w:rsid w:val="0099218D"/>
    <w:rsid w:val="00992474"/>
    <w:rsid w:val="00994152"/>
    <w:rsid w:val="00994CAC"/>
    <w:rsid w:val="00995B53"/>
    <w:rsid w:val="009973A9"/>
    <w:rsid w:val="009A02DA"/>
    <w:rsid w:val="009A0B0E"/>
    <w:rsid w:val="009A12F0"/>
    <w:rsid w:val="009A2148"/>
    <w:rsid w:val="009A28EC"/>
    <w:rsid w:val="009A2D73"/>
    <w:rsid w:val="009A3185"/>
    <w:rsid w:val="009A327A"/>
    <w:rsid w:val="009A3597"/>
    <w:rsid w:val="009A3A6D"/>
    <w:rsid w:val="009A42AC"/>
    <w:rsid w:val="009A5BF4"/>
    <w:rsid w:val="009A6549"/>
    <w:rsid w:val="009A77F7"/>
    <w:rsid w:val="009A7BD2"/>
    <w:rsid w:val="009B274D"/>
    <w:rsid w:val="009B2DA7"/>
    <w:rsid w:val="009B343C"/>
    <w:rsid w:val="009B3E20"/>
    <w:rsid w:val="009B48CD"/>
    <w:rsid w:val="009B583A"/>
    <w:rsid w:val="009B589D"/>
    <w:rsid w:val="009B7956"/>
    <w:rsid w:val="009C0133"/>
    <w:rsid w:val="009C2375"/>
    <w:rsid w:val="009C358C"/>
    <w:rsid w:val="009C518A"/>
    <w:rsid w:val="009D01BF"/>
    <w:rsid w:val="009D1231"/>
    <w:rsid w:val="009D19BA"/>
    <w:rsid w:val="009D1AFD"/>
    <w:rsid w:val="009D2267"/>
    <w:rsid w:val="009D24A1"/>
    <w:rsid w:val="009D2FAA"/>
    <w:rsid w:val="009D54B5"/>
    <w:rsid w:val="009D57B5"/>
    <w:rsid w:val="009D6D7C"/>
    <w:rsid w:val="009D72C0"/>
    <w:rsid w:val="009D7599"/>
    <w:rsid w:val="009D7689"/>
    <w:rsid w:val="009E0217"/>
    <w:rsid w:val="009E0254"/>
    <w:rsid w:val="009E056A"/>
    <w:rsid w:val="009E0958"/>
    <w:rsid w:val="009E252A"/>
    <w:rsid w:val="009E49B9"/>
    <w:rsid w:val="009E6D15"/>
    <w:rsid w:val="009E6E9B"/>
    <w:rsid w:val="009E78B6"/>
    <w:rsid w:val="009F14EC"/>
    <w:rsid w:val="009F20DD"/>
    <w:rsid w:val="009F2291"/>
    <w:rsid w:val="009F4BB1"/>
    <w:rsid w:val="009F61BE"/>
    <w:rsid w:val="009F67F5"/>
    <w:rsid w:val="00A00248"/>
    <w:rsid w:val="00A012DB"/>
    <w:rsid w:val="00A02288"/>
    <w:rsid w:val="00A024E3"/>
    <w:rsid w:val="00A02A51"/>
    <w:rsid w:val="00A02C21"/>
    <w:rsid w:val="00A0313B"/>
    <w:rsid w:val="00A04648"/>
    <w:rsid w:val="00A05464"/>
    <w:rsid w:val="00A05A8E"/>
    <w:rsid w:val="00A0679B"/>
    <w:rsid w:val="00A10C5E"/>
    <w:rsid w:val="00A11DC2"/>
    <w:rsid w:val="00A13879"/>
    <w:rsid w:val="00A1518C"/>
    <w:rsid w:val="00A156F2"/>
    <w:rsid w:val="00A15D47"/>
    <w:rsid w:val="00A171FA"/>
    <w:rsid w:val="00A2001E"/>
    <w:rsid w:val="00A20B68"/>
    <w:rsid w:val="00A20D38"/>
    <w:rsid w:val="00A21390"/>
    <w:rsid w:val="00A21500"/>
    <w:rsid w:val="00A21871"/>
    <w:rsid w:val="00A23F7A"/>
    <w:rsid w:val="00A240E2"/>
    <w:rsid w:val="00A256DF"/>
    <w:rsid w:val="00A25968"/>
    <w:rsid w:val="00A25B07"/>
    <w:rsid w:val="00A27028"/>
    <w:rsid w:val="00A27D2A"/>
    <w:rsid w:val="00A31614"/>
    <w:rsid w:val="00A3317E"/>
    <w:rsid w:val="00A349EA"/>
    <w:rsid w:val="00A37158"/>
    <w:rsid w:val="00A400B5"/>
    <w:rsid w:val="00A40E9F"/>
    <w:rsid w:val="00A41BDD"/>
    <w:rsid w:val="00A4330C"/>
    <w:rsid w:val="00A4362E"/>
    <w:rsid w:val="00A44C70"/>
    <w:rsid w:val="00A460B9"/>
    <w:rsid w:val="00A46E48"/>
    <w:rsid w:val="00A4753B"/>
    <w:rsid w:val="00A477A9"/>
    <w:rsid w:val="00A51627"/>
    <w:rsid w:val="00A51D0A"/>
    <w:rsid w:val="00A5268C"/>
    <w:rsid w:val="00A53A1C"/>
    <w:rsid w:val="00A53BA9"/>
    <w:rsid w:val="00A54D75"/>
    <w:rsid w:val="00A553FD"/>
    <w:rsid w:val="00A563D3"/>
    <w:rsid w:val="00A564EE"/>
    <w:rsid w:val="00A56D77"/>
    <w:rsid w:val="00A56FD2"/>
    <w:rsid w:val="00A601FC"/>
    <w:rsid w:val="00A6026F"/>
    <w:rsid w:val="00A610FF"/>
    <w:rsid w:val="00A65D57"/>
    <w:rsid w:val="00A663DD"/>
    <w:rsid w:val="00A7093D"/>
    <w:rsid w:val="00A70AE4"/>
    <w:rsid w:val="00A70AEA"/>
    <w:rsid w:val="00A711E6"/>
    <w:rsid w:val="00A73544"/>
    <w:rsid w:val="00A741B0"/>
    <w:rsid w:val="00A75377"/>
    <w:rsid w:val="00A75512"/>
    <w:rsid w:val="00A76162"/>
    <w:rsid w:val="00A762D6"/>
    <w:rsid w:val="00A80364"/>
    <w:rsid w:val="00A81BF3"/>
    <w:rsid w:val="00A81D9F"/>
    <w:rsid w:val="00A83524"/>
    <w:rsid w:val="00A8368C"/>
    <w:rsid w:val="00A847B0"/>
    <w:rsid w:val="00A863CE"/>
    <w:rsid w:val="00A910D2"/>
    <w:rsid w:val="00A913BB"/>
    <w:rsid w:val="00A91AF4"/>
    <w:rsid w:val="00A9311B"/>
    <w:rsid w:val="00A9316A"/>
    <w:rsid w:val="00A941A8"/>
    <w:rsid w:val="00A94509"/>
    <w:rsid w:val="00A9598B"/>
    <w:rsid w:val="00A960B0"/>
    <w:rsid w:val="00A96ECA"/>
    <w:rsid w:val="00A97078"/>
    <w:rsid w:val="00A97A42"/>
    <w:rsid w:val="00A97B49"/>
    <w:rsid w:val="00AA05B3"/>
    <w:rsid w:val="00AA247C"/>
    <w:rsid w:val="00AA7CA8"/>
    <w:rsid w:val="00AA7E6D"/>
    <w:rsid w:val="00AB06C9"/>
    <w:rsid w:val="00AB2081"/>
    <w:rsid w:val="00AB2520"/>
    <w:rsid w:val="00AB3CDF"/>
    <w:rsid w:val="00AB4780"/>
    <w:rsid w:val="00AB4A44"/>
    <w:rsid w:val="00AB53A2"/>
    <w:rsid w:val="00AB5AB4"/>
    <w:rsid w:val="00AB612B"/>
    <w:rsid w:val="00AB6C43"/>
    <w:rsid w:val="00AB795E"/>
    <w:rsid w:val="00AC0373"/>
    <w:rsid w:val="00AC2BED"/>
    <w:rsid w:val="00AC3354"/>
    <w:rsid w:val="00AC5529"/>
    <w:rsid w:val="00AC5DFA"/>
    <w:rsid w:val="00AC60BD"/>
    <w:rsid w:val="00AC75C6"/>
    <w:rsid w:val="00AD0FA4"/>
    <w:rsid w:val="00AD2368"/>
    <w:rsid w:val="00AD2CFA"/>
    <w:rsid w:val="00AD326D"/>
    <w:rsid w:val="00AD3B8E"/>
    <w:rsid w:val="00AD3EF3"/>
    <w:rsid w:val="00AD4107"/>
    <w:rsid w:val="00AD4C4F"/>
    <w:rsid w:val="00AD4E2E"/>
    <w:rsid w:val="00AD7F0D"/>
    <w:rsid w:val="00AE0C2B"/>
    <w:rsid w:val="00AE3160"/>
    <w:rsid w:val="00AE3F11"/>
    <w:rsid w:val="00AE506F"/>
    <w:rsid w:val="00AE5078"/>
    <w:rsid w:val="00AE65E3"/>
    <w:rsid w:val="00AF0D66"/>
    <w:rsid w:val="00AF13B5"/>
    <w:rsid w:val="00AF2B92"/>
    <w:rsid w:val="00AF3598"/>
    <w:rsid w:val="00AF4374"/>
    <w:rsid w:val="00AF5C62"/>
    <w:rsid w:val="00AF6A2B"/>
    <w:rsid w:val="00B015D5"/>
    <w:rsid w:val="00B01786"/>
    <w:rsid w:val="00B0194D"/>
    <w:rsid w:val="00B01E1E"/>
    <w:rsid w:val="00B01FE1"/>
    <w:rsid w:val="00B02FC2"/>
    <w:rsid w:val="00B0318D"/>
    <w:rsid w:val="00B03534"/>
    <w:rsid w:val="00B0403A"/>
    <w:rsid w:val="00B058C2"/>
    <w:rsid w:val="00B05FBF"/>
    <w:rsid w:val="00B07258"/>
    <w:rsid w:val="00B07D47"/>
    <w:rsid w:val="00B10553"/>
    <w:rsid w:val="00B1132D"/>
    <w:rsid w:val="00B12B62"/>
    <w:rsid w:val="00B13905"/>
    <w:rsid w:val="00B13E4B"/>
    <w:rsid w:val="00B142E7"/>
    <w:rsid w:val="00B14CC6"/>
    <w:rsid w:val="00B15CA2"/>
    <w:rsid w:val="00B22404"/>
    <w:rsid w:val="00B22D7A"/>
    <w:rsid w:val="00B23073"/>
    <w:rsid w:val="00B230D5"/>
    <w:rsid w:val="00B23606"/>
    <w:rsid w:val="00B23A5C"/>
    <w:rsid w:val="00B24421"/>
    <w:rsid w:val="00B276C7"/>
    <w:rsid w:val="00B27E26"/>
    <w:rsid w:val="00B30570"/>
    <w:rsid w:val="00B32105"/>
    <w:rsid w:val="00B32971"/>
    <w:rsid w:val="00B32D2A"/>
    <w:rsid w:val="00B342FE"/>
    <w:rsid w:val="00B361BC"/>
    <w:rsid w:val="00B36757"/>
    <w:rsid w:val="00B36FF4"/>
    <w:rsid w:val="00B37045"/>
    <w:rsid w:val="00B3766E"/>
    <w:rsid w:val="00B377CB"/>
    <w:rsid w:val="00B40989"/>
    <w:rsid w:val="00B41EB0"/>
    <w:rsid w:val="00B42054"/>
    <w:rsid w:val="00B4321A"/>
    <w:rsid w:val="00B43C0A"/>
    <w:rsid w:val="00B4579D"/>
    <w:rsid w:val="00B458E8"/>
    <w:rsid w:val="00B45DBD"/>
    <w:rsid w:val="00B466CD"/>
    <w:rsid w:val="00B46EAB"/>
    <w:rsid w:val="00B47416"/>
    <w:rsid w:val="00B47E15"/>
    <w:rsid w:val="00B51FBD"/>
    <w:rsid w:val="00B521B8"/>
    <w:rsid w:val="00B528A0"/>
    <w:rsid w:val="00B53150"/>
    <w:rsid w:val="00B542B5"/>
    <w:rsid w:val="00B54B0C"/>
    <w:rsid w:val="00B55D73"/>
    <w:rsid w:val="00B60645"/>
    <w:rsid w:val="00B61D58"/>
    <w:rsid w:val="00B62459"/>
    <w:rsid w:val="00B6257C"/>
    <w:rsid w:val="00B63D13"/>
    <w:rsid w:val="00B63DAC"/>
    <w:rsid w:val="00B63DC7"/>
    <w:rsid w:val="00B64860"/>
    <w:rsid w:val="00B65208"/>
    <w:rsid w:val="00B6526B"/>
    <w:rsid w:val="00B66D1E"/>
    <w:rsid w:val="00B67410"/>
    <w:rsid w:val="00B714A8"/>
    <w:rsid w:val="00B724AF"/>
    <w:rsid w:val="00B72A34"/>
    <w:rsid w:val="00B72EE4"/>
    <w:rsid w:val="00B756EC"/>
    <w:rsid w:val="00B75A7C"/>
    <w:rsid w:val="00B763B8"/>
    <w:rsid w:val="00B769B4"/>
    <w:rsid w:val="00B77693"/>
    <w:rsid w:val="00B77A4C"/>
    <w:rsid w:val="00B77DA1"/>
    <w:rsid w:val="00B8062A"/>
    <w:rsid w:val="00B820CD"/>
    <w:rsid w:val="00B82399"/>
    <w:rsid w:val="00B82696"/>
    <w:rsid w:val="00B82914"/>
    <w:rsid w:val="00B85045"/>
    <w:rsid w:val="00B856BC"/>
    <w:rsid w:val="00B87738"/>
    <w:rsid w:val="00B87E68"/>
    <w:rsid w:val="00B90D86"/>
    <w:rsid w:val="00B9114E"/>
    <w:rsid w:val="00B91604"/>
    <w:rsid w:val="00B91965"/>
    <w:rsid w:val="00B91D68"/>
    <w:rsid w:val="00B93723"/>
    <w:rsid w:val="00B96AE1"/>
    <w:rsid w:val="00B978D5"/>
    <w:rsid w:val="00BA0090"/>
    <w:rsid w:val="00BA25C5"/>
    <w:rsid w:val="00BA7779"/>
    <w:rsid w:val="00BA7D95"/>
    <w:rsid w:val="00BB0CAC"/>
    <w:rsid w:val="00BB12E7"/>
    <w:rsid w:val="00BB1AF9"/>
    <w:rsid w:val="00BB202B"/>
    <w:rsid w:val="00BB23C4"/>
    <w:rsid w:val="00BB643B"/>
    <w:rsid w:val="00BB6CE3"/>
    <w:rsid w:val="00BB6DF6"/>
    <w:rsid w:val="00BB7325"/>
    <w:rsid w:val="00BB7654"/>
    <w:rsid w:val="00BB7EFE"/>
    <w:rsid w:val="00BC289E"/>
    <w:rsid w:val="00BC42CE"/>
    <w:rsid w:val="00BC4A1A"/>
    <w:rsid w:val="00BC5288"/>
    <w:rsid w:val="00BC553A"/>
    <w:rsid w:val="00BC5851"/>
    <w:rsid w:val="00BC5D65"/>
    <w:rsid w:val="00BC7B24"/>
    <w:rsid w:val="00BC7F05"/>
    <w:rsid w:val="00BD0410"/>
    <w:rsid w:val="00BD078D"/>
    <w:rsid w:val="00BD2846"/>
    <w:rsid w:val="00BD509E"/>
    <w:rsid w:val="00BD6BD1"/>
    <w:rsid w:val="00BD6F8C"/>
    <w:rsid w:val="00BD7895"/>
    <w:rsid w:val="00BE021D"/>
    <w:rsid w:val="00BE02B9"/>
    <w:rsid w:val="00BE03A0"/>
    <w:rsid w:val="00BE080E"/>
    <w:rsid w:val="00BE164A"/>
    <w:rsid w:val="00BE18CB"/>
    <w:rsid w:val="00BE643A"/>
    <w:rsid w:val="00BE74A7"/>
    <w:rsid w:val="00BF0741"/>
    <w:rsid w:val="00BF07DB"/>
    <w:rsid w:val="00BF17F8"/>
    <w:rsid w:val="00BF2CB7"/>
    <w:rsid w:val="00BF56E0"/>
    <w:rsid w:val="00BF5E28"/>
    <w:rsid w:val="00BF5F35"/>
    <w:rsid w:val="00BF6E5A"/>
    <w:rsid w:val="00BF70D4"/>
    <w:rsid w:val="00BF7D3E"/>
    <w:rsid w:val="00C00CBF"/>
    <w:rsid w:val="00C02BA0"/>
    <w:rsid w:val="00C03F6C"/>
    <w:rsid w:val="00C0544F"/>
    <w:rsid w:val="00C07996"/>
    <w:rsid w:val="00C104D8"/>
    <w:rsid w:val="00C108A1"/>
    <w:rsid w:val="00C11B99"/>
    <w:rsid w:val="00C124B8"/>
    <w:rsid w:val="00C12D92"/>
    <w:rsid w:val="00C167E0"/>
    <w:rsid w:val="00C16AA6"/>
    <w:rsid w:val="00C16AC9"/>
    <w:rsid w:val="00C16C47"/>
    <w:rsid w:val="00C17908"/>
    <w:rsid w:val="00C17DF3"/>
    <w:rsid w:val="00C20027"/>
    <w:rsid w:val="00C2122B"/>
    <w:rsid w:val="00C2147C"/>
    <w:rsid w:val="00C21556"/>
    <w:rsid w:val="00C21A48"/>
    <w:rsid w:val="00C22A5D"/>
    <w:rsid w:val="00C22FEC"/>
    <w:rsid w:val="00C23893"/>
    <w:rsid w:val="00C24E76"/>
    <w:rsid w:val="00C265C4"/>
    <w:rsid w:val="00C2675D"/>
    <w:rsid w:val="00C3052E"/>
    <w:rsid w:val="00C336B2"/>
    <w:rsid w:val="00C341F5"/>
    <w:rsid w:val="00C3471C"/>
    <w:rsid w:val="00C34F0B"/>
    <w:rsid w:val="00C37A9B"/>
    <w:rsid w:val="00C40D78"/>
    <w:rsid w:val="00C42160"/>
    <w:rsid w:val="00C44828"/>
    <w:rsid w:val="00C44C86"/>
    <w:rsid w:val="00C458EA"/>
    <w:rsid w:val="00C504A7"/>
    <w:rsid w:val="00C519A1"/>
    <w:rsid w:val="00C51C62"/>
    <w:rsid w:val="00C534AE"/>
    <w:rsid w:val="00C539A7"/>
    <w:rsid w:val="00C53A79"/>
    <w:rsid w:val="00C5419C"/>
    <w:rsid w:val="00C54CD9"/>
    <w:rsid w:val="00C56C0E"/>
    <w:rsid w:val="00C56D86"/>
    <w:rsid w:val="00C5762F"/>
    <w:rsid w:val="00C6013C"/>
    <w:rsid w:val="00C61843"/>
    <w:rsid w:val="00C631F5"/>
    <w:rsid w:val="00C63F68"/>
    <w:rsid w:val="00C63FD6"/>
    <w:rsid w:val="00C64E2A"/>
    <w:rsid w:val="00C65C3E"/>
    <w:rsid w:val="00C66A54"/>
    <w:rsid w:val="00C6746D"/>
    <w:rsid w:val="00C7199E"/>
    <w:rsid w:val="00C73269"/>
    <w:rsid w:val="00C741A7"/>
    <w:rsid w:val="00C749C4"/>
    <w:rsid w:val="00C74CA3"/>
    <w:rsid w:val="00C750BF"/>
    <w:rsid w:val="00C7697E"/>
    <w:rsid w:val="00C7729B"/>
    <w:rsid w:val="00C80A83"/>
    <w:rsid w:val="00C81AA0"/>
    <w:rsid w:val="00C82949"/>
    <w:rsid w:val="00C835C6"/>
    <w:rsid w:val="00C8407C"/>
    <w:rsid w:val="00C846E5"/>
    <w:rsid w:val="00C84B65"/>
    <w:rsid w:val="00C854B7"/>
    <w:rsid w:val="00C85698"/>
    <w:rsid w:val="00C86AEC"/>
    <w:rsid w:val="00C90024"/>
    <w:rsid w:val="00C9004E"/>
    <w:rsid w:val="00C90153"/>
    <w:rsid w:val="00C902FD"/>
    <w:rsid w:val="00C95877"/>
    <w:rsid w:val="00C959D6"/>
    <w:rsid w:val="00C975E4"/>
    <w:rsid w:val="00CA13A1"/>
    <w:rsid w:val="00CA153D"/>
    <w:rsid w:val="00CA36F8"/>
    <w:rsid w:val="00CA41C2"/>
    <w:rsid w:val="00CA4DEF"/>
    <w:rsid w:val="00CA4EC3"/>
    <w:rsid w:val="00CA5842"/>
    <w:rsid w:val="00CA6D3E"/>
    <w:rsid w:val="00CA71CE"/>
    <w:rsid w:val="00CA7BFD"/>
    <w:rsid w:val="00CA7F21"/>
    <w:rsid w:val="00CB0322"/>
    <w:rsid w:val="00CB3329"/>
    <w:rsid w:val="00CB5D75"/>
    <w:rsid w:val="00CB6398"/>
    <w:rsid w:val="00CB6EBB"/>
    <w:rsid w:val="00CC05A7"/>
    <w:rsid w:val="00CC05F0"/>
    <w:rsid w:val="00CC689F"/>
    <w:rsid w:val="00CD0549"/>
    <w:rsid w:val="00CD1166"/>
    <w:rsid w:val="00CD13B5"/>
    <w:rsid w:val="00CD13E2"/>
    <w:rsid w:val="00CD1B80"/>
    <w:rsid w:val="00CD289E"/>
    <w:rsid w:val="00CD37F0"/>
    <w:rsid w:val="00CD3F5E"/>
    <w:rsid w:val="00CD4A82"/>
    <w:rsid w:val="00CD5CE3"/>
    <w:rsid w:val="00CD6695"/>
    <w:rsid w:val="00CE178D"/>
    <w:rsid w:val="00CE2086"/>
    <w:rsid w:val="00CE2F7B"/>
    <w:rsid w:val="00CE3599"/>
    <w:rsid w:val="00CE39D0"/>
    <w:rsid w:val="00CE4773"/>
    <w:rsid w:val="00CE5368"/>
    <w:rsid w:val="00CF06D6"/>
    <w:rsid w:val="00CF0752"/>
    <w:rsid w:val="00CF0F25"/>
    <w:rsid w:val="00CF12B2"/>
    <w:rsid w:val="00CF1611"/>
    <w:rsid w:val="00CF1F6B"/>
    <w:rsid w:val="00CF3A25"/>
    <w:rsid w:val="00CF72F4"/>
    <w:rsid w:val="00D00055"/>
    <w:rsid w:val="00D01EDB"/>
    <w:rsid w:val="00D01F65"/>
    <w:rsid w:val="00D02363"/>
    <w:rsid w:val="00D02FDB"/>
    <w:rsid w:val="00D043FD"/>
    <w:rsid w:val="00D048B2"/>
    <w:rsid w:val="00D054AB"/>
    <w:rsid w:val="00D1096B"/>
    <w:rsid w:val="00D11884"/>
    <w:rsid w:val="00D11A0D"/>
    <w:rsid w:val="00D12BB9"/>
    <w:rsid w:val="00D13F93"/>
    <w:rsid w:val="00D15949"/>
    <w:rsid w:val="00D1792F"/>
    <w:rsid w:val="00D17D83"/>
    <w:rsid w:val="00D21155"/>
    <w:rsid w:val="00D218B2"/>
    <w:rsid w:val="00D21F85"/>
    <w:rsid w:val="00D228FC"/>
    <w:rsid w:val="00D22DFB"/>
    <w:rsid w:val="00D2338E"/>
    <w:rsid w:val="00D234BD"/>
    <w:rsid w:val="00D24F5F"/>
    <w:rsid w:val="00D26009"/>
    <w:rsid w:val="00D30BC7"/>
    <w:rsid w:val="00D3126D"/>
    <w:rsid w:val="00D31507"/>
    <w:rsid w:val="00D32B71"/>
    <w:rsid w:val="00D33317"/>
    <w:rsid w:val="00D34C6A"/>
    <w:rsid w:val="00D3591D"/>
    <w:rsid w:val="00D35981"/>
    <w:rsid w:val="00D36E2A"/>
    <w:rsid w:val="00D4076C"/>
    <w:rsid w:val="00D4085F"/>
    <w:rsid w:val="00D424EE"/>
    <w:rsid w:val="00D4254E"/>
    <w:rsid w:val="00D43132"/>
    <w:rsid w:val="00D43E95"/>
    <w:rsid w:val="00D44663"/>
    <w:rsid w:val="00D4653D"/>
    <w:rsid w:val="00D474A5"/>
    <w:rsid w:val="00D47D98"/>
    <w:rsid w:val="00D550AB"/>
    <w:rsid w:val="00D5544E"/>
    <w:rsid w:val="00D5568A"/>
    <w:rsid w:val="00D55CDD"/>
    <w:rsid w:val="00D56F29"/>
    <w:rsid w:val="00D60575"/>
    <w:rsid w:val="00D60C44"/>
    <w:rsid w:val="00D63000"/>
    <w:rsid w:val="00D63BF1"/>
    <w:rsid w:val="00D64088"/>
    <w:rsid w:val="00D643B7"/>
    <w:rsid w:val="00D6494D"/>
    <w:rsid w:val="00D675CF"/>
    <w:rsid w:val="00D67873"/>
    <w:rsid w:val="00D67A69"/>
    <w:rsid w:val="00D67EE5"/>
    <w:rsid w:val="00D702C7"/>
    <w:rsid w:val="00D712E4"/>
    <w:rsid w:val="00D71F19"/>
    <w:rsid w:val="00D72049"/>
    <w:rsid w:val="00D72289"/>
    <w:rsid w:val="00D7469A"/>
    <w:rsid w:val="00D76CF5"/>
    <w:rsid w:val="00D8000E"/>
    <w:rsid w:val="00D81021"/>
    <w:rsid w:val="00D816AB"/>
    <w:rsid w:val="00D81ECE"/>
    <w:rsid w:val="00D826D3"/>
    <w:rsid w:val="00D82D46"/>
    <w:rsid w:val="00D84204"/>
    <w:rsid w:val="00D8427B"/>
    <w:rsid w:val="00D8685D"/>
    <w:rsid w:val="00D87D35"/>
    <w:rsid w:val="00D91DAC"/>
    <w:rsid w:val="00D931BE"/>
    <w:rsid w:val="00D935C1"/>
    <w:rsid w:val="00D93BC4"/>
    <w:rsid w:val="00D93C10"/>
    <w:rsid w:val="00D9405C"/>
    <w:rsid w:val="00D94604"/>
    <w:rsid w:val="00D964F5"/>
    <w:rsid w:val="00D9732F"/>
    <w:rsid w:val="00D97C76"/>
    <w:rsid w:val="00DA01D3"/>
    <w:rsid w:val="00DA02D5"/>
    <w:rsid w:val="00DA1C3F"/>
    <w:rsid w:val="00DA6657"/>
    <w:rsid w:val="00DA7D46"/>
    <w:rsid w:val="00DB1232"/>
    <w:rsid w:val="00DB287D"/>
    <w:rsid w:val="00DB4F98"/>
    <w:rsid w:val="00DB78BD"/>
    <w:rsid w:val="00DC0A83"/>
    <w:rsid w:val="00DC1F21"/>
    <w:rsid w:val="00DC2356"/>
    <w:rsid w:val="00DC37E0"/>
    <w:rsid w:val="00DC3CE7"/>
    <w:rsid w:val="00DC49D4"/>
    <w:rsid w:val="00DC5ECF"/>
    <w:rsid w:val="00DC77F1"/>
    <w:rsid w:val="00DD054D"/>
    <w:rsid w:val="00DD1F9E"/>
    <w:rsid w:val="00DD2398"/>
    <w:rsid w:val="00DD2611"/>
    <w:rsid w:val="00DD2997"/>
    <w:rsid w:val="00DD29B2"/>
    <w:rsid w:val="00DD2CFA"/>
    <w:rsid w:val="00DD4411"/>
    <w:rsid w:val="00DD560F"/>
    <w:rsid w:val="00DD586E"/>
    <w:rsid w:val="00DD5D5D"/>
    <w:rsid w:val="00DD7DA1"/>
    <w:rsid w:val="00DE0044"/>
    <w:rsid w:val="00DE0851"/>
    <w:rsid w:val="00DE10AB"/>
    <w:rsid w:val="00DE1381"/>
    <w:rsid w:val="00DE18E1"/>
    <w:rsid w:val="00DE2983"/>
    <w:rsid w:val="00DE4455"/>
    <w:rsid w:val="00DE4562"/>
    <w:rsid w:val="00DE60AB"/>
    <w:rsid w:val="00DE6B36"/>
    <w:rsid w:val="00DF1B67"/>
    <w:rsid w:val="00DF2C80"/>
    <w:rsid w:val="00DF2D24"/>
    <w:rsid w:val="00DF3633"/>
    <w:rsid w:val="00DF3A95"/>
    <w:rsid w:val="00DF5488"/>
    <w:rsid w:val="00DF6E43"/>
    <w:rsid w:val="00DF7D68"/>
    <w:rsid w:val="00E014BF"/>
    <w:rsid w:val="00E015E2"/>
    <w:rsid w:val="00E01A0C"/>
    <w:rsid w:val="00E037E1"/>
    <w:rsid w:val="00E058E1"/>
    <w:rsid w:val="00E06CA4"/>
    <w:rsid w:val="00E06D23"/>
    <w:rsid w:val="00E06E9A"/>
    <w:rsid w:val="00E078F2"/>
    <w:rsid w:val="00E07979"/>
    <w:rsid w:val="00E103A6"/>
    <w:rsid w:val="00E10F09"/>
    <w:rsid w:val="00E113A8"/>
    <w:rsid w:val="00E1214D"/>
    <w:rsid w:val="00E12CF5"/>
    <w:rsid w:val="00E161BD"/>
    <w:rsid w:val="00E17153"/>
    <w:rsid w:val="00E1780E"/>
    <w:rsid w:val="00E17BE6"/>
    <w:rsid w:val="00E17FE0"/>
    <w:rsid w:val="00E22C1E"/>
    <w:rsid w:val="00E233EF"/>
    <w:rsid w:val="00E24B05"/>
    <w:rsid w:val="00E305D0"/>
    <w:rsid w:val="00E33896"/>
    <w:rsid w:val="00E34B55"/>
    <w:rsid w:val="00E35B2E"/>
    <w:rsid w:val="00E3774A"/>
    <w:rsid w:val="00E40C52"/>
    <w:rsid w:val="00E42447"/>
    <w:rsid w:val="00E425D1"/>
    <w:rsid w:val="00E428F5"/>
    <w:rsid w:val="00E44BA0"/>
    <w:rsid w:val="00E46A52"/>
    <w:rsid w:val="00E473EA"/>
    <w:rsid w:val="00E47B14"/>
    <w:rsid w:val="00E523D7"/>
    <w:rsid w:val="00E53B9E"/>
    <w:rsid w:val="00E54288"/>
    <w:rsid w:val="00E55798"/>
    <w:rsid w:val="00E55A35"/>
    <w:rsid w:val="00E57FC4"/>
    <w:rsid w:val="00E60460"/>
    <w:rsid w:val="00E61203"/>
    <w:rsid w:val="00E62275"/>
    <w:rsid w:val="00E6239D"/>
    <w:rsid w:val="00E636F3"/>
    <w:rsid w:val="00E63D70"/>
    <w:rsid w:val="00E6409D"/>
    <w:rsid w:val="00E64386"/>
    <w:rsid w:val="00E65028"/>
    <w:rsid w:val="00E65A69"/>
    <w:rsid w:val="00E66F37"/>
    <w:rsid w:val="00E70505"/>
    <w:rsid w:val="00E705C4"/>
    <w:rsid w:val="00E72EBC"/>
    <w:rsid w:val="00E73499"/>
    <w:rsid w:val="00E738CD"/>
    <w:rsid w:val="00E73DAC"/>
    <w:rsid w:val="00E76350"/>
    <w:rsid w:val="00E7646E"/>
    <w:rsid w:val="00E768C1"/>
    <w:rsid w:val="00E76A19"/>
    <w:rsid w:val="00E77095"/>
    <w:rsid w:val="00E77124"/>
    <w:rsid w:val="00E77453"/>
    <w:rsid w:val="00E77F5C"/>
    <w:rsid w:val="00E80DB6"/>
    <w:rsid w:val="00E820B8"/>
    <w:rsid w:val="00E82404"/>
    <w:rsid w:val="00E82F36"/>
    <w:rsid w:val="00E83E4A"/>
    <w:rsid w:val="00E840B6"/>
    <w:rsid w:val="00E84212"/>
    <w:rsid w:val="00E84DF1"/>
    <w:rsid w:val="00E90C24"/>
    <w:rsid w:val="00E9180E"/>
    <w:rsid w:val="00E91BE7"/>
    <w:rsid w:val="00E94289"/>
    <w:rsid w:val="00E955CF"/>
    <w:rsid w:val="00E95FF1"/>
    <w:rsid w:val="00E963AE"/>
    <w:rsid w:val="00E97264"/>
    <w:rsid w:val="00E97F9A"/>
    <w:rsid w:val="00EA20FD"/>
    <w:rsid w:val="00EA4710"/>
    <w:rsid w:val="00EA5519"/>
    <w:rsid w:val="00EA59DA"/>
    <w:rsid w:val="00EB180A"/>
    <w:rsid w:val="00EB469A"/>
    <w:rsid w:val="00EB5B98"/>
    <w:rsid w:val="00EB61F0"/>
    <w:rsid w:val="00EB6ACD"/>
    <w:rsid w:val="00EB76A1"/>
    <w:rsid w:val="00EC0D5C"/>
    <w:rsid w:val="00EC134C"/>
    <w:rsid w:val="00EC2F4E"/>
    <w:rsid w:val="00EC3076"/>
    <w:rsid w:val="00EC31FD"/>
    <w:rsid w:val="00EC3329"/>
    <w:rsid w:val="00EC3E84"/>
    <w:rsid w:val="00EC3F33"/>
    <w:rsid w:val="00EC4E94"/>
    <w:rsid w:val="00EC63A1"/>
    <w:rsid w:val="00EC6A6D"/>
    <w:rsid w:val="00EC6E08"/>
    <w:rsid w:val="00ED000F"/>
    <w:rsid w:val="00ED0395"/>
    <w:rsid w:val="00ED166B"/>
    <w:rsid w:val="00ED19FF"/>
    <w:rsid w:val="00ED1C0A"/>
    <w:rsid w:val="00ED29D0"/>
    <w:rsid w:val="00ED62B2"/>
    <w:rsid w:val="00ED6A69"/>
    <w:rsid w:val="00ED7610"/>
    <w:rsid w:val="00EE01A8"/>
    <w:rsid w:val="00EE071A"/>
    <w:rsid w:val="00EE1840"/>
    <w:rsid w:val="00EE210A"/>
    <w:rsid w:val="00EE2C81"/>
    <w:rsid w:val="00EE5EAC"/>
    <w:rsid w:val="00EE6216"/>
    <w:rsid w:val="00EE63B9"/>
    <w:rsid w:val="00EE6666"/>
    <w:rsid w:val="00EE672C"/>
    <w:rsid w:val="00EE6C2C"/>
    <w:rsid w:val="00EE7118"/>
    <w:rsid w:val="00EE7229"/>
    <w:rsid w:val="00EE7AA2"/>
    <w:rsid w:val="00EE7B05"/>
    <w:rsid w:val="00EE7F74"/>
    <w:rsid w:val="00EF10B8"/>
    <w:rsid w:val="00EF1407"/>
    <w:rsid w:val="00EF15AD"/>
    <w:rsid w:val="00EF1E8D"/>
    <w:rsid w:val="00EF3608"/>
    <w:rsid w:val="00EF426D"/>
    <w:rsid w:val="00EF4C10"/>
    <w:rsid w:val="00EF5AA3"/>
    <w:rsid w:val="00EF6EBD"/>
    <w:rsid w:val="00EF6EFF"/>
    <w:rsid w:val="00EF7063"/>
    <w:rsid w:val="00EF71C9"/>
    <w:rsid w:val="00F00884"/>
    <w:rsid w:val="00F013D6"/>
    <w:rsid w:val="00F0306E"/>
    <w:rsid w:val="00F0328B"/>
    <w:rsid w:val="00F03659"/>
    <w:rsid w:val="00F053FF"/>
    <w:rsid w:val="00F056F8"/>
    <w:rsid w:val="00F057D7"/>
    <w:rsid w:val="00F066DA"/>
    <w:rsid w:val="00F06D77"/>
    <w:rsid w:val="00F07773"/>
    <w:rsid w:val="00F115C6"/>
    <w:rsid w:val="00F11C5C"/>
    <w:rsid w:val="00F1357C"/>
    <w:rsid w:val="00F137CD"/>
    <w:rsid w:val="00F13B7E"/>
    <w:rsid w:val="00F151F5"/>
    <w:rsid w:val="00F1524B"/>
    <w:rsid w:val="00F16F34"/>
    <w:rsid w:val="00F20552"/>
    <w:rsid w:val="00F205B5"/>
    <w:rsid w:val="00F220BB"/>
    <w:rsid w:val="00F22873"/>
    <w:rsid w:val="00F233D0"/>
    <w:rsid w:val="00F24D3C"/>
    <w:rsid w:val="00F25EE4"/>
    <w:rsid w:val="00F25FEF"/>
    <w:rsid w:val="00F2673B"/>
    <w:rsid w:val="00F26DF1"/>
    <w:rsid w:val="00F306E0"/>
    <w:rsid w:val="00F30CF1"/>
    <w:rsid w:val="00F31275"/>
    <w:rsid w:val="00F343C3"/>
    <w:rsid w:val="00F35B75"/>
    <w:rsid w:val="00F379A2"/>
    <w:rsid w:val="00F37D54"/>
    <w:rsid w:val="00F4037F"/>
    <w:rsid w:val="00F40A6A"/>
    <w:rsid w:val="00F40C33"/>
    <w:rsid w:val="00F4190B"/>
    <w:rsid w:val="00F41CE0"/>
    <w:rsid w:val="00F4329C"/>
    <w:rsid w:val="00F43B19"/>
    <w:rsid w:val="00F443E7"/>
    <w:rsid w:val="00F4481E"/>
    <w:rsid w:val="00F44B52"/>
    <w:rsid w:val="00F45306"/>
    <w:rsid w:val="00F45BCA"/>
    <w:rsid w:val="00F46203"/>
    <w:rsid w:val="00F47E69"/>
    <w:rsid w:val="00F51398"/>
    <w:rsid w:val="00F51E43"/>
    <w:rsid w:val="00F51EE3"/>
    <w:rsid w:val="00F52B2B"/>
    <w:rsid w:val="00F53DDA"/>
    <w:rsid w:val="00F5692F"/>
    <w:rsid w:val="00F57C80"/>
    <w:rsid w:val="00F601AF"/>
    <w:rsid w:val="00F61CDA"/>
    <w:rsid w:val="00F62216"/>
    <w:rsid w:val="00F6287C"/>
    <w:rsid w:val="00F6312D"/>
    <w:rsid w:val="00F64AEB"/>
    <w:rsid w:val="00F64D8E"/>
    <w:rsid w:val="00F64F25"/>
    <w:rsid w:val="00F6528D"/>
    <w:rsid w:val="00F66BE6"/>
    <w:rsid w:val="00F67095"/>
    <w:rsid w:val="00F670E9"/>
    <w:rsid w:val="00F71207"/>
    <w:rsid w:val="00F71782"/>
    <w:rsid w:val="00F7224C"/>
    <w:rsid w:val="00F7358C"/>
    <w:rsid w:val="00F7527D"/>
    <w:rsid w:val="00F76AB8"/>
    <w:rsid w:val="00F802D3"/>
    <w:rsid w:val="00F811C3"/>
    <w:rsid w:val="00F8271C"/>
    <w:rsid w:val="00F82F56"/>
    <w:rsid w:val="00F85507"/>
    <w:rsid w:val="00F85899"/>
    <w:rsid w:val="00F860BE"/>
    <w:rsid w:val="00F8618C"/>
    <w:rsid w:val="00F86617"/>
    <w:rsid w:val="00F86C1E"/>
    <w:rsid w:val="00F87D5E"/>
    <w:rsid w:val="00F912B3"/>
    <w:rsid w:val="00F931A4"/>
    <w:rsid w:val="00F93925"/>
    <w:rsid w:val="00F94413"/>
    <w:rsid w:val="00F94A8F"/>
    <w:rsid w:val="00F953FE"/>
    <w:rsid w:val="00F95797"/>
    <w:rsid w:val="00F9680F"/>
    <w:rsid w:val="00F9690B"/>
    <w:rsid w:val="00FA0164"/>
    <w:rsid w:val="00FA075E"/>
    <w:rsid w:val="00FA0914"/>
    <w:rsid w:val="00FA0F99"/>
    <w:rsid w:val="00FA1F60"/>
    <w:rsid w:val="00FA1FA1"/>
    <w:rsid w:val="00FA2596"/>
    <w:rsid w:val="00FA272A"/>
    <w:rsid w:val="00FA2CFC"/>
    <w:rsid w:val="00FA31AA"/>
    <w:rsid w:val="00FA3D2F"/>
    <w:rsid w:val="00FA3F92"/>
    <w:rsid w:val="00FA441D"/>
    <w:rsid w:val="00FA49DF"/>
    <w:rsid w:val="00FA5965"/>
    <w:rsid w:val="00FA5CE2"/>
    <w:rsid w:val="00FB174A"/>
    <w:rsid w:val="00FB1C63"/>
    <w:rsid w:val="00FB21CE"/>
    <w:rsid w:val="00FB2DC7"/>
    <w:rsid w:val="00FB3072"/>
    <w:rsid w:val="00FB336B"/>
    <w:rsid w:val="00FB348F"/>
    <w:rsid w:val="00FB37B4"/>
    <w:rsid w:val="00FB37BB"/>
    <w:rsid w:val="00FB3904"/>
    <w:rsid w:val="00FB6465"/>
    <w:rsid w:val="00FB7D41"/>
    <w:rsid w:val="00FC2968"/>
    <w:rsid w:val="00FC46B9"/>
    <w:rsid w:val="00FC475C"/>
    <w:rsid w:val="00FC5BCC"/>
    <w:rsid w:val="00FC60C2"/>
    <w:rsid w:val="00FC75EF"/>
    <w:rsid w:val="00FD0692"/>
    <w:rsid w:val="00FD1D50"/>
    <w:rsid w:val="00FD2465"/>
    <w:rsid w:val="00FD2550"/>
    <w:rsid w:val="00FD2AD3"/>
    <w:rsid w:val="00FD3E64"/>
    <w:rsid w:val="00FD5150"/>
    <w:rsid w:val="00FD6380"/>
    <w:rsid w:val="00FD6735"/>
    <w:rsid w:val="00FD7DEC"/>
    <w:rsid w:val="00FE053D"/>
    <w:rsid w:val="00FE0C67"/>
    <w:rsid w:val="00FE25E9"/>
    <w:rsid w:val="00FE2747"/>
    <w:rsid w:val="00FE2B82"/>
    <w:rsid w:val="00FE2E6A"/>
    <w:rsid w:val="00FE3971"/>
    <w:rsid w:val="00FE482C"/>
    <w:rsid w:val="00FE57B2"/>
    <w:rsid w:val="00FE60D9"/>
    <w:rsid w:val="00FF042C"/>
    <w:rsid w:val="00FF0C78"/>
    <w:rsid w:val="00FF14C7"/>
    <w:rsid w:val="00FF1AC8"/>
    <w:rsid w:val="00FF1DF3"/>
    <w:rsid w:val="00FF5E12"/>
    <w:rsid w:val="00FF600E"/>
    <w:rsid w:val="00FF63A9"/>
    <w:rsid w:val="00FF671F"/>
    <w:rsid w:val="00FF72C0"/>
    <w:rsid w:val="03C47D7B"/>
    <w:rsid w:val="058216BF"/>
    <w:rsid w:val="06A91C44"/>
    <w:rsid w:val="06B432B2"/>
    <w:rsid w:val="06F42124"/>
    <w:rsid w:val="07322345"/>
    <w:rsid w:val="08010B8B"/>
    <w:rsid w:val="0B0B407F"/>
    <w:rsid w:val="0D4E3C51"/>
    <w:rsid w:val="0DD43C47"/>
    <w:rsid w:val="10694F55"/>
    <w:rsid w:val="11A976A8"/>
    <w:rsid w:val="11CA3BB3"/>
    <w:rsid w:val="133D192D"/>
    <w:rsid w:val="16DF0F43"/>
    <w:rsid w:val="179E3E30"/>
    <w:rsid w:val="18372678"/>
    <w:rsid w:val="1D1A1CC3"/>
    <w:rsid w:val="21ED3002"/>
    <w:rsid w:val="238D507B"/>
    <w:rsid w:val="23CD191B"/>
    <w:rsid w:val="25354D48"/>
    <w:rsid w:val="28292197"/>
    <w:rsid w:val="2AD415E3"/>
    <w:rsid w:val="2BF612E4"/>
    <w:rsid w:val="2CAD4098"/>
    <w:rsid w:val="2CE10D2D"/>
    <w:rsid w:val="2CE6064A"/>
    <w:rsid w:val="2F8217DB"/>
    <w:rsid w:val="304F5466"/>
    <w:rsid w:val="334B0D5C"/>
    <w:rsid w:val="33AB5DD1"/>
    <w:rsid w:val="33F20260"/>
    <w:rsid w:val="340F0925"/>
    <w:rsid w:val="34E33814"/>
    <w:rsid w:val="351C243B"/>
    <w:rsid w:val="358574C8"/>
    <w:rsid w:val="372E1F9F"/>
    <w:rsid w:val="37977BBC"/>
    <w:rsid w:val="38587A29"/>
    <w:rsid w:val="38806B05"/>
    <w:rsid w:val="398665AE"/>
    <w:rsid w:val="3A991C97"/>
    <w:rsid w:val="3C5028F9"/>
    <w:rsid w:val="3C572BFB"/>
    <w:rsid w:val="3D137C51"/>
    <w:rsid w:val="3EC55271"/>
    <w:rsid w:val="427416A7"/>
    <w:rsid w:val="42773481"/>
    <w:rsid w:val="441B5933"/>
    <w:rsid w:val="4808194B"/>
    <w:rsid w:val="484E277B"/>
    <w:rsid w:val="487415DF"/>
    <w:rsid w:val="4B160415"/>
    <w:rsid w:val="4B7B5D52"/>
    <w:rsid w:val="4CBB312B"/>
    <w:rsid w:val="4CFB27A6"/>
    <w:rsid w:val="4FAA2FE5"/>
    <w:rsid w:val="501B5FE8"/>
    <w:rsid w:val="50F97A16"/>
    <w:rsid w:val="526404DA"/>
    <w:rsid w:val="52CE6A38"/>
    <w:rsid w:val="562C577E"/>
    <w:rsid w:val="580C6677"/>
    <w:rsid w:val="5845615A"/>
    <w:rsid w:val="5AD60707"/>
    <w:rsid w:val="5ADB7E91"/>
    <w:rsid w:val="5AFD7BCF"/>
    <w:rsid w:val="5B154970"/>
    <w:rsid w:val="5B3A53A5"/>
    <w:rsid w:val="5C7500C3"/>
    <w:rsid w:val="5CCD5995"/>
    <w:rsid w:val="68B57855"/>
    <w:rsid w:val="6C6A60E7"/>
    <w:rsid w:val="70635363"/>
    <w:rsid w:val="71B52674"/>
    <w:rsid w:val="71F3606C"/>
    <w:rsid w:val="79FF2246"/>
    <w:rsid w:val="7B430ADD"/>
    <w:rsid w:val="7E533045"/>
    <w:rsid w:val="7F7D2A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nhideWhenUsed="0" w:uiPriority="0" w:semiHidden="0" w:name="heading 3"/>
    <w:lsdException w:qFormat="1"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3">
    <w:name w:val="heading 3"/>
    <w:basedOn w:val="1"/>
    <w:next w:val="1"/>
    <w:link w:val="12"/>
    <w:qFormat/>
    <w:uiPriority w:val="0"/>
    <w:pPr>
      <w:keepNext/>
      <w:keepLines/>
      <w:spacing w:before="260" w:after="260" w:line="416" w:lineRule="auto"/>
      <w:outlineLvl w:val="2"/>
    </w:pPr>
    <w:rPr>
      <w:b/>
      <w:bCs/>
      <w:kern w:val="0"/>
      <w:sz w:val="32"/>
      <w:szCs w:val="32"/>
    </w:rPr>
  </w:style>
  <w:style w:type="paragraph" w:styleId="4">
    <w:name w:val="heading 4"/>
    <w:basedOn w:val="1"/>
    <w:next w:val="1"/>
    <w:unhideWhenUsed/>
    <w:qFormat/>
    <w:uiPriority w:val="0"/>
    <w:pPr>
      <w:keepNext/>
      <w:keepLines/>
      <w:spacing w:before="280" w:after="290" w:line="376" w:lineRule="auto"/>
      <w:outlineLvl w:val="3"/>
    </w:pPr>
    <w:rPr>
      <w:rFonts w:ascii="Cambria" w:hAnsi="Cambria"/>
      <w:b/>
      <w:bCs/>
      <w:sz w:val="28"/>
      <w:szCs w:val="28"/>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16"/>
    <w:unhideWhenUsed/>
    <w:qFormat/>
    <w:uiPriority w:val="99"/>
    <w:rPr>
      <w:rFonts w:ascii="金山简黑体" w:hAnsi="Courier New" w:cs="宋体" w:eastAsiaTheme="minorEastAsia"/>
      <w:b/>
      <w:spacing w:val="-8"/>
      <w:sz w:val="44"/>
      <w:szCs w:val="44"/>
    </w:rPr>
  </w:style>
  <w:style w:type="paragraph" w:styleId="6">
    <w:name w:val="footer"/>
    <w:basedOn w:val="1"/>
    <w:link w:val="15"/>
    <w:unhideWhenUsed/>
    <w:qFormat/>
    <w:uiPriority w:val="99"/>
    <w:pPr>
      <w:tabs>
        <w:tab w:val="center" w:pos="4153"/>
        <w:tab w:val="right" w:pos="8306"/>
      </w:tabs>
      <w:snapToGrid w:val="0"/>
      <w:jc w:val="left"/>
    </w:pPr>
    <w:rPr>
      <w:sz w:val="18"/>
      <w:szCs w:val="18"/>
    </w:rPr>
  </w:style>
  <w:style w:type="paragraph" w:styleId="7">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Body Text First Indent"/>
    <w:basedOn w:val="5"/>
    <w:unhideWhenUsed/>
    <w:qFormat/>
    <w:uiPriority w:val="0"/>
    <w:pPr>
      <w:ind w:firstLine="420" w:firstLineChars="100"/>
    </w:pPr>
    <w:rPr>
      <w:rFonts w:ascii="Arial" w:hAnsi="Arial" w:eastAsia="黑体" w:cs="Arial"/>
      <w:sz w:val="32"/>
      <w:szCs w:val="24"/>
    </w:rPr>
  </w:style>
  <w:style w:type="table" w:styleId="10">
    <w:name w:val="Table Grid"/>
    <w:basedOn w:val="9"/>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2">
    <w:name w:val="标题 3 字符"/>
    <w:basedOn w:val="11"/>
    <w:link w:val="3"/>
    <w:qFormat/>
    <w:uiPriority w:val="0"/>
    <w:rPr>
      <w:rFonts w:ascii="Times New Roman" w:hAnsi="Times New Roman" w:eastAsia="宋体" w:cs="Times New Roman"/>
      <w:b/>
      <w:bCs/>
      <w:kern w:val="0"/>
      <w:sz w:val="32"/>
      <w:szCs w:val="32"/>
    </w:rPr>
  </w:style>
  <w:style w:type="paragraph" w:customStyle="1" w:styleId="13">
    <w:name w:val="Char Char Char3"/>
    <w:basedOn w:val="1"/>
    <w:qFormat/>
    <w:uiPriority w:val="0"/>
    <w:pPr>
      <w:widowControl/>
      <w:spacing w:after="160" w:line="240" w:lineRule="exact"/>
      <w:jc w:val="left"/>
    </w:pPr>
    <w:rPr>
      <w:rFonts w:ascii="Verdana" w:hAnsi="Verdana"/>
      <w:kern w:val="0"/>
      <w:sz w:val="20"/>
      <w:szCs w:val="20"/>
      <w:lang w:eastAsia="en-US"/>
    </w:rPr>
  </w:style>
  <w:style w:type="character" w:customStyle="1" w:styleId="14">
    <w:name w:val="页眉 字符"/>
    <w:basedOn w:val="11"/>
    <w:link w:val="7"/>
    <w:qFormat/>
    <w:uiPriority w:val="99"/>
    <w:rPr>
      <w:rFonts w:ascii="Times New Roman" w:hAnsi="Times New Roman" w:eastAsia="宋体" w:cs="Times New Roman"/>
      <w:sz w:val="18"/>
      <w:szCs w:val="18"/>
    </w:rPr>
  </w:style>
  <w:style w:type="character" w:customStyle="1" w:styleId="15">
    <w:name w:val="页脚 字符"/>
    <w:basedOn w:val="11"/>
    <w:link w:val="6"/>
    <w:qFormat/>
    <w:uiPriority w:val="99"/>
    <w:rPr>
      <w:rFonts w:ascii="Times New Roman" w:hAnsi="Times New Roman" w:eastAsia="宋体" w:cs="Times New Roman"/>
      <w:sz w:val="18"/>
      <w:szCs w:val="18"/>
    </w:rPr>
  </w:style>
  <w:style w:type="character" w:customStyle="1" w:styleId="16">
    <w:name w:val="正文文本 字符"/>
    <w:basedOn w:val="11"/>
    <w:link w:val="5"/>
    <w:qFormat/>
    <w:uiPriority w:val="99"/>
    <w:rPr>
      <w:rFonts w:ascii="金山简黑体" w:hAnsi="Courier New" w:cs="宋体"/>
      <w:b/>
      <w:spacing w:val="-8"/>
      <w:sz w:val="44"/>
      <w:szCs w:val="44"/>
    </w:rPr>
  </w:style>
  <w:style w:type="table" w:customStyle="1" w:styleId="17">
    <w:name w:val="Table Normal"/>
    <w:semiHidden/>
    <w:unhideWhenUsed/>
    <w:qFormat/>
    <w:uiPriority w:val="0"/>
    <w:tblPr>
      <w:tblCellMar>
        <w:top w:w="0" w:type="dxa"/>
        <w:left w:w="0" w:type="dxa"/>
        <w:bottom w:w="0" w:type="dxa"/>
        <w:right w:w="0" w:type="dxa"/>
      </w:tblCellMar>
    </w:tblPr>
  </w:style>
  <w:style w:type="paragraph" w:customStyle="1" w:styleId="18">
    <w:name w:val="Table Text"/>
    <w:basedOn w:val="1"/>
    <w:semiHidden/>
    <w:qFormat/>
    <w:uiPriority w:val="0"/>
    <w:rPr>
      <w:rFonts w:ascii="宋体" w:hAnsi="宋体" w:eastAsia="宋体" w:cs="宋体"/>
      <w:sz w:val="21"/>
      <w:szCs w:val="21"/>
      <w:lang w:val="en-US" w:eastAsia="en-US" w:bidi="ar-SA"/>
    </w:rPr>
  </w:style>
  <w:style w:type="paragraph" w:styleId="19">
    <w:name w:val="List Paragraph"/>
    <w:basedOn w:val="1"/>
    <w:qFormat/>
    <w:uiPriority w:val="34"/>
    <w:pPr>
      <w:ind w:left="720"/>
      <w:contextualSpacing/>
      <w:jc w:val="left"/>
    </w:pPr>
    <w:rPr>
      <w:sz w:val="22"/>
      <w14:ligatures w14:val="standardContextual"/>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14</Pages>
  <Words>8940</Words>
  <Characters>9538</Characters>
  <Lines>97</Lines>
  <Paragraphs>27</Paragraphs>
  <TotalTime>0</TotalTime>
  <ScaleCrop>false</ScaleCrop>
  <LinksUpToDate>false</LinksUpToDate>
  <CharactersWithSpaces>9550</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2024-06-06T08:20:00Z</dcterms:created>
  <dc:creator>简擎炬</dc:creator>
  <cp:lastModifiedBy>samas-宋</cp:lastModifiedBy>
  <dcterms:modified xsi:type="dcterms:W3CDTF">2026-11-03T12:09:46Z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ICV">
    <vt:lpwstr>A298039A505B4DB8B555382ECEEDF766_13</vt:lpwstr>
  </property>
  <property fmtid="{D5CDD505-2E9C-101B-9397-08002B2CF9AE}" pid="4" name="KSOTemplateDocerSaveRecord">
    <vt:lpwstr>eyJoZGlkIjoiMjc4NTg0MmEwOWRiZjllZDJjYmJiZGNjNDgyYTg5YjkiLCJ1c2VySWQiOiI0NDk2NTMzMzkifQ==</vt:lpwstr>
  </property>
</Properties>
</file>