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微软雅黑" w:hAnsi="微软雅黑" w:eastAsia="微软雅黑"/>
          <w:b/>
          <w:sz w:val="36"/>
          <w:szCs w:val="24"/>
        </w:rPr>
      </w:pPr>
    </w:p>
    <w:p>
      <w:pPr>
        <w:widowControl/>
        <w:autoSpaceDE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4472C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72C4"/>
          <w:kern w:val="0"/>
          <w:sz w:val="44"/>
          <w:szCs w:val="44"/>
        </w:rPr>
        <w:t xml:space="preserve">【招聘宣讲信息】 </w:t>
      </w:r>
    </w:p>
    <w:p>
      <w:pPr>
        <w:widowControl/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4472C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72C4"/>
          <w:kern w:val="0"/>
          <w:sz w:val="44"/>
          <w:szCs w:val="44"/>
          <w:lang w:val="en-US" w:eastAsia="zh-CN"/>
        </w:rPr>
        <w:t>桂林力源集团</w:t>
      </w:r>
      <w:r>
        <w:rPr>
          <w:rFonts w:hint="eastAsia" w:ascii="方正小标宋简体" w:hAnsi="方正小标宋简体" w:eastAsia="方正小标宋简体" w:cs="方正小标宋简体"/>
          <w:color w:val="4472C4"/>
          <w:kern w:val="0"/>
          <w:sz w:val="44"/>
          <w:szCs w:val="44"/>
        </w:rPr>
        <w:t>来我院开展宣讲活动通知</w:t>
      </w:r>
    </w:p>
    <w:p>
      <w:pPr>
        <w:widowControl/>
        <w:numPr>
          <w:ilvl w:val="0"/>
          <w:numId w:val="1"/>
        </w:num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宣讲时间、地点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宣讲时间：2021年11月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 下午1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0—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00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宣讲地点：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相思湖校区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室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前言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一百年前，昨日的90后，00后，用青春之觉醒，创青春之国家；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一百年后，今日的90后，00后，在各行各业，也终成国家社会之脊梁；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青春有力，我们在一起。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力源，邀青春的你，一起扎根农牧食品行业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您是否愿意和我们一起，从现代饲料生产、现代养殖到生鲜新零售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为了国人餐桌的安全、健康、美味，一起做点什么？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力源，邀青春的你，一起合伙创业，一起分享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全员持股的力源，没有超过1%持股的“大老板“，没有”老板二代“，人人平等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您是否愿意，和我们一起创造力源的未来，也一起分享力源的收获？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力源，呼唤青春的你，一起创造幸福的生活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因为一起奋斗、一起创造、一起分享共同的事业和果实而幸福；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因为彼此的人格平等、坦诚相待、相互提携而幸福；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因为从工作中收获能力与力量，更好的建立和谐、美好的家庭而幸福！</w:t>
      </w:r>
    </w:p>
    <w:p>
      <w:pPr>
        <w:pStyle w:val="21"/>
        <w:spacing w:line="380" w:lineRule="exact"/>
        <w:ind w:left="72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z w:val="2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、力源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【力源集团】创立于1953年，2002年国企改制成为全员持股的大型民营企业，目前已经形成从农场到餐桌的产业链布局，业务涵盖生物科技，饲料工业，畜禽育种，畜禽养殖、粮油工业，畜禽屠宰，新零售经营等。下有大型国际化现代化种猪场，国家级种禽育种场，建立了配套完善的畜禽养殖体系和疫病监测防控体系;多个无公害养殖种植基地、生态体验馆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【力源集团】目前在全国11个省份拥有150+家分子公司、10000+员工，年营业收入250+亿，荣获“农业产业化国家重点龙头企业”、“中国民营企业500强”、“中国饲料工业百强 ”、“广西企业100强”、“中国放心粮油”等荣誉。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【力源集团】全员分散持股，无任何股东持股超过1%，无家族持股，员工责任共担，发展共享。始终秉承“合作、创造、共赢”的经营理念，致力于成为一家快乐的、受人尊敬的、可持续生存和发展的百年老店。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未来3到5年，集团将稳健推进产业布局：1）实现饲料销量2000万吨；2）完善种、养、屠宰的产业链配套，完成500万头肉猪出栏相关的祖代核心场、父母代扩繁场、公猪站、公司+农户育肥场的建设发展，完成1亿羽黄鸡出栏的育种+养殖相关配套；3）城市供应链+新零售覆盖华南、华中、西南多个省市。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招聘计划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后备核心人才发展项目：</w:t>
      </w:r>
    </w:p>
    <w:p>
      <w:pPr>
        <w:spacing w:line="380" w:lineRule="exact"/>
        <w:jc w:val="left"/>
        <w:rPr>
          <w:rFonts w:ascii="微软雅黑" w:hAnsi="微软雅黑" w:eastAsia="微软雅黑"/>
          <w:b/>
          <w:sz w:val="24"/>
          <w:szCs w:val="24"/>
        </w:rPr>
      </w:pPr>
    </w:p>
    <w:tbl>
      <w:tblPr>
        <w:tblStyle w:val="8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878"/>
        <w:gridCol w:w="4089"/>
        <w:gridCol w:w="3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项目</w:t>
            </w:r>
          </w:p>
        </w:tc>
        <w:tc>
          <w:tcPr>
            <w:tcW w:w="878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数量</w:t>
            </w:r>
          </w:p>
        </w:tc>
        <w:tc>
          <w:tcPr>
            <w:tcW w:w="4089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ascii="微软雅黑" w:hAnsi="微软雅黑" w:eastAsia="微软雅黑"/>
                <w:b/>
                <w:sz w:val="22"/>
              </w:rPr>
              <w:t>应聘条件</w:t>
            </w:r>
          </w:p>
        </w:tc>
        <w:tc>
          <w:tcPr>
            <w:tcW w:w="3268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ascii="微软雅黑" w:hAnsi="微软雅黑" w:eastAsia="微软雅黑"/>
                <w:b/>
                <w:sz w:val="22"/>
              </w:rPr>
              <w:t>培养模式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跨世纪青年</w:t>
            </w:r>
            <w:r>
              <w:rPr>
                <w:rFonts w:hint="default" w:ascii="微软雅黑" w:hAnsi="微软雅黑" w:eastAsia="微软雅黑"/>
                <w:sz w:val="22"/>
              </w:rPr>
              <w:t>领军</w:t>
            </w:r>
            <w:r>
              <w:rPr>
                <w:rFonts w:hint="eastAsia" w:ascii="微软雅黑" w:hAnsi="微软雅黑" w:eastAsia="微软雅黑"/>
                <w:sz w:val="22"/>
              </w:rPr>
              <w:t>计划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10</w:t>
            </w:r>
          </w:p>
        </w:tc>
        <w:tc>
          <w:tcPr>
            <w:tcW w:w="4089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硕士博士为主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学习能力、思辨能力突出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韧性强，有志成为集团级别领导者</w:t>
            </w:r>
          </w:p>
        </w:tc>
        <w:tc>
          <w:tcPr>
            <w:tcW w:w="3268" w:type="dxa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集团</w:t>
            </w:r>
            <w:r>
              <w:rPr>
                <w:rFonts w:hint="eastAsia" w:ascii="微软雅黑" w:hAnsi="微软雅黑" w:eastAsia="微软雅黑"/>
                <w:sz w:val="22"/>
              </w:rPr>
              <w:t>总监以上领导一对一带人；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新青年领军计划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100</w:t>
            </w:r>
          </w:p>
        </w:tc>
        <w:tc>
          <w:tcPr>
            <w:tcW w:w="4089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硕士</w:t>
            </w:r>
            <w:r>
              <w:rPr>
                <w:rFonts w:hint="eastAsia" w:ascii="微软雅黑" w:hAnsi="微软雅黑" w:eastAsia="微软雅黑"/>
                <w:sz w:val="22"/>
              </w:rPr>
              <w:t>，突</w:t>
            </w:r>
            <w:r>
              <w:rPr>
                <w:rFonts w:ascii="微软雅黑" w:hAnsi="微软雅黑" w:eastAsia="微软雅黑"/>
                <w:sz w:val="22"/>
              </w:rPr>
              <w:t>出潜力本科生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对专业有热情，有钻研精神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有韧性，有志进入专业</w:t>
            </w:r>
            <w:r>
              <w:rPr>
                <w:rFonts w:ascii="微软雅黑" w:hAnsi="微软雅黑" w:eastAsia="微软雅黑"/>
                <w:sz w:val="22"/>
              </w:rPr>
              <w:t>线条</w:t>
            </w:r>
            <w:r>
              <w:rPr>
                <w:rFonts w:hint="eastAsia" w:ascii="微软雅黑" w:hAnsi="微软雅黑" w:eastAsia="微软雅黑"/>
                <w:sz w:val="22"/>
              </w:rPr>
              <w:t>核心管理团队</w:t>
            </w:r>
          </w:p>
        </w:tc>
        <w:tc>
          <w:tcPr>
            <w:tcW w:w="3268" w:type="dxa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事业部/专业线条干部管理委员会直接负责培养项目，委员会核心领导班子作为导师。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绿色合伙人计划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765</w:t>
            </w:r>
          </w:p>
        </w:tc>
        <w:tc>
          <w:tcPr>
            <w:tcW w:w="4089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硕士、</w:t>
            </w:r>
            <w:r>
              <w:rPr>
                <w:rFonts w:ascii="微软雅黑" w:hAnsi="微软雅黑" w:eastAsia="微软雅黑"/>
                <w:sz w:val="22"/>
              </w:rPr>
              <w:t>本科生及优秀大专生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能够在一定区域内接受工作安排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作为区域后备干部培养</w:t>
            </w:r>
          </w:p>
        </w:tc>
        <w:tc>
          <w:tcPr>
            <w:tcW w:w="3268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事业部大区负责培养项目；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职能线条跟进专业培养项目；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大区/子公司承接具体培养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大区/子公司师傅团队作为导师</w:t>
            </w:r>
          </w:p>
        </w:tc>
      </w:tr>
    </w:tbl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（2）岗位计划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说明：以上四个项目，均可以选择相关的岗位方向作为自己的职业意向；如：新青年领军计划—饲料经营方向。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标注星号的，为2022年紧缺急需岗位，薪酬和培养会着重倾斜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标注三角符号的，为“跨世纪青年领袖计划、新青年领军计划”重点招聘方向，急需补充1-2名高潜人才。</w:t>
      </w:r>
    </w:p>
    <w:tbl>
      <w:tblPr>
        <w:tblStyle w:val="9"/>
        <w:tblpPr w:leftFromText="180" w:rightFromText="180" w:vertAnchor="text" w:horzAnchor="margin" w:tblpY="312"/>
        <w:tblW w:w="10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60"/>
        <w:gridCol w:w="991"/>
        <w:gridCol w:w="6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类别</w:t>
            </w:r>
          </w:p>
        </w:tc>
        <w:tc>
          <w:tcPr>
            <w:tcW w:w="156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岗位方向</w:t>
            </w:r>
          </w:p>
        </w:tc>
        <w:tc>
          <w:tcPr>
            <w:tcW w:w="991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数量</w:t>
            </w:r>
          </w:p>
        </w:tc>
        <w:tc>
          <w:tcPr>
            <w:tcW w:w="6985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b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szCs w:val="21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经营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管理类</w: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养殖经营</w:t>
            </w:r>
          </w:p>
        </w:tc>
        <w:tc>
          <w:tcPr>
            <w:tcW w:w="991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</w:t>
            </w:r>
          </w:p>
        </w:tc>
        <w:tc>
          <w:tcPr>
            <w:tcW w:w="698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专业不限；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  <w:lang w:val="en-US" w:eastAsia="zh-CN"/>
              </w:rPr>
              <w:t>市场营销、经济学、农林经济管理、区域经济、商务经济、投资学、工商管理、金融学、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畜牧类等优先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饲料经营</w:t>
            </w:r>
          </w:p>
        </w:tc>
        <w:tc>
          <w:tcPr>
            <w:tcW w:w="991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0▲</w:t>
            </w:r>
          </w:p>
        </w:tc>
        <w:tc>
          <w:tcPr>
            <w:tcW w:w="6985" w:type="dxa"/>
            <w:vMerge w:val="continue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新零售经营</w:t>
            </w:r>
          </w:p>
        </w:tc>
        <w:tc>
          <w:tcPr>
            <w:tcW w:w="991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20▲</w:t>
            </w:r>
          </w:p>
        </w:tc>
        <w:tc>
          <w:tcPr>
            <w:tcW w:w="6985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专业不限；食品类、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营销类、管理类、经济学类、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  <w:lang w:val="en-US" w:eastAsia="zh-CN"/>
              </w:rPr>
              <w:t>连锁管理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等优先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vMerge w:val="restart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职能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管理类</w:t>
            </w:r>
          </w:p>
        </w:tc>
        <w:tc>
          <w:tcPr>
            <w:tcW w:w="156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财务管理</w:t>
            </w:r>
          </w:p>
        </w:tc>
        <w:tc>
          <w:tcPr>
            <w:tcW w:w="991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0▲</w:t>
            </w:r>
          </w:p>
        </w:tc>
        <w:tc>
          <w:tcPr>
            <w:tcW w:w="6985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财务管理、会计学、数学、统计学、逻辑学、计算机等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供应链管理</w:t>
            </w:r>
          </w:p>
        </w:tc>
        <w:tc>
          <w:tcPr>
            <w:tcW w:w="991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80★▲</w:t>
            </w:r>
          </w:p>
        </w:tc>
        <w:tc>
          <w:tcPr>
            <w:tcW w:w="6985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国际经济与贸易、物流管理、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国际商务、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经济学、金融、数据、统计学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vMerge w:val="continue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数据管理</w:t>
            </w:r>
          </w:p>
        </w:tc>
        <w:tc>
          <w:tcPr>
            <w:tcW w:w="991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85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统计学类、计算机类、财务管理类、数学类等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vMerge w:val="continue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人力资源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991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★▲</w:t>
            </w:r>
          </w:p>
        </w:tc>
        <w:tc>
          <w:tcPr>
            <w:tcW w:w="6985" w:type="dxa"/>
          </w:tcPr>
          <w:p>
            <w:pPr>
              <w:pStyle w:val="22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人力资源、社会学、工商管理、公共管理、法学、汉语言文学等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法务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85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法学等相关专业，通过法考者优先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质量管理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6985" w:type="dxa"/>
            <w:vAlign w:val="center"/>
          </w:tcPr>
          <w:p>
            <w:pPr>
              <w:pStyle w:val="22"/>
              <w:spacing w:line="440" w:lineRule="exact"/>
              <w:ind w:firstLine="0" w:firstLineChars="0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食品质量、化学、生物技术、动科、动医、动检、质量管理等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restart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val="en-US" w:eastAsia="zh-CN"/>
              </w:rPr>
              <w:t>工程</w:t>
            </w:r>
          </w:p>
          <w:p>
            <w:pPr>
              <w:pStyle w:val="22"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val="en-US" w:eastAsia="zh-CN"/>
              </w:rPr>
              <w:t>技术类</w:t>
            </w:r>
          </w:p>
        </w:tc>
        <w:tc>
          <w:tcPr>
            <w:tcW w:w="156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安全工程师</w:t>
            </w:r>
          </w:p>
        </w:tc>
        <w:tc>
          <w:tcPr>
            <w:tcW w:w="991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20▲</w:t>
            </w:r>
          </w:p>
        </w:tc>
        <w:tc>
          <w:tcPr>
            <w:tcW w:w="6985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安全管理、消防工程、机电一体化、畜牧类等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土建工程师</w:t>
            </w:r>
          </w:p>
        </w:tc>
        <w:tc>
          <w:tcPr>
            <w:tcW w:w="991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40★▲</w:t>
            </w:r>
          </w:p>
        </w:tc>
        <w:tc>
          <w:tcPr>
            <w:tcW w:w="6985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工程管理类、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工程造价、建筑电气、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土木工程类、建筑类、机械电气类、粮食工程、农牧环控设计等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设备工程师</w:t>
            </w: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1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0</w:t>
            </w:r>
          </w:p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85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机械设计及制造、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机械工程、机械电子、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机电一体化、电气自动化、农林机械、粮食工程类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电气工程师</w:t>
            </w:r>
          </w:p>
        </w:tc>
        <w:tc>
          <w:tcPr>
            <w:tcW w:w="991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6985" w:type="dxa"/>
            <w:vAlign w:val="top"/>
          </w:tcPr>
          <w:p>
            <w:pPr>
              <w:spacing w:line="380" w:lineRule="exac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电气工程及其自动化、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机电一体化、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电气技术、自动化、工业机器人等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0" w:type="dxa"/>
            <w:vMerge w:val="continue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环保工程师</w:t>
            </w:r>
          </w:p>
        </w:tc>
        <w:tc>
          <w:tcPr>
            <w:tcW w:w="991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6985" w:type="dxa"/>
            <w:vAlign w:val="top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环境科学、环境工程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设施农业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、畜禽粪便资源化利用化学工艺等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66" w:type="dxa"/>
            <w:gridSpan w:val="4"/>
            <w:vAlign w:val="center"/>
          </w:tcPr>
          <w:p>
            <w:pPr>
              <w:pStyle w:val="22"/>
              <w:spacing w:line="44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工作地点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：广西、广东、海南、云南、贵州、四川、湖南、湖北、江西、河南、山东</w:t>
            </w:r>
          </w:p>
        </w:tc>
      </w:tr>
    </w:tbl>
    <w:p>
      <w:pPr>
        <w:spacing w:line="380" w:lineRule="exact"/>
        <w:jc w:val="left"/>
        <w:rPr>
          <w:rFonts w:ascii="微软雅黑" w:hAnsi="微软雅黑" w:eastAsia="微软雅黑"/>
          <w:b/>
          <w:sz w:val="24"/>
          <w:szCs w:val="24"/>
        </w:rPr>
      </w:pP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培养体系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力源建立了完善的职业发展与管理体系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完善了各个事业部、线条14B~13员工职级标准；12D~10A主管职级标准；9D~6A经理职级标准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建立了各事业部干部管理委员会，每年5月、11月集中盘点人才、任命干部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建立了包括继任管理、任用管理和在岗管理在内的核心人才发展体系。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276225</wp:posOffset>
            </wp:positionV>
            <wp:extent cx="6515100" cy="3511550"/>
            <wp:effectExtent l="0" t="0" r="0" b="6350"/>
            <wp:wrapTight wrapText="bothSides">
              <wp:wrapPolygon>
                <wp:start x="0" y="0"/>
                <wp:lineTo x="0" y="21561"/>
                <wp:lineTo x="21558" y="21561"/>
                <wp:lineTo x="21558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25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薪酬待遇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薪资收入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所有新员工按照对应项目面议对应年薪，保护期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</w:rPr>
        <w:t>，保护期内不会因任何原因降薪；如果出现工作完全不能胜任或不适应的情况，由人力资源部提供2次换岗的机会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。每年有2次职级评定、薪酬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的机会，符合对应主管、干部级别的按力源集团内部薪酬体系调整。</w:t>
      </w:r>
    </w:p>
    <w:tbl>
      <w:tblPr>
        <w:tblStyle w:val="8"/>
        <w:tblW w:w="8477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55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hint="default" w:ascii="微软雅黑" w:hAnsi="微软雅黑" w:eastAsia="微软雅黑"/>
                <w:bCs/>
                <w:sz w:val="22"/>
              </w:rPr>
            </w:pPr>
            <w:r>
              <w:rPr>
                <w:rFonts w:ascii="微软雅黑" w:hAnsi="微软雅黑" w:eastAsia="微软雅黑"/>
                <w:bCs/>
                <w:sz w:val="22"/>
              </w:rPr>
              <w:t>项目</w:t>
            </w:r>
          </w:p>
        </w:tc>
        <w:tc>
          <w:tcPr>
            <w:tcW w:w="2552" w:type="dxa"/>
          </w:tcPr>
          <w:p>
            <w:pPr>
              <w:pStyle w:val="21"/>
              <w:spacing w:line="380" w:lineRule="exact"/>
              <w:ind w:firstLine="0" w:firstLineChars="0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职能类/工程类/养殖类</w:t>
            </w:r>
          </w:p>
        </w:tc>
        <w:tc>
          <w:tcPr>
            <w:tcW w:w="2835" w:type="dxa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经营类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pStyle w:val="21"/>
              <w:spacing w:line="380" w:lineRule="exact"/>
              <w:ind w:firstLine="0" w:firstLineChars="0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绿色合伙人</w:t>
            </w:r>
          </w:p>
        </w:tc>
        <w:tc>
          <w:tcPr>
            <w:tcW w:w="2552" w:type="dxa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6-</w:t>
            </w:r>
            <w:r>
              <w:rPr>
                <w:rFonts w:hint="eastAsia" w:ascii="微软雅黑" w:hAnsi="微软雅黑" w:eastAsia="微软雅黑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bCs/>
                <w:sz w:val="22"/>
              </w:rPr>
              <w:t>万/年</w:t>
            </w:r>
          </w:p>
        </w:tc>
        <w:tc>
          <w:tcPr>
            <w:tcW w:w="2835" w:type="dxa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8-12万/年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pStyle w:val="21"/>
              <w:spacing w:line="380" w:lineRule="exact"/>
              <w:ind w:firstLine="0" w:firstLineChars="0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新青年领军计划</w:t>
            </w:r>
          </w:p>
        </w:tc>
        <w:tc>
          <w:tcPr>
            <w:tcW w:w="5387" w:type="dxa"/>
            <w:gridSpan w:val="2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12万/年起（按岗位和区域差别有所区分）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pStyle w:val="21"/>
              <w:spacing w:line="38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跨世纪青年</w:t>
            </w:r>
            <w:r>
              <w:rPr>
                <w:rFonts w:hint="default" w:ascii="微软雅黑" w:hAnsi="微软雅黑" w:eastAsia="微软雅黑"/>
                <w:sz w:val="22"/>
              </w:rPr>
              <w:t>领军</w:t>
            </w:r>
            <w:r>
              <w:rPr>
                <w:rFonts w:hint="eastAsia" w:ascii="微软雅黑" w:hAnsi="微软雅黑" w:eastAsia="微软雅黑"/>
                <w:sz w:val="22"/>
              </w:rPr>
              <w:t>计划</w:t>
            </w:r>
          </w:p>
        </w:tc>
        <w:tc>
          <w:tcPr>
            <w:tcW w:w="5387" w:type="dxa"/>
            <w:gridSpan w:val="2"/>
          </w:tcPr>
          <w:p>
            <w:pPr>
              <w:pStyle w:val="21"/>
              <w:spacing w:line="38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lang w:val="en-US" w:eastAsia="zh-CN"/>
              </w:rPr>
              <w:t>面议</w:t>
            </w:r>
          </w:p>
        </w:tc>
      </w:tr>
    </w:tbl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所持股份性收益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近10年股份年平均资金回报率10%-25%；80%员工参与了2015年、2017年、2020年扩股计划。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所有项目新员工转正后即可申请加入集团持股会，享有购股权利；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福利：五险一金、春节/中秋菜篮子、春节开门红包、带薪年假、每月福利、健康体检、子女福利、团建活动、高温补贴、报销入职车费、差旅补贴、提供住宿，内设食堂、免费工作服等。</w:t>
      </w:r>
    </w:p>
    <w:p>
      <w:pPr>
        <w:spacing w:line="380" w:lineRule="exact"/>
        <w:jc w:val="left"/>
        <w:rPr>
          <w:rFonts w:ascii="微软雅黑" w:hAnsi="微软雅黑" w:eastAsia="微软雅黑"/>
          <w:bCs/>
          <w:sz w:val="24"/>
          <w:szCs w:val="24"/>
        </w:rPr>
      </w:pP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校招流程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网申/现场投递→初试→复试→录用签约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3437255</wp:posOffset>
            </wp:positionH>
            <wp:positionV relativeFrom="margin">
              <wp:posOffset>1363980</wp:posOffset>
            </wp:positionV>
            <wp:extent cx="2967990" cy="1664335"/>
            <wp:effectExtent l="0" t="0" r="3810" b="12065"/>
            <wp:wrapSquare wrapText="bothSides"/>
            <wp:docPr id="13" name="图片 13" descr="C:\Users\Administrator\AppData\Roaming\DingTalk\5726442_v2\ImageFiles\32\lALPDg7mRxKANRvNAX7NAqI_674_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DingTalk\5726442_v2\ImageFiles\32\lALPDg7mRxKANRvNAX7NAqI_674_3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投递渠道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简历投递邮箱：hrliyuan@vip.qq.com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邮件格式：“招聘项目+姓名+应聘岗位+专业+学校”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电话咨询：0773-2632010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企业官网：www.liyuan99.com</w:t>
      </w:r>
    </w:p>
    <w:p>
      <w:pPr>
        <w:widowControl/>
        <w:autoSpaceDE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地址：桂林市中山北路122号（总部）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09306"/>
    <w:multiLevelType w:val="singleLevel"/>
    <w:tmpl w:val="CDA093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2"/>
    <w:rsid w:val="000228A2"/>
    <w:rsid w:val="0002448F"/>
    <w:rsid w:val="000672C6"/>
    <w:rsid w:val="00073E3A"/>
    <w:rsid w:val="00096218"/>
    <w:rsid w:val="0009624C"/>
    <w:rsid w:val="000B0478"/>
    <w:rsid w:val="000B4A70"/>
    <w:rsid w:val="000C1E59"/>
    <w:rsid w:val="000D6F0F"/>
    <w:rsid w:val="000E2BBF"/>
    <w:rsid w:val="000E7A73"/>
    <w:rsid w:val="00113AF5"/>
    <w:rsid w:val="001167A8"/>
    <w:rsid w:val="001261EE"/>
    <w:rsid w:val="0013336A"/>
    <w:rsid w:val="00133748"/>
    <w:rsid w:val="00136262"/>
    <w:rsid w:val="00152112"/>
    <w:rsid w:val="0017286A"/>
    <w:rsid w:val="00185360"/>
    <w:rsid w:val="00187DCB"/>
    <w:rsid w:val="00193ABD"/>
    <w:rsid w:val="001A4EE2"/>
    <w:rsid w:val="001B7350"/>
    <w:rsid w:val="001E7EBC"/>
    <w:rsid w:val="001F1F18"/>
    <w:rsid w:val="00234DDB"/>
    <w:rsid w:val="0024355B"/>
    <w:rsid w:val="00265AF4"/>
    <w:rsid w:val="00272D95"/>
    <w:rsid w:val="002C22C5"/>
    <w:rsid w:val="002D60EB"/>
    <w:rsid w:val="002E066D"/>
    <w:rsid w:val="002E08B8"/>
    <w:rsid w:val="00301F04"/>
    <w:rsid w:val="00352866"/>
    <w:rsid w:val="003D1853"/>
    <w:rsid w:val="003D6F60"/>
    <w:rsid w:val="003E25A2"/>
    <w:rsid w:val="003E3F0C"/>
    <w:rsid w:val="003E4EA0"/>
    <w:rsid w:val="003F33E6"/>
    <w:rsid w:val="00402E71"/>
    <w:rsid w:val="004218E7"/>
    <w:rsid w:val="00446B93"/>
    <w:rsid w:val="00450584"/>
    <w:rsid w:val="00490D69"/>
    <w:rsid w:val="004B16EC"/>
    <w:rsid w:val="004B6B67"/>
    <w:rsid w:val="004C761A"/>
    <w:rsid w:val="00506AB3"/>
    <w:rsid w:val="005170F4"/>
    <w:rsid w:val="00534FA9"/>
    <w:rsid w:val="005628E3"/>
    <w:rsid w:val="005802CE"/>
    <w:rsid w:val="005835C4"/>
    <w:rsid w:val="00657D17"/>
    <w:rsid w:val="00666DE1"/>
    <w:rsid w:val="006761FB"/>
    <w:rsid w:val="00686770"/>
    <w:rsid w:val="00697A7E"/>
    <w:rsid w:val="006A46FC"/>
    <w:rsid w:val="006B1A47"/>
    <w:rsid w:val="006B687F"/>
    <w:rsid w:val="006D2C7A"/>
    <w:rsid w:val="006D6136"/>
    <w:rsid w:val="006E009A"/>
    <w:rsid w:val="007573C1"/>
    <w:rsid w:val="00790CAD"/>
    <w:rsid w:val="007B7871"/>
    <w:rsid w:val="007C49A3"/>
    <w:rsid w:val="007D32E0"/>
    <w:rsid w:val="00817544"/>
    <w:rsid w:val="008210BD"/>
    <w:rsid w:val="00836990"/>
    <w:rsid w:val="00842E2A"/>
    <w:rsid w:val="00843092"/>
    <w:rsid w:val="008511C7"/>
    <w:rsid w:val="00854D2B"/>
    <w:rsid w:val="0088235E"/>
    <w:rsid w:val="008B17C4"/>
    <w:rsid w:val="008C4BA9"/>
    <w:rsid w:val="008C772A"/>
    <w:rsid w:val="0090168C"/>
    <w:rsid w:val="00944FCA"/>
    <w:rsid w:val="00947312"/>
    <w:rsid w:val="00981E5E"/>
    <w:rsid w:val="0098380B"/>
    <w:rsid w:val="009A05FD"/>
    <w:rsid w:val="00A2035E"/>
    <w:rsid w:val="00A457BD"/>
    <w:rsid w:val="00AB4869"/>
    <w:rsid w:val="00AC3EF5"/>
    <w:rsid w:val="00AC450A"/>
    <w:rsid w:val="00AD1A17"/>
    <w:rsid w:val="00AD7D38"/>
    <w:rsid w:val="00AF1D7B"/>
    <w:rsid w:val="00B03AAA"/>
    <w:rsid w:val="00B125EB"/>
    <w:rsid w:val="00B13ADC"/>
    <w:rsid w:val="00B26D25"/>
    <w:rsid w:val="00B44C67"/>
    <w:rsid w:val="00B60A1D"/>
    <w:rsid w:val="00B85F43"/>
    <w:rsid w:val="00B9286F"/>
    <w:rsid w:val="00BA230C"/>
    <w:rsid w:val="00BA56B1"/>
    <w:rsid w:val="00BC7197"/>
    <w:rsid w:val="00BD364D"/>
    <w:rsid w:val="00C133F5"/>
    <w:rsid w:val="00C17241"/>
    <w:rsid w:val="00C266EF"/>
    <w:rsid w:val="00C91D81"/>
    <w:rsid w:val="00C95C0B"/>
    <w:rsid w:val="00CA663F"/>
    <w:rsid w:val="00D03E67"/>
    <w:rsid w:val="00D128E6"/>
    <w:rsid w:val="00D14C6B"/>
    <w:rsid w:val="00D55DA2"/>
    <w:rsid w:val="00D61B86"/>
    <w:rsid w:val="00D73E7E"/>
    <w:rsid w:val="00D87B72"/>
    <w:rsid w:val="00D977EC"/>
    <w:rsid w:val="00DB6F36"/>
    <w:rsid w:val="00DD3188"/>
    <w:rsid w:val="00E10F75"/>
    <w:rsid w:val="00E23633"/>
    <w:rsid w:val="00E8201C"/>
    <w:rsid w:val="00EC3567"/>
    <w:rsid w:val="00EC3F92"/>
    <w:rsid w:val="00EC49A7"/>
    <w:rsid w:val="00EF40F2"/>
    <w:rsid w:val="00F00FFE"/>
    <w:rsid w:val="00F05F3F"/>
    <w:rsid w:val="00F108E6"/>
    <w:rsid w:val="00F300A3"/>
    <w:rsid w:val="00F3270A"/>
    <w:rsid w:val="00F4093E"/>
    <w:rsid w:val="00F417A3"/>
    <w:rsid w:val="00F50466"/>
    <w:rsid w:val="00F61687"/>
    <w:rsid w:val="00F940AD"/>
    <w:rsid w:val="00FB1A3D"/>
    <w:rsid w:val="00FC3BC3"/>
    <w:rsid w:val="00FD364D"/>
    <w:rsid w:val="016C09B0"/>
    <w:rsid w:val="02114BC5"/>
    <w:rsid w:val="021248EC"/>
    <w:rsid w:val="05880374"/>
    <w:rsid w:val="0591234C"/>
    <w:rsid w:val="06D52096"/>
    <w:rsid w:val="077448FA"/>
    <w:rsid w:val="08AA6B79"/>
    <w:rsid w:val="094822F4"/>
    <w:rsid w:val="0B944C73"/>
    <w:rsid w:val="0E73136E"/>
    <w:rsid w:val="0FC31FAB"/>
    <w:rsid w:val="135C0995"/>
    <w:rsid w:val="146B48D3"/>
    <w:rsid w:val="16CF8570"/>
    <w:rsid w:val="17B70415"/>
    <w:rsid w:val="17E1435D"/>
    <w:rsid w:val="1A6B60AE"/>
    <w:rsid w:val="1DCF9F4E"/>
    <w:rsid w:val="2053243D"/>
    <w:rsid w:val="21E366C1"/>
    <w:rsid w:val="22D82D7D"/>
    <w:rsid w:val="254B16EF"/>
    <w:rsid w:val="258442F2"/>
    <w:rsid w:val="25FE212C"/>
    <w:rsid w:val="277D3E4D"/>
    <w:rsid w:val="2CCF1ED7"/>
    <w:rsid w:val="2FE84161"/>
    <w:rsid w:val="350B1FAE"/>
    <w:rsid w:val="394D7B32"/>
    <w:rsid w:val="3BAF7021"/>
    <w:rsid w:val="3BEF67F4"/>
    <w:rsid w:val="3FDE63B3"/>
    <w:rsid w:val="45553290"/>
    <w:rsid w:val="494E63DD"/>
    <w:rsid w:val="4BC24AD2"/>
    <w:rsid w:val="4DFF1249"/>
    <w:rsid w:val="4F670DA0"/>
    <w:rsid w:val="51857CF2"/>
    <w:rsid w:val="55FFEF49"/>
    <w:rsid w:val="5616893B"/>
    <w:rsid w:val="5D4FEEBA"/>
    <w:rsid w:val="5FBE9FB0"/>
    <w:rsid w:val="5FDF74D2"/>
    <w:rsid w:val="617A5822"/>
    <w:rsid w:val="637F9B01"/>
    <w:rsid w:val="644C4EA0"/>
    <w:rsid w:val="6651151C"/>
    <w:rsid w:val="66894EA4"/>
    <w:rsid w:val="69082555"/>
    <w:rsid w:val="6D616A7B"/>
    <w:rsid w:val="6EA3B5E2"/>
    <w:rsid w:val="6F7ABF3F"/>
    <w:rsid w:val="722560DC"/>
    <w:rsid w:val="748A63C9"/>
    <w:rsid w:val="752F16AB"/>
    <w:rsid w:val="77CA4218"/>
    <w:rsid w:val="7DFC209F"/>
    <w:rsid w:val="7EDF301A"/>
    <w:rsid w:val="7F7FB4F2"/>
    <w:rsid w:val="8FFEEDB0"/>
    <w:rsid w:val="A3FD8E86"/>
    <w:rsid w:val="A7757CEA"/>
    <w:rsid w:val="B57FB693"/>
    <w:rsid w:val="BCAF7042"/>
    <w:rsid w:val="BDBBC908"/>
    <w:rsid w:val="BDF75A1F"/>
    <w:rsid w:val="BFF640AD"/>
    <w:rsid w:val="CFD35BF8"/>
    <w:rsid w:val="D4A62790"/>
    <w:rsid w:val="D76C4189"/>
    <w:rsid w:val="DFD66B95"/>
    <w:rsid w:val="DFEFC083"/>
    <w:rsid w:val="E9FDDA67"/>
    <w:rsid w:val="EEEFD381"/>
    <w:rsid w:val="F53DF2F4"/>
    <w:rsid w:val="FB5C01DA"/>
    <w:rsid w:val="FFE54223"/>
    <w:rsid w:val="FFEDD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23"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firstLine="360"/>
      <w:jc w:val="left"/>
    </w:pPr>
    <w:rPr>
      <w:rFonts w:ascii="宋体" w:hAnsi="宋体"/>
      <w:kern w:val="0"/>
      <w:sz w:val="24"/>
      <w:szCs w:val="24"/>
      <w:lang w:eastAsia="en-US" w:bidi="en-US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7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1">
    <w:name w:val="Light Shading Accent 3"/>
    <w:basedOn w:val="7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2">
    <w:name w:val="Light List Accent 3"/>
    <w:basedOn w:val="7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3">
    <w:name w:val="Light Grid Accent 3"/>
    <w:basedOn w:val="7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4">
    <w:name w:val="Medium Shading 1 Accent 3"/>
    <w:basedOn w:val="7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List 1 Accent 3"/>
    <w:basedOn w:val="7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eastAsia="宋体" w:cs="宋体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styleId="17">
    <w:name w:val="Hyperlink"/>
    <w:basedOn w:val="1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8">
    <w:name w:val="浅色底纹1"/>
    <w:basedOn w:val="7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9">
    <w:name w:val="页眉 Char"/>
    <w:basedOn w:val="16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0773 2811006</Company>
  <Pages>4</Pages>
  <Words>478</Words>
  <Characters>2730</Characters>
  <Lines>22</Lines>
  <Paragraphs>6</Paragraphs>
  <TotalTime>4</TotalTime>
  <ScaleCrop>false</ScaleCrop>
  <LinksUpToDate>false</LinksUpToDate>
  <CharactersWithSpaces>3202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2021-09-04T09:39:00Z</dcterms:created>
  <dc:creator>微软用户</dc:creator>
  <cp:lastModifiedBy>罗过过</cp:lastModifiedBy>
  <dcterms:modified xsi:type="dcterms:W3CDTF">2022-03-17T03:16:38Z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A25E83EA4B074D4ABF4F74BA7B7288DB</vt:lpwstr>
  </property>
</Properties>
</file>