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p>
    <w:p>
      <w:pPr>
        <w:jc w:val="center"/>
        <w:rPr>
          <w:rFonts w:hint="eastAsia" w:ascii="黑体" w:hAnsi="黑体" w:eastAsia="黑体" w:cs="黑体"/>
          <w:b/>
          <w:bCs/>
          <w:sz w:val="44"/>
          <w:szCs w:val="44"/>
          <w:lang w:val="en-US" w:eastAsia="zh-CN"/>
        </w:rPr>
      </w:pPr>
      <w:r>
        <w:rPr>
          <w:rFonts w:hint="eastAsia" w:ascii="仿宋_GB2312" w:hAnsi="仿宋" w:eastAsia="仿宋_GB2312"/>
          <w:b/>
          <w:sz w:val="36"/>
          <w:szCs w:val="36"/>
          <w:lang w:val="en-US" w:eastAsia="zh-CN"/>
        </w:rPr>
        <w:t>广西财经学院2024年学生军训器械采购及租赁项目（重）报价</w:t>
      </w:r>
      <w:r>
        <w:rPr>
          <w:rFonts w:hint="eastAsia" w:ascii="仿宋_GB2312" w:hAnsi="仿宋" w:eastAsia="仿宋_GB2312"/>
          <w:b/>
          <w:sz w:val="36"/>
          <w:szCs w:val="36"/>
        </w:rPr>
        <w:t>表</w:t>
      </w:r>
    </w:p>
    <w:tbl>
      <w:tblPr>
        <w:tblStyle w:val="6"/>
        <w:tblpPr w:leftFromText="180" w:rightFromText="180" w:vertAnchor="text" w:horzAnchor="page" w:tblpX="1673" w:tblpY="975"/>
        <w:tblOverlap w:val="never"/>
        <w:tblW w:w="13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18"/>
        <w:gridCol w:w="1291"/>
        <w:gridCol w:w="614"/>
        <w:gridCol w:w="585"/>
        <w:gridCol w:w="4905"/>
        <w:gridCol w:w="1095"/>
        <w:gridCol w:w="1065"/>
        <w:gridCol w:w="1095"/>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72" w:type="dxa"/>
            <w:gridSpan w:val="10"/>
            <w:noWrap/>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b/>
                <w:bCs/>
                <w:color w:val="000000" w:themeColor="text1"/>
                <w:kern w:val="2"/>
                <w:sz w:val="21"/>
                <w:szCs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一、采购部分的货物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ign w:val="center"/>
          </w:tcPr>
          <w:p>
            <w:pPr>
              <w:keepNext w:val="0"/>
              <w:keepLines w:val="0"/>
              <w:widowControl/>
              <w:numPr>
                <w:ilvl w:val="0"/>
                <w:numId w:val="0"/>
              </w:numPr>
              <w:suppressLineNumbers w:val="0"/>
              <w:spacing w:before="0" w:beforeAutospacing="0" w:after="0" w:afterAutospacing="0" w:line="240" w:lineRule="auto"/>
              <w:ind w:left="0" w:leftChars="0" w:right="0" w:firstLine="0" w:firstLineChars="0"/>
              <w:jc w:val="center"/>
              <w:textAlignment w:val="auto"/>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序号</w:t>
            </w:r>
          </w:p>
        </w:tc>
        <w:tc>
          <w:tcPr>
            <w:tcW w:w="1418"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科目</w:t>
            </w:r>
          </w:p>
        </w:tc>
        <w:tc>
          <w:tcPr>
            <w:tcW w:w="1291"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货物</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名称</w:t>
            </w:r>
          </w:p>
        </w:tc>
        <w:tc>
          <w:tcPr>
            <w:tcW w:w="614" w:type="dxa"/>
            <w:noWrap/>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数量</w:t>
            </w:r>
          </w:p>
        </w:tc>
        <w:tc>
          <w:tcPr>
            <w:tcW w:w="585" w:type="dxa"/>
            <w:noWrap/>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eastAsia="zh-CN"/>
                <w14:textFill>
                  <w14:solidFill>
                    <w14:schemeClr w14:val="tx1"/>
                  </w14:solidFill>
                </w14:textFill>
              </w:rPr>
              <w:t>单位</w:t>
            </w:r>
          </w:p>
        </w:tc>
        <w:tc>
          <w:tcPr>
            <w:tcW w:w="4905" w:type="dxa"/>
            <w:noWrap/>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21"/>
                <w:szCs w:val="21"/>
                <w:highlight w:val="none"/>
                <w:lang w:val="en-US" w:eastAsia="zh-CN"/>
                <w14:textFill>
                  <w14:solidFill>
                    <w14:schemeClr w14:val="tx1"/>
                  </w14:solidFill>
                </w14:textFill>
              </w:rPr>
              <w:t>技术需求</w:t>
            </w:r>
          </w:p>
        </w:tc>
        <w:tc>
          <w:tcPr>
            <w:tcW w:w="1095" w:type="dxa"/>
            <w:noWrap/>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单价</w:t>
            </w:r>
          </w:p>
        </w:tc>
        <w:tc>
          <w:tcPr>
            <w:tcW w:w="1065" w:type="dxa"/>
            <w:noWrap/>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bCs/>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bidi="ar-SA"/>
                <w14:textFill>
                  <w14:solidFill>
                    <w14:schemeClr w14:val="tx1"/>
                  </w14:solidFill>
                </w14:textFill>
              </w:rPr>
              <w:t>金额</w:t>
            </w:r>
          </w:p>
        </w:tc>
        <w:tc>
          <w:tcPr>
            <w:tcW w:w="1095" w:type="dxa"/>
            <w:noWrap/>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bCs/>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bidi="ar-SA"/>
                <w14:textFill>
                  <w14:solidFill>
                    <w14:schemeClr w14:val="tx1"/>
                  </w14:solidFill>
                </w14:textFill>
              </w:rPr>
              <w:t>是否响应</w:t>
            </w:r>
          </w:p>
        </w:tc>
        <w:tc>
          <w:tcPr>
            <w:tcW w:w="1132" w:type="dxa"/>
            <w:noWrap/>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bCs/>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w:t>
            </w:r>
          </w:p>
        </w:tc>
        <w:tc>
          <w:tcPr>
            <w:tcW w:w="141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战术训练</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（含单兵、班战术）</w:t>
            </w:r>
          </w:p>
        </w:tc>
        <w:tc>
          <w:tcPr>
            <w:tcW w:w="1291" w:type="dxa"/>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脸部伪装油彩</w:t>
            </w:r>
          </w:p>
        </w:tc>
        <w:tc>
          <w:tcPr>
            <w:tcW w:w="614" w:type="dxa"/>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585" w:type="dxa"/>
            <w:noWrap/>
            <w:vAlign w:val="center"/>
          </w:tcPr>
          <w:p>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盒</w:t>
            </w:r>
          </w:p>
        </w:tc>
        <w:tc>
          <w:tcPr>
            <w:tcW w:w="4905" w:type="dxa"/>
            <w:noWrap/>
            <w:vAlign w:val="center"/>
          </w:tcPr>
          <w:p>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盒装、塑料旋转管，</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每盒3支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包含黑色、军绿色、棕色3种颜色</w:t>
            </w: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，每盒重量450克（±2%），不伤肤。</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w:t>
            </w:r>
          </w:p>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restar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战场医疗救护与核生化防护</w:t>
            </w: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防毒面具</w:t>
            </w:r>
          </w:p>
        </w:tc>
        <w:tc>
          <w:tcPr>
            <w:tcW w:w="614" w:type="dxa"/>
            <w:noWrap/>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主要材质为天然橡胶、活性炭滤毒盒、KN95滤棉；可用于发生火灾和有毒气体环境中的人员的防护，有效保护呼吸器官、眼睛以及面部皮肤，</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符合本项目大学生军事技能训练要求。</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三角巾</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规格：96×96×136cm，一次性用品/高档松紧布条+ABS，</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符合本项目大学生军事技能训练要求。</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止血带</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规格：400mm×25mm，尾扣12mm×8mm/一次性用品/加厚纺布/减少感染，适用于大面积伤口及不规则位伤口，</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符合本项目大学生军事技能训练要求。</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心肺复苏模型人</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规格：外箱尺寸74cm*36cm*26cm，重约8KG，主要材质为PVC，半身心肺复苏模拟，强度高，抗老化。</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担架</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规格：200cm×54cm×18cm；主要材质为牛筋革面+铝合金，加固加厚承重159KG。</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3</w:t>
            </w:r>
          </w:p>
        </w:tc>
        <w:tc>
          <w:tcPr>
            <w:tcW w:w="1418" w:type="dxa"/>
            <w:vMerge w:val="restart"/>
            <w:noWrap w:val="0"/>
            <w:vAlign w:val="center"/>
          </w:tcPr>
          <w:p>
            <w:pPr>
              <w:keepNext w:val="0"/>
              <w:keepLines w:val="0"/>
              <w:suppressLineNumbers w:val="0"/>
              <w:tabs>
                <w:tab w:val="left" w:pos="223"/>
              </w:tabs>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消耗品</w:t>
            </w: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彩色发烟弹</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主要材质为火药，不同种类颜色，主要用于拉练和战场氛围营造，行军拉练战略点标识等。</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tabs>
                <w:tab w:val="left" w:pos="223"/>
              </w:tabs>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火箭筒、迫击炮弹药</w:t>
            </w:r>
          </w:p>
        </w:tc>
        <w:tc>
          <w:tcPr>
            <w:tcW w:w="614" w:type="dxa"/>
            <w:noWrap/>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主要材质为火药，用于火箭筒、迫击炮发射适配的弹药。</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收纳箱</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主要材质为PP,加厚型，有盖，规格：80cm×50cm×50cm.</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4</w:t>
            </w:r>
          </w:p>
        </w:tc>
        <w:tc>
          <w:tcPr>
            <w:tcW w:w="1418"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格斗基础</w:t>
            </w: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仿真匕首</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把</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规格：总长26cm，刃长14cm；主要材质为毒公害橡胶，武术表演道具，用于格斗基础-匕首操部分。</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5</w:t>
            </w:r>
          </w:p>
        </w:tc>
        <w:tc>
          <w:tcPr>
            <w:tcW w:w="1418"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i w:val="0"/>
                <w:iCs w:val="0"/>
                <w:color w:val="000000"/>
                <w:kern w:val="0"/>
                <w:sz w:val="21"/>
                <w:szCs w:val="21"/>
                <w:u w:val="none"/>
                <w:lang w:val="en-US" w:eastAsia="zh-CN" w:bidi="ar"/>
              </w:rPr>
              <w:t>分队的队列动作</w:t>
            </w:r>
          </w:p>
        </w:tc>
        <w:tc>
          <w:tcPr>
            <w:tcW w:w="1291"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手持扩音器</w:t>
            </w:r>
          </w:p>
        </w:tc>
        <w:tc>
          <w:tcPr>
            <w:tcW w:w="614"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个</w:t>
            </w:r>
          </w:p>
        </w:tc>
        <w:tc>
          <w:tcPr>
            <w:tcW w:w="4905" w:type="dxa"/>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规格：手柄长15cm、机身宽15cm，高40cm；主要材质：外壳材质为ABS，内置可充电锂电池，电池容量2000毫安以上，功率50W,外挂喊麦器，具有扩音,录音，播放音频等工能，接口类型为：USB/TF卡插槽/AUX音频，主要作教官教学，指挥使用。</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72" w:type="dxa"/>
            <w:gridSpan w:val="10"/>
            <w:noWrap/>
            <w:vAlign w:val="center"/>
          </w:tcPr>
          <w:p>
            <w:pPr>
              <w:keepNext w:val="0"/>
              <w:keepLines w:val="0"/>
              <w:widowControl/>
              <w:numPr>
                <w:numId w:val="0"/>
              </w:numPr>
              <w:suppressLineNumbers w:val="0"/>
              <w:spacing w:before="0" w:beforeAutospacing="0" w:after="0" w:afterAutospacing="0"/>
              <w:ind w:right="0" w:rightChars="0"/>
              <w:jc w:val="left"/>
              <w:textAlignment w:val="center"/>
              <w:rPr>
                <w:rFonts w:hint="eastAsia"/>
                <w:lang w:val="en-US" w:eastAsia="zh-CN"/>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二、赁部分的货物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ign w:val="center"/>
          </w:tcPr>
          <w:p>
            <w:pPr>
              <w:keepNext w:val="0"/>
              <w:keepLines w:val="0"/>
              <w:widowControl/>
              <w:numPr>
                <w:ilvl w:val="0"/>
                <w:numId w:val="0"/>
              </w:numPr>
              <w:suppressLineNumbers w:val="0"/>
              <w:spacing w:before="0" w:beforeAutospacing="0" w:after="0" w:afterAutospacing="0" w:line="240" w:lineRule="auto"/>
              <w:ind w:left="0" w:leftChars="0" w:right="0" w:firstLine="0" w:firstLineChars="0"/>
              <w:jc w:val="left"/>
              <w:textAlignment w:val="auto"/>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序号</w:t>
            </w:r>
          </w:p>
        </w:tc>
        <w:tc>
          <w:tcPr>
            <w:tcW w:w="1418"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val="en-US" w:eastAsia="zh-CN"/>
                <w14:textFill>
                  <w14:solidFill>
                    <w14:schemeClr w14:val="tx1"/>
                  </w14:solidFill>
                </w14:textFill>
              </w:rPr>
              <w:t>科目</w:t>
            </w:r>
          </w:p>
        </w:tc>
        <w:tc>
          <w:tcPr>
            <w:tcW w:w="1291"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货物</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名称</w:t>
            </w:r>
          </w:p>
        </w:tc>
        <w:tc>
          <w:tcPr>
            <w:tcW w:w="614" w:type="dxa"/>
            <w:noWrap/>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数量</w:t>
            </w:r>
          </w:p>
        </w:tc>
        <w:tc>
          <w:tcPr>
            <w:tcW w:w="585" w:type="dxa"/>
            <w:noWrap/>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highlight w:val="none"/>
                <w:lang w:eastAsia="zh-CN"/>
                <w14:textFill>
                  <w14:solidFill>
                    <w14:schemeClr w14:val="tx1"/>
                  </w14:solidFill>
                </w14:textFill>
              </w:rPr>
              <w:t>单位</w:t>
            </w:r>
          </w:p>
        </w:tc>
        <w:tc>
          <w:tcPr>
            <w:tcW w:w="4905" w:type="dxa"/>
            <w:noWrap/>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21"/>
                <w:szCs w:val="21"/>
                <w:highlight w:val="none"/>
                <w:lang w:val="en-US" w:eastAsia="zh-CN"/>
                <w14:textFill>
                  <w14:solidFill>
                    <w14:schemeClr w14:val="tx1"/>
                  </w14:solidFill>
                </w14:textFill>
              </w:rPr>
              <w:t>技术需求</w:t>
            </w:r>
          </w:p>
        </w:tc>
        <w:tc>
          <w:tcPr>
            <w:tcW w:w="1095" w:type="dxa"/>
            <w:noWrap/>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b/>
                <w:bCs/>
                <w:color w:val="000000" w:themeColor="text1"/>
                <w:kern w:val="2"/>
                <w:sz w:val="21"/>
                <w:szCs w:val="21"/>
                <w:highlight w:val="none"/>
                <w:lang w:val="en-US" w:eastAsia="zh-CN"/>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240" w:lineRule="auto"/>
              <w:ind w:left="0" w:right="0"/>
              <w:jc w:val="left"/>
              <w:rPr>
                <w:rFonts w:hint="eastAsia" w:ascii="仿宋_GB2312" w:hAnsi="仿宋_GB2312" w:eastAsia="仿宋_GB2312" w:cs="仿宋_GB2312"/>
                <w:b/>
                <w:bCs/>
                <w:color w:val="000000" w:themeColor="text1"/>
                <w:kern w:val="2"/>
                <w:sz w:val="21"/>
                <w:szCs w:val="21"/>
                <w:highlight w:val="none"/>
                <w:lang w:val="en-US" w:eastAsia="zh-CN"/>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themeColor="text1"/>
                <w:kern w:val="2"/>
                <w:sz w:val="21"/>
                <w:szCs w:val="21"/>
                <w:highlight w:val="none"/>
                <w:lang w:val="en-US" w:eastAsia="zh-CN"/>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themeColor="text1"/>
                <w:kern w:val="2"/>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p>
            <w:pPr>
              <w:keepNext w:val="0"/>
              <w:keepLines w:val="0"/>
              <w:widowControl/>
              <w:numPr>
                <w:ilvl w:val="0"/>
                <w:numId w:val="0"/>
              </w:numPr>
              <w:suppressLineNumbers w:val="0"/>
              <w:tabs>
                <w:tab w:val="left" w:pos="-200"/>
              </w:tabs>
              <w:spacing w:before="0" w:beforeAutospacing="0" w:after="0" w:afterAutospacing="0" w:line="360" w:lineRule="auto"/>
              <w:ind w:right="0" w:rightChars="0" w:firstLine="210" w:firstLineChars="100"/>
              <w:jc w:val="both"/>
              <w:textAlignment w:val="cente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w:t>
            </w:r>
          </w:p>
        </w:tc>
        <w:tc>
          <w:tcPr>
            <w:tcW w:w="1418" w:type="dxa"/>
            <w:vMerge w:val="restar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right="0"/>
              <w:jc w:val="left"/>
              <w:textAlignment w:val="center"/>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轻武器射击</w:t>
            </w:r>
          </w:p>
        </w:tc>
        <w:tc>
          <w:tcPr>
            <w:tcW w:w="1291"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激光射击系统</w:t>
            </w:r>
          </w:p>
        </w:tc>
        <w:tc>
          <w:tcPr>
            <w:tcW w:w="614" w:type="dxa"/>
            <w:noWrap/>
            <w:vAlign w:val="center"/>
          </w:tcPr>
          <w:p>
            <w:pPr>
              <w:keepNext w:val="0"/>
              <w:keepLines w:val="0"/>
              <w:widowControl/>
              <w:suppressLineNumbers w:val="0"/>
              <w:spacing w:before="0" w:beforeAutospacing="0" w:after="0" w:afterAutospacing="0"/>
              <w:ind w:left="0" w:right="0" w:firstLine="210" w:firstLineChars="1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left="0" w:right="0" w:firstLine="210" w:firstLineChars="1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p>
            <w:pPr>
              <w:keepNext w:val="0"/>
              <w:keepLines w:val="0"/>
              <w:widowControl/>
              <w:suppressLineNumbers w:val="0"/>
              <w:spacing w:before="0" w:beforeAutospacing="0" w:after="0" w:afterAutospacing="0"/>
              <w:ind w:right="0" w:firstLine="210" w:firstLineChars="100"/>
              <w:jc w:val="left"/>
              <w:textAlignment w:val="center"/>
              <w:rPr>
                <w:rFonts w:hint="default"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套</w:t>
            </w:r>
          </w:p>
        </w:tc>
        <w:tc>
          <w:tcPr>
            <w:tcW w:w="4905" w:type="dxa"/>
            <w:noWrap/>
            <w:vAlign w:val="center"/>
          </w:tcPr>
          <w:p>
            <w:pPr>
              <w:keepNext w:val="0"/>
              <w:keepLines w:val="0"/>
              <w:widowControl/>
              <w:numPr>
                <w:ilvl w:val="0"/>
                <w:numId w:val="1"/>
              </w:numPr>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基本要求：建设步枪仿真模拟射击靶场，用于学生军训射击科目的训练和考核。要求按照部队步枪射击第一练习的要求构建靶场的各个元素，包括95式仿真枪模、半身胸环靶、枪膛活塞式往复后坐力（非震动电机）、智能报靶等；同时系统必须具备全天候准确报靶、监控、成绩统计查询、易于操作维护、能连续稳定工作等功能和特点。靶场设备便携化，主机、靶箱、报靶器、枪模各自集成在装备箱中，安装简便、连线方便。目标靶箱由电池供电，一次充电使用时间大于8小时。                                                       （2）基本参数：                                                  ①95式仿真ABS塑料枪模，含铝合金便携箱，枪架，充电器：步枪长度76cm（±5mm），重量2.5公斤（±2%），枪管为机加工钢管，枪身为ABS工程塑料。含控制器、激光头。</w:t>
            </w:r>
          </w:p>
          <w:p>
            <w:pPr>
              <w:keepNext w:val="0"/>
              <w:keepLines w:val="0"/>
              <w:widowControl/>
              <w:numPr>
                <w:ilvl w:val="-1"/>
                <w:numId w:val="0"/>
              </w:numPr>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②射手报靶器：12寸，4:3液晶交流供电，有线网络连接。                                              ③一体化激光专用摄像头：含摄像头，长焦变焦镜头，防尘罩，安装底座、支架等。                                          ④标准靶，含安装支架：军用半身标准靶，靶尺寸50cm*50cm（±5mm），多层532nm绿激光敏感反光材料刻制</w:t>
            </w:r>
          </w:p>
          <w:p>
            <w:pPr>
              <w:keepNext w:val="0"/>
              <w:keepLines w:val="0"/>
              <w:widowControl/>
              <w:numPr>
                <w:ilvl w:val="0"/>
                <w:numId w:val="0"/>
              </w:numPr>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⑤便携式靶场主机，含铝合金拉杆箱：工控主板含4-5个PCI卡槽，25针并行口，15路视频采集卡，击发无线接收器，打靶系统软件U盾等。                                                       ⑥音响功放：拉杆箱式便携音响，功率大于100W。</w:t>
            </w:r>
          </w:p>
        </w:tc>
        <w:tc>
          <w:tcPr>
            <w:tcW w:w="1095" w:type="dxa"/>
            <w:noWrap/>
            <w:vAlign w:val="center"/>
          </w:tcPr>
          <w:p>
            <w:pPr>
              <w:keepNext w:val="0"/>
              <w:keepLines w:val="0"/>
              <w:widowControl/>
              <w:numPr>
                <w:ilvl w:val="0"/>
                <w:numId w:val="0"/>
              </w:numPr>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numPr>
                <w:ilvl w:val="0"/>
                <w:numId w:val="0"/>
              </w:numPr>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numPr>
                <w:ilvl w:val="0"/>
                <w:numId w:val="0"/>
              </w:numPr>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numPr>
                <w:ilvl w:val="0"/>
                <w:numId w:val="0"/>
              </w:numPr>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95式可拆卸教学用枪</w:t>
            </w:r>
          </w:p>
        </w:tc>
        <w:tc>
          <w:tcPr>
            <w:tcW w:w="614"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支</w:t>
            </w:r>
          </w:p>
        </w:tc>
        <w:tc>
          <w:tcPr>
            <w:tcW w:w="4905" w:type="dxa"/>
            <w:noWrap/>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仿95式步枪，可进行枪支分解组装结合训练，</w:t>
            </w:r>
            <w:r>
              <w:rPr>
                <w:rFonts w:hint="eastAsia" w:ascii="仿宋_GB2312" w:hAnsi="仿宋_GB2312" w:eastAsia="仿宋_GB2312" w:cs="仿宋_GB2312"/>
                <w:color w:val="000000" w:themeColor="text1"/>
                <w:sz w:val="21"/>
                <w:szCs w:val="21"/>
                <w:highlight w:val="none"/>
                <w14:textFill>
                  <w14:solidFill>
                    <w14:schemeClr w14:val="tx1"/>
                  </w14:solidFill>
                </w14:textFill>
              </w:rPr>
              <w:t>符合</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本项目</w:t>
            </w:r>
            <w:r>
              <w:rPr>
                <w:rFonts w:hint="eastAsia" w:ascii="仿宋_GB2312" w:hAnsi="仿宋_GB2312" w:eastAsia="仿宋_GB2312" w:cs="仿宋_GB2312"/>
                <w:color w:val="000000" w:themeColor="text1"/>
                <w:sz w:val="21"/>
                <w:szCs w:val="21"/>
                <w:highlight w:val="none"/>
                <w14:textFill>
                  <w14:solidFill>
                    <w14:schemeClr w14:val="tx1"/>
                  </w14:solidFill>
                </w14:textFill>
              </w:rPr>
              <w:t>大学生军事技能训练要求</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1095" w:type="dxa"/>
            <w:noWrap/>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95式模拟枪</w:t>
            </w:r>
          </w:p>
        </w:tc>
        <w:tc>
          <w:tcPr>
            <w:tcW w:w="614" w:type="dxa"/>
            <w:noWrap/>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600</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支</w:t>
            </w:r>
          </w:p>
        </w:tc>
        <w:tc>
          <w:tcPr>
            <w:tcW w:w="490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主要材质为橡胶+钢板，1:1配重/主要用于轻武器操作、战术基础、实战表演等内容，重量3.5公斤（±2%），尺寸长75cm（±5mm），</w:t>
            </w:r>
            <w:r>
              <w:rPr>
                <w:rFonts w:hint="eastAsia" w:ascii="仿宋_GB2312" w:hAnsi="仿宋_GB2312" w:eastAsia="仿宋_GB2312" w:cs="仿宋_GB2312"/>
                <w:color w:val="000000" w:themeColor="text1"/>
                <w:sz w:val="21"/>
                <w:szCs w:val="21"/>
                <w:highlight w:val="none"/>
                <w14:textFill>
                  <w14:solidFill>
                    <w14:schemeClr w14:val="tx1"/>
                  </w14:solidFill>
                </w14:textFill>
              </w:rPr>
              <w:t>符合</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本项目</w:t>
            </w:r>
            <w:r>
              <w:rPr>
                <w:rFonts w:hint="eastAsia" w:ascii="仿宋_GB2312" w:hAnsi="仿宋_GB2312" w:eastAsia="仿宋_GB2312" w:cs="仿宋_GB2312"/>
                <w:color w:val="000000" w:themeColor="text1"/>
                <w:sz w:val="21"/>
                <w:szCs w:val="21"/>
                <w:highlight w:val="none"/>
                <w14:textFill>
                  <w14:solidFill>
                    <w14:schemeClr w14:val="tx1"/>
                  </w14:solidFill>
                </w14:textFill>
              </w:rPr>
              <w:t>大学生军事技能训练要求</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p>
            <w:pPr>
              <w:pStyle w:val="3"/>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p>
            <w:pPr>
              <w:pStyle w:val="3"/>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p>
            <w:pPr>
              <w:pStyle w:val="3"/>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p>
            <w:pPr>
              <w:pStyle w:val="3"/>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p>
            <w:pPr>
              <w:pStyle w:val="3"/>
              <w:ind w:firstLine="210" w:firstLineChars="100"/>
              <w:rPr>
                <w:rFonts w:hint="default"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w:t>
            </w:r>
          </w:p>
        </w:tc>
        <w:tc>
          <w:tcPr>
            <w:tcW w:w="1418" w:type="dxa"/>
            <w:vMerge w:val="restart"/>
            <w:noWrap w:val="0"/>
            <w:vAlign w:val="center"/>
          </w:tcPr>
          <w:p>
            <w:pPr>
              <w:keepNext w:val="0"/>
              <w:keepLines w:val="0"/>
              <w:widowControl/>
              <w:suppressLineNumbers w:val="0"/>
              <w:spacing w:before="0" w:beforeAutospacing="0" w:after="0" w:afterAutospacing="0"/>
              <w:ind w:left="0" w:right="0"/>
              <w:jc w:val="left"/>
              <w:textAlignment w:val="top"/>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战术训练</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（含单兵、班战术）</w:t>
            </w:r>
          </w:p>
        </w:tc>
        <w:tc>
          <w:tcPr>
            <w:tcW w:w="1291" w:type="dxa"/>
            <w:noWrap w:val="0"/>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战术伪装网</w:t>
            </w:r>
          </w:p>
        </w:tc>
        <w:tc>
          <w:tcPr>
            <w:tcW w:w="614" w:type="dxa"/>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585" w:type="dxa"/>
            <w:noWrap/>
            <w:vAlign w:val="center"/>
          </w:tcPr>
          <w:p>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张</w:t>
            </w:r>
          </w:p>
        </w:tc>
        <w:tc>
          <w:tcPr>
            <w:tcW w:w="4905" w:type="dxa"/>
            <w:noWrap/>
            <w:vAlign w:val="center"/>
          </w:tcPr>
          <w:p>
            <w:pPr>
              <w:keepNext w:val="0"/>
              <w:keepLines w:val="0"/>
              <w:widowControl w:val="0"/>
              <w:suppressLineNumbers w:val="0"/>
              <w:spacing w:before="0" w:beforeAutospacing="0" w:after="0" w:afterAutospacing="0" w:line="360" w:lineRule="auto"/>
              <w:ind w:left="0" w:leftChars="0" w:right="0" w:rightChars="0" w:firstLine="420" w:firstLineChars="200"/>
              <w:jc w:val="left"/>
              <w:textAlignment w:val="auto"/>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t>主要材质为尼龙布；双层包边8m×8m/每个；主要用于战术基础训练、实战氛围营造</w:t>
            </w: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符合本项目大学生军事技能训练要求。</w:t>
            </w:r>
          </w:p>
        </w:tc>
        <w:tc>
          <w:tcPr>
            <w:tcW w:w="1095" w:type="dxa"/>
            <w:noWrap/>
            <w:vAlign w:val="center"/>
          </w:tcPr>
          <w:p>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leftChars="0" w:right="0" w:rightChars="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top"/>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仿真迫击炮</w:t>
            </w:r>
          </w:p>
        </w:tc>
        <w:tc>
          <w:tcPr>
            <w:tcW w:w="614"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门</w:t>
            </w:r>
          </w:p>
        </w:tc>
        <w:tc>
          <w:tcPr>
            <w:tcW w:w="490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主要材质为高密度复合金属，加固加厚，底座可充电，弹头为触发式（更安全）/可发射弹药（危险系数低，可燃系数低）/主要用于战场氛围营造，可模拟发射声光弹，符合本项目大学生军事技能训练要求。</w:t>
            </w: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210" w:leftChars="0" w:right="0" w:rightChars="0"/>
              <w:jc w:val="left"/>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p>
        </w:tc>
        <w:tc>
          <w:tcPr>
            <w:tcW w:w="1418" w:type="dxa"/>
            <w:vMerge w:val="continue"/>
            <w:noWrap w:val="0"/>
            <w:vAlign w:val="top"/>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14:textFill>
                  <w14:solidFill>
                    <w14:schemeClr w14:val="tx1"/>
                  </w14:solidFill>
                </w14:textFill>
              </w:rPr>
            </w:pPr>
          </w:p>
        </w:tc>
        <w:tc>
          <w:tcPr>
            <w:tcW w:w="1291"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仿真火箭筒</w:t>
            </w:r>
          </w:p>
        </w:tc>
        <w:tc>
          <w:tcPr>
            <w:tcW w:w="614"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585" w:type="dxa"/>
            <w:noWrap/>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14:textFill>
                  <w14:solidFill>
                    <w14:schemeClr w14:val="tx1"/>
                  </w14:solidFill>
                </w14:textFill>
              </w:rPr>
              <w:t>个</w:t>
            </w:r>
          </w:p>
        </w:tc>
        <w:tc>
          <w:tcPr>
            <w:tcW w:w="4905" w:type="dxa"/>
            <w:noWrap/>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主要材质为高分子塑胶，加固加厚/可发射弹药（危险系数低，可燃系数低）/主要用于战场氛围营造，可模拟发射声光弹。</w:t>
            </w:r>
          </w:p>
        </w:tc>
        <w:tc>
          <w:tcPr>
            <w:tcW w:w="1095" w:type="dxa"/>
            <w:noWrap/>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65" w:type="dxa"/>
            <w:noWrap/>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095" w:type="dxa"/>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c>
          <w:tcPr>
            <w:tcW w:w="1132" w:type="dxa"/>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ign w:val="center"/>
          </w:tcPr>
          <w:p>
            <w:pPr>
              <w:keepNext w:val="0"/>
              <w:keepLines w:val="0"/>
              <w:widowControl/>
              <w:numPr>
                <w:ilvl w:val="0"/>
                <w:numId w:val="0"/>
              </w:numPr>
              <w:suppressLineNumbers w:val="0"/>
              <w:tabs>
                <w:tab w:val="left" w:pos="-200"/>
              </w:tabs>
              <w:spacing w:before="0" w:beforeAutospacing="0" w:after="0" w:afterAutospacing="0" w:line="360" w:lineRule="auto"/>
              <w:ind w:left="0" w:leftChars="0" w:right="0" w:rightChars="0" w:firstLine="0" w:firstLineChars="0"/>
              <w:jc w:val="both"/>
              <w:textAlignment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合计</w:t>
            </w:r>
          </w:p>
        </w:tc>
        <w:tc>
          <w:tcPr>
            <w:tcW w:w="13200" w:type="dxa"/>
            <w:gridSpan w:val="9"/>
            <w:noWrap w:val="0"/>
            <w:vAlign w:val="center"/>
          </w:tcPr>
          <w:p>
            <w:pPr>
              <w:keepNext w:val="0"/>
              <w:keepLines w:val="0"/>
              <w:widowControl/>
              <w:suppressLineNumbers w:val="0"/>
              <w:spacing w:before="0" w:beforeAutospacing="0" w:after="0" w:afterAutospacing="0" w:line="360" w:lineRule="auto"/>
              <w:ind w:left="0" w:leftChars="0" w:right="0" w:rightChars="0" w:firstLine="482" w:firstLineChars="200"/>
              <w:jc w:val="left"/>
              <w:textAlignment w:val="center"/>
              <w:rPr>
                <w:rFonts w:hint="eastAsia" w:ascii="宋体" w:hAnsi="宋体" w:cs="宋体"/>
                <w:b/>
                <w:bCs/>
                <w:kern w:val="0"/>
                <w:sz w:val="24"/>
                <w:szCs w:val="24"/>
              </w:rPr>
            </w:pPr>
            <w:r>
              <w:rPr>
                <w:rFonts w:hint="eastAsia" w:ascii="宋体" w:hAnsi="宋体" w:cs="宋体"/>
                <w:b/>
                <w:bCs/>
                <w:kern w:val="0"/>
                <w:sz w:val="24"/>
                <w:szCs w:val="24"/>
              </w:rPr>
              <w:t xml:space="preserve">报价合计(包含税费等所用费用)：（大写）人民币 </w:t>
            </w:r>
            <w:r>
              <w:rPr>
                <w:rFonts w:hint="eastAsia" w:ascii="宋体" w:hAnsi="宋体" w:cs="宋体"/>
                <w:b/>
                <w:bCs/>
                <w:kern w:val="0"/>
                <w:sz w:val="24"/>
                <w:szCs w:val="24"/>
                <w:u w:val="single"/>
              </w:rPr>
              <w:t xml:space="preserve">                        </w:t>
            </w:r>
            <w:r>
              <w:rPr>
                <w:rFonts w:hint="eastAsia" w:ascii="宋体" w:hAnsi="宋体" w:cs="宋体"/>
                <w:b/>
                <w:bCs/>
                <w:kern w:val="0"/>
                <w:sz w:val="24"/>
                <w:szCs w:val="24"/>
              </w:rPr>
              <w:t>元（</w:t>
            </w:r>
            <w:r>
              <w:rPr>
                <w:rFonts w:hint="eastAsia" w:ascii="宋体" w:hAnsi="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cs="宋体"/>
                <w:b/>
                <w:bCs/>
                <w:kern w:val="0"/>
                <w:sz w:val="24"/>
                <w:szCs w:val="24"/>
                <w:u w:val="single"/>
              </w:rPr>
              <w:t xml:space="preserve">     </w:t>
            </w:r>
            <w:r>
              <w:rPr>
                <w:rFonts w:hint="eastAsia" w:ascii="宋体" w:hAnsi="宋体" w:cs="宋体"/>
                <w:b/>
                <w:bCs/>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72" w:type="dxa"/>
            <w:gridSpan w:val="10"/>
            <w:noWrap/>
            <w:vAlign w:val="center"/>
          </w:tcPr>
          <w:p>
            <w:pPr>
              <w:keepNext w:val="0"/>
              <w:keepLines w:val="0"/>
              <w:pageBreakBefore w:val="0"/>
              <w:suppressLineNumbers w:val="0"/>
              <w:kinsoku/>
              <w:wordWrap/>
              <w:overflowPunct/>
              <w:topLinePunct w:val="0"/>
              <w:bidi w:val="0"/>
              <w:snapToGrid/>
              <w:spacing w:beforeAutospacing="0" w:afterAutospacing="0" w:line="400" w:lineRule="exact"/>
              <w:ind w:left="0" w:leftChars="0" w:right="0" w:firstLine="420" w:firstLineChars="200"/>
              <w:jc w:val="left"/>
              <w:rPr>
                <w:rFonts w:hint="eastAsia"/>
              </w:rPr>
            </w:pPr>
            <w:r>
              <w:rPr>
                <w:rFonts w:hint="eastAsia"/>
              </w:rPr>
              <w:t>商务响应：</w:t>
            </w:r>
          </w:p>
          <w:p>
            <w:pPr>
              <w:keepNext w:val="0"/>
              <w:keepLines w:val="0"/>
              <w:pageBreakBefore w:val="0"/>
              <w:suppressLineNumbers w:val="0"/>
              <w:kinsoku/>
              <w:wordWrap/>
              <w:overflowPunct/>
              <w:topLinePunct w:val="0"/>
              <w:bidi w:val="0"/>
              <w:snapToGrid/>
              <w:spacing w:beforeAutospacing="0" w:afterAutospacing="0" w:line="400" w:lineRule="exact"/>
              <w:ind w:left="0" w:leftChars="0" w:right="0" w:firstLine="420" w:firstLineChars="200"/>
              <w:jc w:val="left"/>
              <w:rPr>
                <w:rFonts w:hint="eastAsia"/>
                <w:lang w:val="en-US" w:eastAsia="zh-CN"/>
              </w:rPr>
            </w:pPr>
            <w:r>
              <w:rPr>
                <w:rFonts w:hint="eastAsia"/>
                <w:lang w:val="en-US" w:eastAsia="zh-CN"/>
              </w:rPr>
              <w:t>1.交付期限：器械分批次供货，以采购人通知为准。</w:t>
            </w:r>
          </w:p>
          <w:p>
            <w:pPr>
              <w:keepNext w:val="0"/>
              <w:keepLines w:val="0"/>
              <w:pageBreakBefore w:val="0"/>
              <w:widowControl/>
              <w:suppressLineNumbers w:val="0"/>
              <w:kinsoku/>
              <w:wordWrap/>
              <w:overflowPunct/>
              <w:topLinePunct w:val="0"/>
              <w:bidi w:val="0"/>
              <w:snapToGrid/>
              <w:spacing w:beforeAutospacing="0" w:afterAutospacing="0" w:line="400" w:lineRule="exact"/>
              <w:ind w:right="0" w:firstLine="420" w:firstLineChars="200"/>
              <w:jc w:val="left"/>
              <w:textAlignment w:val="center"/>
              <w:rPr>
                <w:rFonts w:hint="eastAsia"/>
                <w:lang w:val="en-US" w:eastAsia="zh-CN"/>
              </w:rPr>
            </w:pPr>
            <w:r>
              <w:rPr>
                <w:rFonts w:hint="eastAsia"/>
                <w:lang w:val="en-US" w:eastAsia="zh-CN"/>
              </w:rPr>
              <w:t>2.服务地点：广西财经学院内采购人指定地点。</w:t>
            </w:r>
          </w:p>
          <w:p>
            <w:pPr>
              <w:keepNext w:val="0"/>
              <w:keepLines w:val="0"/>
              <w:pageBreakBefore w:val="0"/>
              <w:widowControl/>
              <w:suppressLineNumbers w:val="0"/>
              <w:kinsoku/>
              <w:wordWrap/>
              <w:overflowPunct/>
              <w:topLinePunct w:val="0"/>
              <w:bidi w:val="0"/>
              <w:snapToGrid/>
              <w:spacing w:beforeAutospacing="0" w:afterAutospacing="0" w:line="400" w:lineRule="exact"/>
              <w:ind w:right="0" w:firstLine="420" w:firstLineChars="200"/>
              <w:jc w:val="left"/>
              <w:textAlignment w:val="center"/>
              <w:rPr>
                <w:rFonts w:hint="eastAsia"/>
                <w:lang w:val="en-US" w:eastAsia="zh-CN"/>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rPr>
              <w:t>质保期：</w:t>
            </w:r>
            <w:r>
              <w:rPr>
                <w:rFonts w:hint="eastAsia" w:ascii="宋体" w:hAnsi="宋体" w:eastAsia="宋体" w:cs="宋体"/>
                <w:b w:val="0"/>
                <w:bCs w:val="0"/>
                <w:lang w:val="en-US" w:eastAsia="zh-CN"/>
              </w:rPr>
              <w:t>采购部分的非一次性消耗品</w:t>
            </w:r>
            <w:r>
              <w:rPr>
                <w:rFonts w:hint="eastAsia" w:ascii="宋体" w:hAnsi="宋体" w:eastAsia="宋体" w:cs="宋体"/>
                <w:b w:val="0"/>
                <w:bCs w:val="0"/>
                <w:kern w:val="0"/>
                <w:sz w:val="21"/>
                <w:szCs w:val="21"/>
              </w:rPr>
              <w:t>自双方代表在货物验收单上签字之日起</w:t>
            </w:r>
            <w:r>
              <w:rPr>
                <w:rFonts w:hint="eastAsia" w:ascii="宋体" w:hAnsi="宋体" w:eastAsia="宋体" w:cs="宋体"/>
                <w:b w:val="0"/>
                <w:bCs w:val="0"/>
                <w:color w:val="000000" w:themeColor="text1"/>
                <w:kern w:val="0"/>
                <w:sz w:val="21"/>
                <w:szCs w:val="21"/>
                <w14:textFill>
                  <w14:solidFill>
                    <w14:schemeClr w14:val="tx1"/>
                  </w14:solidFill>
                </w14:textFill>
              </w:rPr>
              <w:t>12</w:t>
            </w:r>
            <w:r>
              <w:rPr>
                <w:rFonts w:hint="eastAsia" w:ascii="宋体" w:hAnsi="宋体" w:eastAsia="宋体" w:cs="宋体"/>
                <w:b w:val="0"/>
                <w:bCs w:val="0"/>
                <w:kern w:val="0"/>
                <w:sz w:val="21"/>
                <w:szCs w:val="21"/>
              </w:rPr>
              <w:t>个月。</w:t>
            </w:r>
          </w:p>
          <w:p>
            <w:pPr>
              <w:keepNext w:val="0"/>
              <w:keepLines w:val="0"/>
              <w:pageBreakBefore w:val="0"/>
              <w:widowControl w:val="0"/>
              <w:suppressLineNumbers w:val="0"/>
              <w:kinsoku/>
              <w:wordWrap/>
              <w:overflowPunct/>
              <w:topLinePunct w:val="0"/>
              <w:bidi w:val="0"/>
              <w:snapToGrid/>
              <w:spacing w:beforeAutospacing="0" w:afterAutospacing="0" w:line="400" w:lineRule="exact"/>
              <w:ind w:right="0" w:firstLine="420" w:firstLineChars="200"/>
              <w:jc w:val="both"/>
              <w:textAlignment w:val="auto"/>
              <w:outlineLvl w:val="9"/>
              <w:rPr>
                <w:rFonts w:hint="eastAsia" w:ascii="宋体" w:hAnsi="宋体" w:cs="宋体"/>
                <w:color w:val="auto"/>
                <w:sz w:val="21"/>
                <w:szCs w:val="21"/>
                <w:highlight w:val="none"/>
                <w:lang w:eastAsia="zh-CN"/>
              </w:rPr>
            </w:pPr>
            <w:r>
              <w:rPr>
                <w:rFonts w:hint="eastAsia"/>
                <w:lang w:val="en-US" w:eastAsia="zh-CN"/>
              </w:rPr>
              <w:t>4.</w:t>
            </w:r>
            <w:r>
              <w:rPr>
                <w:rFonts w:hint="eastAsia" w:ascii="宋体" w:hAnsi="宋体" w:eastAsia="宋体" w:cs="宋体"/>
                <w:color w:val="auto"/>
                <w:sz w:val="21"/>
                <w:szCs w:val="21"/>
                <w:highlight w:val="none"/>
                <w:lang w:val="en-US" w:eastAsia="zh-CN"/>
              </w:rPr>
              <w:t>采购部分</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售后服务要求</w:t>
            </w:r>
            <w:r>
              <w:rPr>
                <w:rFonts w:hint="eastAsia" w:ascii="宋体" w:hAnsi="宋体" w:cs="宋体"/>
                <w:color w:val="auto"/>
                <w:sz w:val="21"/>
                <w:szCs w:val="21"/>
                <w:highlight w:val="none"/>
                <w:lang w:eastAsia="zh-CN"/>
              </w:rPr>
              <w:t>：</w:t>
            </w:r>
          </w:p>
          <w:p>
            <w:pPr>
              <w:keepNext w:val="0"/>
              <w:keepLines w:val="0"/>
              <w:pageBreakBefore w:val="0"/>
              <w:widowControl w:val="0"/>
              <w:suppressLineNumbers w:val="0"/>
              <w:kinsoku/>
              <w:wordWrap/>
              <w:overflowPunct/>
              <w:topLinePunct w:val="0"/>
              <w:bidi w:val="0"/>
              <w:snapToGrid/>
              <w:spacing w:beforeAutospacing="0" w:afterAutospacing="0" w:line="400" w:lineRule="exact"/>
              <w:ind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采购人遇到使用或技术问题，电话咨询不能解决的，供应商应在</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小时内到达现场进行处理，到达现场后</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小时内排除故障，恢复正常使用。必须按国家及行业标准对故障进行及时处理。</w:t>
            </w:r>
          </w:p>
          <w:p>
            <w:pPr>
              <w:keepNext w:val="0"/>
              <w:keepLines w:val="0"/>
              <w:pageBreakBefore w:val="0"/>
              <w:widowControl w:val="0"/>
              <w:suppressLineNumbers w:val="0"/>
              <w:kinsoku/>
              <w:wordWrap/>
              <w:overflowPunct/>
              <w:topLinePunct w:val="0"/>
              <w:bidi w:val="0"/>
              <w:snapToGrid/>
              <w:spacing w:beforeAutospacing="0" w:afterAutospacing="0" w:line="400" w:lineRule="exact"/>
              <w:ind w:left="0" w:leftChars="0"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所供产品必须符合相关国家、地方标准，如采购人发现所提供的产品不符合要求的，有权要求在24小时内进行退换合格产品。</w:t>
            </w:r>
          </w:p>
          <w:p>
            <w:pPr>
              <w:keepNext w:val="0"/>
              <w:keepLines w:val="0"/>
              <w:pageBreakBefore w:val="0"/>
              <w:widowControl w:val="0"/>
              <w:suppressLineNumbers w:val="0"/>
              <w:kinsoku/>
              <w:wordWrap/>
              <w:overflowPunct/>
              <w:topLinePunct w:val="0"/>
              <w:bidi w:val="0"/>
              <w:snapToGrid/>
              <w:spacing w:beforeAutospacing="0" w:afterAutospacing="0" w:line="400" w:lineRule="exact"/>
              <w:ind w:left="0" w:leftChars="0" w:right="0" w:firstLine="420" w:firstLineChars="200"/>
              <w:jc w:val="both"/>
              <w:textAlignment w:val="auto"/>
              <w:outlineLvl w:val="9"/>
              <w:rPr>
                <w:rFonts w:hint="default"/>
                <w:lang w:val="en-US" w:eastAsia="zh-CN"/>
              </w:rPr>
            </w:pPr>
            <w:r>
              <w:rPr>
                <w:rFonts w:hint="eastAsia" w:ascii="宋体" w:hAnsi="宋体" w:eastAsia="宋体" w:cs="宋体"/>
                <w:color w:val="auto"/>
                <w:kern w:val="0"/>
                <w:sz w:val="21"/>
                <w:szCs w:val="21"/>
                <w:highlight w:val="none"/>
                <w:lang w:val="en-US" w:eastAsia="zh-CN" w:bidi="ar-SA"/>
              </w:rPr>
              <w:t>（4）供应商须提供上门服务，</w:t>
            </w:r>
            <w:r>
              <w:rPr>
                <w:rFonts w:hint="eastAsia" w:ascii="宋体" w:hAnsi="宋体" w:eastAsia="宋体" w:cs="宋体"/>
                <w:color w:val="auto"/>
                <w:kern w:val="0"/>
                <w:sz w:val="21"/>
                <w:szCs w:val="21"/>
                <w:highlight w:val="none"/>
              </w:rPr>
              <w:t>不得以任何理由加收上门服务费</w:t>
            </w:r>
            <w:r>
              <w:rPr>
                <w:rFonts w:hint="eastAsia" w:ascii="宋体" w:hAnsi="宋体" w:eastAsia="宋体" w:cs="宋体"/>
                <w:color w:val="auto"/>
                <w:kern w:val="0"/>
                <w:sz w:val="21"/>
                <w:szCs w:val="21"/>
                <w:highlight w:val="none"/>
                <w:lang w:eastAsia="zh-CN"/>
              </w:rPr>
              <w:t>。</w:t>
            </w:r>
          </w:p>
          <w:p>
            <w:pPr>
              <w:pStyle w:val="2"/>
              <w:keepNext w:val="0"/>
              <w:keepLines w:val="0"/>
              <w:pageBreakBefore w:val="0"/>
              <w:kinsoku/>
              <w:wordWrap/>
              <w:overflowPunct/>
              <w:topLinePunct w:val="0"/>
              <w:bidi w:val="0"/>
              <w:snapToGrid/>
              <w:spacing w:after="0" w:line="400" w:lineRule="exact"/>
              <w:ind w:firstLine="420" w:firstLineChars="200"/>
              <w:rPr>
                <w:rFonts w:hint="eastAsia"/>
                <w:lang w:eastAsia="zh-CN"/>
              </w:rPr>
            </w:pPr>
            <w:r>
              <w:rPr>
                <w:rFonts w:hint="eastAsia"/>
                <w:lang w:val="en-US" w:eastAsia="zh-CN"/>
              </w:rPr>
              <w:t>5.租赁部分的货物每批次的租赁期限为自完成交货、安装、调试并经采购人验收合格之日起至当次军训结束；</w:t>
            </w:r>
            <w:r>
              <w:rPr>
                <w:rFonts w:hint="eastAsia"/>
                <w:lang w:eastAsia="zh-CN"/>
              </w:rPr>
              <w:t>租赁期限满后由供应商自行到采购人指定场地拆除、整理并回收租赁货物。</w:t>
            </w:r>
          </w:p>
          <w:p>
            <w:pPr>
              <w:pStyle w:val="3"/>
              <w:keepNext w:val="0"/>
              <w:keepLines w:val="0"/>
              <w:pageBreakBefore w:val="0"/>
              <w:kinsoku/>
              <w:wordWrap/>
              <w:overflowPunct/>
              <w:topLinePunct w:val="0"/>
              <w:bidi w:val="0"/>
              <w:snapToGrid/>
              <w:spacing w:beforeLines="0" w:afterLines="0" w:line="400" w:lineRule="exact"/>
              <w:ind w:firstLine="420"/>
              <w:rPr>
                <w:rFonts w:hint="eastAsia" w:hAnsi="宋体" w:cs="宋体"/>
                <w:color w:val="auto"/>
                <w:sz w:val="21"/>
                <w:szCs w:val="21"/>
                <w:highlight w:val="none"/>
                <w:lang w:val="en-US" w:eastAsia="zh-CN"/>
              </w:rPr>
            </w:pPr>
            <w:r>
              <w:rPr>
                <w:rFonts w:hint="eastAsia"/>
                <w:lang w:val="en-US" w:eastAsia="zh-CN"/>
              </w:rPr>
              <w:t>6.</w:t>
            </w:r>
            <w:r>
              <w:rPr>
                <w:rFonts w:hint="eastAsia" w:ascii="宋体" w:hAnsi="宋体" w:cs="宋体"/>
                <w:color w:val="auto"/>
                <w:sz w:val="21"/>
                <w:szCs w:val="21"/>
                <w:highlight w:val="none"/>
                <w:lang w:val="en-US" w:eastAsia="zh-CN"/>
              </w:rPr>
              <w:t>租赁部分的货物售后服务要求</w:t>
            </w:r>
            <w:r>
              <w:rPr>
                <w:rFonts w:hint="eastAsia" w:hAnsi="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bidi w:val="0"/>
              <w:snapToGrid/>
              <w:spacing w:beforeAutospacing="0" w:afterAutospacing="0" w:line="400" w:lineRule="exact"/>
              <w:ind w:left="0" w:leftChars="0"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）现场响应：采购人遇到使用或技术问题，电话咨询不能解决的，供应商应在</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小时内到达现场进行处理，到达现场后</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小时内排除故障，恢复正常使用。必须按国家及行业标准对故障进行及时处理。</w:t>
            </w:r>
          </w:p>
          <w:p>
            <w:pPr>
              <w:keepNext w:val="0"/>
              <w:keepLines w:val="0"/>
              <w:pageBreakBefore w:val="0"/>
              <w:widowControl w:val="0"/>
              <w:suppressLineNumbers w:val="0"/>
              <w:kinsoku/>
              <w:wordWrap/>
              <w:overflowPunct/>
              <w:topLinePunct w:val="0"/>
              <w:bidi w:val="0"/>
              <w:snapToGrid/>
              <w:spacing w:beforeAutospacing="0" w:afterAutospacing="0" w:line="400" w:lineRule="exact"/>
              <w:ind w:left="0" w:leftChars="0" w:right="0" w:firstLine="420" w:firstLineChars="200"/>
              <w:jc w:val="both"/>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所供产品必须符合相关国家、地方标准，如采购人发现所提供的产品不符合要求的，有权要求在24小时内进行退换。</w:t>
            </w:r>
          </w:p>
          <w:p>
            <w:pPr>
              <w:keepNext w:val="0"/>
              <w:keepLines w:val="0"/>
              <w:pageBreakBefore w:val="0"/>
              <w:suppressLineNumbers w:val="0"/>
              <w:kinsoku/>
              <w:wordWrap/>
              <w:overflowPunct/>
              <w:topLinePunct w:val="0"/>
              <w:bidi w:val="0"/>
              <w:snapToGrid/>
              <w:spacing w:beforeAutospacing="0" w:afterAutospacing="0" w:line="400" w:lineRule="exact"/>
              <w:ind w:left="0" w:right="0" w:firstLine="420" w:firstLineChars="200"/>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）供应商须提供上门服务，</w:t>
            </w:r>
            <w:r>
              <w:rPr>
                <w:rFonts w:hint="eastAsia" w:ascii="宋体" w:hAnsi="宋体" w:eastAsia="宋体" w:cs="宋体"/>
                <w:color w:val="auto"/>
                <w:kern w:val="0"/>
                <w:sz w:val="21"/>
                <w:szCs w:val="21"/>
                <w:highlight w:val="none"/>
              </w:rPr>
              <w:t>不得以任何理由加收上门服务费</w:t>
            </w:r>
            <w:r>
              <w:rPr>
                <w:rFonts w:hint="eastAsia" w:ascii="宋体" w:hAnsi="宋体" w:eastAsia="宋体" w:cs="宋体"/>
                <w:color w:val="auto"/>
                <w:kern w:val="0"/>
                <w:sz w:val="21"/>
                <w:szCs w:val="21"/>
                <w:highlight w:val="none"/>
                <w:lang w:eastAsia="zh-CN"/>
              </w:rPr>
              <w:t>。</w:t>
            </w:r>
          </w:p>
          <w:p>
            <w:pPr>
              <w:pStyle w:val="3"/>
              <w:keepNext w:val="0"/>
              <w:keepLines w:val="0"/>
              <w:pageBreakBefore w:val="0"/>
              <w:kinsoku/>
              <w:wordWrap/>
              <w:overflowPunct/>
              <w:topLinePunct w:val="0"/>
              <w:bidi w:val="0"/>
              <w:snapToGrid/>
              <w:spacing w:beforeLines="0" w:afterLines="0" w:line="400" w:lineRule="exact"/>
              <w:ind w:firstLine="420" w:firstLineChars="200"/>
              <w:rPr>
                <w:rFonts w:hint="default" w:hAnsi="宋体" w:cs="宋体"/>
                <w:color w:val="auto"/>
                <w:sz w:val="21"/>
                <w:szCs w:val="21"/>
                <w:highlight w:val="none"/>
                <w:lang w:val="en-US"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）供应商在货物租赁期间应当配合采购人做好军事技能训练期间其所提供的军训器械的技术指导，并负责租赁物的日常管理。</w:t>
            </w:r>
          </w:p>
        </w:tc>
      </w:tr>
    </w:tbl>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报价公司（盖公章）：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法定代表人签字：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报价时间：     年  月  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联系人及电话：</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2F7B9"/>
    <w:multiLevelType w:val="singleLevel"/>
    <w:tmpl w:val="4592F7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OWM3MDFiNjZhZmE4NWQzY2NkMGJmZDkxYWRjNmIifQ=="/>
  </w:docVars>
  <w:rsids>
    <w:rsidRoot w:val="75A82B76"/>
    <w:rsid w:val="00C00A9E"/>
    <w:rsid w:val="01CA5CC8"/>
    <w:rsid w:val="02F300B2"/>
    <w:rsid w:val="04BD0514"/>
    <w:rsid w:val="05325B7B"/>
    <w:rsid w:val="05812B41"/>
    <w:rsid w:val="070754A1"/>
    <w:rsid w:val="075E75DE"/>
    <w:rsid w:val="076444C8"/>
    <w:rsid w:val="08C711B3"/>
    <w:rsid w:val="096F0008"/>
    <w:rsid w:val="0A740EC6"/>
    <w:rsid w:val="115B693C"/>
    <w:rsid w:val="13785584"/>
    <w:rsid w:val="17EB3EBE"/>
    <w:rsid w:val="18003D99"/>
    <w:rsid w:val="1ADD3E43"/>
    <w:rsid w:val="1BFC453C"/>
    <w:rsid w:val="204213F3"/>
    <w:rsid w:val="20646293"/>
    <w:rsid w:val="24725679"/>
    <w:rsid w:val="25686927"/>
    <w:rsid w:val="27EE7E13"/>
    <w:rsid w:val="29B45034"/>
    <w:rsid w:val="2BAF1907"/>
    <w:rsid w:val="2C02412C"/>
    <w:rsid w:val="2C537074"/>
    <w:rsid w:val="31556940"/>
    <w:rsid w:val="31F44517"/>
    <w:rsid w:val="328C5594"/>
    <w:rsid w:val="350B22A4"/>
    <w:rsid w:val="35474F38"/>
    <w:rsid w:val="37313B18"/>
    <w:rsid w:val="37321E9F"/>
    <w:rsid w:val="39477622"/>
    <w:rsid w:val="3F1E2D5E"/>
    <w:rsid w:val="40D40653"/>
    <w:rsid w:val="45E05087"/>
    <w:rsid w:val="462A4554"/>
    <w:rsid w:val="47CF0EAE"/>
    <w:rsid w:val="4C2C208C"/>
    <w:rsid w:val="4E246B25"/>
    <w:rsid w:val="500B0950"/>
    <w:rsid w:val="50642410"/>
    <w:rsid w:val="50DD1B6F"/>
    <w:rsid w:val="513756A7"/>
    <w:rsid w:val="52072DED"/>
    <w:rsid w:val="522307D5"/>
    <w:rsid w:val="53D621B6"/>
    <w:rsid w:val="54D327C5"/>
    <w:rsid w:val="54ED0C26"/>
    <w:rsid w:val="553625CD"/>
    <w:rsid w:val="556D15B7"/>
    <w:rsid w:val="5A56101C"/>
    <w:rsid w:val="5C491C4D"/>
    <w:rsid w:val="5E616FBB"/>
    <w:rsid w:val="5F714FD5"/>
    <w:rsid w:val="62E96ED1"/>
    <w:rsid w:val="65C459D3"/>
    <w:rsid w:val="66721579"/>
    <w:rsid w:val="668F6637"/>
    <w:rsid w:val="66AA6977"/>
    <w:rsid w:val="6893490A"/>
    <w:rsid w:val="6E7F50C9"/>
    <w:rsid w:val="71FB452B"/>
    <w:rsid w:val="7298218F"/>
    <w:rsid w:val="75A82B76"/>
    <w:rsid w:val="764778C8"/>
    <w:rsid w:val="7BCE4A5E"/>
    <w:rsid w:val="7C43369E"/>
    <w:rsid w:val="7DA805DC"/>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0"/>
    <w:pPr>
      <w:spacing w:after="120"/>
    </w:pPr>
  </w:style>
  <w:style w:type="paragraph" w:customStyle="1" w:styleId="3">
    <w:name w:val="Default"/>
    <w:autoRedefine/>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4073</Words>
  <Characters>4413</Characters>
  <Lines>0</Lines>
  <Paragraphs>0</Paragraphs>
  <TotalTime>60</TotalTime>
  <ScaleCrop>false</ScaleCrop>
  <LinksUpToDate>false</LinksUpToDate>
  <CharactersWithSpaces>5109</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2023-06-19T05:59:00Z</dcterms:created>
  <dc:creator>肖峻峰</dc:creator>
  <cp:lastModifiedBy>weiling</cp:lastModifiedBy>
  <cp:lastPrinted>2023-06-19T07:45:00Z</cp:lastPrinted>
  <dcterms:modified xsi:type="dcterms:W3CDTF">2024-10-17T02:55:12Z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B6DFBE9D3A804C2E9F3BCAE29E51E6D5_11</vt:lpwstr>
  </property>
</Properties>
</file>