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p>
    <w:p>
      <w:pPr>
        <w:jc w:val="center"/>
        <w:rPr>
          <w:rFonts w:hint="eastAsia" w:ascii="黑体" w:hAnsi="黑体" w:eastAsia="黑体" w:cs="黑体"/>
          <w:b/>
          <w:bCs/>
          <w:sz w:val="44"/>
          <w:szCs w:val="44"/>
          <w:lang w:val="en-US" w:eastAsia="zh-CN"/>
        </w:rPr>
      </w:pPr>
      <w:r>
        <w:rPr>
          <w:rFonts w:hint="eastAsia" w:ascii="仿宋_GB2312" w:hAnsi="仿宋" w:eastAsia="仿宋_GB2312"/>
          <w:b/>
          <w:sz w:val="36"/>
          <w:szCs w:val="36"/>
          <w:lang w:val="en-US" w:eastAsia="zh-CN"/>
        </w:rPr>
        <w:t>广西财经学院2024年学生军训器械采购及租赁项目（重）报价</w:t>
      </w:r>
      <w:r>
        <w:rPr>
          <w:rFonts w:hint="eastAsia" w:ascii="仿宋_GB2312" w:hAnsi="仿宋" w:eastAsia="仿宋_GB2312"/>
          <w:b/>
          <w:sz w:val="36"/>
          <w:szCs w:val="36"/>
        </w:rPr>
        <w:t>表</w:t>
      </w:r>
    </w:p>
    <w:tbl>
      <w:tblPr>
        <w:tblStyle w:val="6"/>
        <w:tblpPr w:leftFromText="180" w:rightFromText="180" w:vertAnchor="text" w:horzAnchor="page" w:tblpX="1673" w:tblpY="975"/>
        <w:tblOverlap w:val="never"/>
        <w:tblW w:w="13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418"/>
        <w:gridCol w:w="1291"/>
        <w:gridCol w:w="614"/>
        <w:gridCol w:w="585"/>
        <w:gridCol w:w="4905"/>
        <w:gridCol w:w="1095"/>
        <w:gridCol w:w="1065"/>
        <w:gridCol w:w="1095"/>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72" w:type="dxa"/>
            <w:gridSpan w:val="10"/>
            <w:noWrap/>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b/>
                <w:bCs/>
                <w:color w:val="000000" w:themeColor="text1"/>
                <w:kern w:val="2"/>
                <w:sz w:val="21"/>
                <w:szCs w:val="2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lang w:val="en-US" w:eastAsia="zh-CN"/>
                <w14:textFill>
                  <w14:solidFill>
                    <w14:schemeClr w14:val="tx1"/>
                  </w14:solidFill>
                </w14:textFill>
              </w:rPr>
              <w:t>一、采购部分的货物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14:textFill>
                  <w14:solidFill>
                    <w14:schemeClr w14:val="tx1"/>
                  </w14:solidFill>
                </w14:textFill>
              </w:rPr>
              <w:t>序号</w:t>
            </w:r>
          </w:p>
        </w:tc>
        <w:tc>
          <w:tcPr>
            <w:tcW w:w="1418"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kern w:val="0"/>
                <w:sz w:val="21"/>
                <w:szCs w:val="21"/>
                <w:highlight w:val="none"/>
                <w:lang w:val="en-US" w:eastAsia="zh-CN"/>
                <w14:textFill>
                  <w14:solidFill>
                    <w14:schemeClr w14:val="tx1"/>
                  </w14:solidFill>
                </w14:textFill>
              </w:rPr>
              <w:t>科目</w:t>
            </w:r>
          </w:p>
        </w:tc>
        <w:tc>
          <w:tcPr>
            <w:tcW w:w="1291"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lang w:eastAsia="zh-CN"/>
                <w14:textFill>
                  <w14:solidFill>
                    <w14:schemeClr w14:val="tx1"/>
                  </w14:solidFill>
                </w14:textFill>
              </w:rPr>
              <w:t>货物</w:t>
            </w:r>
            <w:r>
              <w:rPr>
                <w:rFonts w:hint="eastAsia" w:ascii="仿宋_GB2312" w:hAnsi="仿宋_GB2312" w:eastAsia="仿宋_GB2312" w:cs="仿宋_GB2312"/>
                <w:b/>
                <w:bCs/>
                <w:color w:val="000000" w:themeColor="text1"/>
                <w:sz w:val="21"/>
                <w:szCs w:val="21"/>
                <w:highlight w:val="none"/>
                <w14:textFill>
                  <w14:solidFill>
                    <w14:schemeClr w14:val="tx1"/>
                  </w14:solidFill>
                </w14:textFill>
              </w:rPr>
              <w:t>名称</w:t>
            </w:r>
          </w:p>
        </w:tc>
        <w:tc>
          <w:tcPr>
            <w:tcW w:w="61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lang w:val="en-US" w:eastAsia="zh-CN"/>
                <w14:textFill>
                  <w14:solidFill>
                    <w14:schemeClr w14:val="tx1"/>
                  </w14:solidFill>
                </w14:textFill>
              </w:rPr>
              <w:t>数量</w:t>
            </w:r>
          </w:p>
        </w:tc>
        <w:tc>
          <w:tcPr>
            <w:tcW w:w="585"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b/>
                <w:bCs/>
                <w:color w:val="000000" w:themeColor="text1"/>
                <w:kern w:val="0"/>
                <w:sz w:val="21"/>
                <w:szCs w:val="21"/>
                <w:highlight w:val="none"/>
                <w:lang w:eastAsia="zh-CN"/>
                <w14:textFill>
                  <w14:solidFill>
                    <w14:schemeClr w14:val="tx1"/>
                  </w14:solidFill>
                </w14:textFill>
              </w:rPr>
              <w:t>单位</w:t>
            </w:r>
          </w:p>
        </w:tc>
        <w:tc>
          <w:tcPr>
            <w:tcW w:w="4905"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2"/>
                <w:sz w:val="21"/>
                <w:szCs w:val="21"/>
                <w:highlight w:val="none"/>
                <w:lang w:val="en-US" w:eastAsia="zh-CN"/>
                <w14:textFill>
                  <w14:solidFill>
                    <w14:schemeClr w14:val="tx1"/>
                  </w14:solidFill>
                </w14:textFill>
              </w:rPr>
              <w:t>技术需求</w:t>
            </w:r>
          </w:p>
        </w:tc>
        <w:tc>
          <w:tcPr>
            <w:tcW w:w="10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lang w:val="en-US" w:eastAsia="zh-CN"/>
                <w14:textFill>
                  <w14:solidFill>
                    <w14:schemeClr w14:val="tx1"/>
                  </w14:solidFill>
                </w14:textFill>
              </w:rPr>
              <w:t>单价</w:t>
            </w:r>
          </w:p>
        </w:tc>
        <w:tc>
          <w:tcPr>
            <w:tcW w:w="106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bCs/>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highlight w:val="none"/>
                <w:lang w:val="en-US" w:eastAsia="zh-CN" w:bidi="ar-SA"/>
                <w14:textFill>
                  <w14:solidFill>
                    <w14:schemeClr w14:val="tx1"/>
                  </w14:solidFill>
                </w14:textFill>
              </w:rPr>
              <w:t>金额</w:t>
            </w:r>
          </w:p>
        </w:tc>
        <w:tc>
          <w:tcPr>
            <w:tcW w:w="10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bCs/>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highlight w:val="none"/>
                <w:lang w:val="en-US" w:eastAsia="zh-CN" w:bidi="ar-SA"/>
                <w14:textFill>
                  <w14:solidFill>
                    <w14:schemeClr w14:val="tx1"/>
                  </w14:solidFill>
                </w14:textFill>
              </w:rPr>
              <w:t>是否响应</w:t>
            </w:r>
          </w:p>
        </w:tc>
        <w:tc>
          <w:tcPr>
            <w:tcW w:w="1132"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bCs/>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1</w:t>
            </w:r>
          </w:p>
        </w:tc>
        <w:tc>
          <w:tcPr>
            <w:tcW w:w="141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战术训练</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（含单兵、班战术）</w:t>
            </w:r>
          </w:p>
        </w:tc>
        <w:tc>
          <w:tcPr>
            <w:tcW w:w="1291" w:type="dxa"/>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脸部伪装油彩</w:t>
            </w:r>
          </w:p>
        </w:tc>
        <w:tc>
          <w:tcPr>
            <w:tcW w:w="614" w:type="dxa"/>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w:t>
            </w:r>
          </w:p>
        </w:tc>
        <w:tc>
          <w:tcPr>
            <w:tcW w:w="585" w:type="dxa"/>
            <w:noWrap/>
            <w:vAlign w:val="center"/>
          </w:tcPr>
          <w:p>
            <w:pPr>
              <w:keepNext w:val="0"/>
              <w:keepLines w:val="0"/>
              <w:widowControl/>
              <w:suppressLineNumbers w:val="0"/>
              <w:spacing w:before="0" w:beforeAutospacing="0" w:after="0" w:afterAutospacing="0"/>
              <w:ind w:left="0" w:leftChars="0" w:right="0" w:rightChars="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盒</w:t>
            </w:r>
          </w:p>
        </w:tc>
        <w:tc>
          <w:tcPr>
            <w:tcW w:w="4905" w:type="dxa"/>
            <w:noWrap/>
            <w:vAlign w:val="center"/>
          </w:tcPr>
          <w:p>
            <w:pPr>
              <w:keepNext w:val="0"/>
              <w:keepLines w:val="0"/>
              <w:widowControl/>
              <w:suppressLineNumbers w:val="0"/>
              <w:spacing w:before="0" w:beforeAutospacing="0" w:after="0" w:afterAutospacing="0" w:line="360" w:lineRule="auto"/>
              <w:ind w:left="0" w:leftChars="0" w:right="0" w:rightChars="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盒装、塑料旋转管，</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每盒3支</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包含黑色、军绿色、棕色3种颜色</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，每盒重量450克（±2%），不伤肤。</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restart"/>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2</w:t>
            </w:r>
          </w:p>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c>
          <w:tcPr>
            <w:tcW w:w="1418"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战场医疗救护与核生化防护</w:t>
            </w:r>
          </w:p>
        </w:tc>
        <w:tc>
          <w:tcPr>
            <w:tcW w:w="129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1"/>
                <w:szCs w:val="21"/>
                <w:u w:val="none"/>
                <w:lang w:val="en-US" w:eastAsia="zh-CN" w:bidi="ar"/>
              </w:rPr>
              <w:t>防毒面具</w:t>
            </w:r>
          </w:p>
        </w:tc>
        <w:tc>
          <w:tcPr>
            <w:tcW w:w="614" w:type="dxa"/>
            <w:noWrap/>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50</w:t>
            </w:r>
          </w:p>
        </w:tc>
        <w:tc>
          <w:tcPr>
            <w:tcW w:w="585" w:type="dxa"/>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个</w:t>
            </w:r>
          </w:p>
        </w:tc>
        <w:tc>
          <w:tcPr>
            <w:tcW w:w="4905"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1"/>
                <w:szCs w:val="21"/>
                <w:u w:val="none"/>
                <w:lang w:val="en-US" w:eastAsia="zh-CN" w:bidi="ar"/>
              </w:rPr>
              <w:t>主要材质为天然橡胶、活性炭滤毒盒、KN95滤棉；可用于发生火灾和有毒气体环境中的人员的防护，有效保护呼吸器官、眼睛以及面部皮肤，</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符合本项目大学生军事技能训练要求。</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c>
          <w:tcPr>
            <w:tcW w:w="141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1"/>
                <w:szCs w:val="21"/>
                <w:u w:val="none"/>
                <w:lang w:val="en-US" w:eastAsia="zh-CN" w:bidi="ar"/>
              </w:rPr>
              <w:t>三角巾</w:t>
            </w:r>
          </w:p>
        </w:tc>
        <w:tc>
          <w:tcPr>
            <w:tcW w:w="614"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1"/>
                <w:szCs w:val="21"/>
                <w:u w:val="none"/>
                <w:lang w:val="en-US" w:eastAsia="zh-CN" w:bidi="ar"/>
              </w:rPr>
              <w:t>600</w:t>
            </w:r>
          </w:p>
        </w:tc>
        <w:tc>
          <w:tcPr>
            <w:tcW w:w="585" w:type="dxa"/>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个</w:t>
            </w:r>
          </w:p>
        </w:tc>
        <w:tc>
          <w:tcPr>
            <w:tcW w:w="4905"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1"/>
                <w:szCs w:val="21"/>
                <w:u w:val="none"/>
                <w:lang w:val="en-US" w:eastAsia="zh-CN" w:bidi="ar"/>
              </w:rPr>
              <w:t>规格：96×96×136cm，一次性用品/高档松紧布条+ABS，</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符合本项目大学生军事技能训练要求。</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c>
          <w:tcPr>
            <w:tcW w:w="141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1"/>
                <w:szCs w:val="21"/>
                <w:u w:val="none"/>
                <w:lang w:val="en-US" w:eastAsia="zh-CN" w:bidi="ar"/>
              </w:rPr>
              <w:t>止血带</w:t>
            </w:r>
          </w:p>
        </w:tc>
        <w:tc>
          <w:tcPr>
            <w:tcW w:w="614"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1"/>
                <w:szCs w:val="21"/>
                <w:u w:val="none"/>
                <w:lang w:val="en-US" w:eastAsia="zh-CN" w:bidi="ar"/>
              </w:rPr>
              <w:t>300</w:t>
            </w:r>
          </w:p>
        </w:tc>
        <w:tc>
          <w:tcPr>
            <w:tcW w:w="585" w:type="dxa"/>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个</w:t>
            </w:r>
          </w:p>
        </w:tc>
        <w:tc>
          <w:tcPr>
            <w:tcW w:w="4905"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1"/>
                <w:szCs w:val="21"/>
                <w:u w:val="none"/>
                <w:lang w:val="en-US" w:eastAsia="zh-CN" w:bidi="ar"/>
              </w:rPr>
              <w:t>规格：400mm×25mm，尾扣12mm×8mm/一次性用品/加厚纺布/减少感染，适用于大面积伤口及不规则位伤口，</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符合本项目大学生军事技能训练要求。</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c>
          <w:tcPr>
            <w:tcW w:w="141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1"/>
                <w:szCs w:val="21"/>
                <w:u w:val="none"/>
                <w:lang w:val="en-US" w:eastAsia="zh-CN" w:bidi="ar"/>
              </w:rPr>
              <w:t>心肺复苏模型人</w:t>
            </w:r>
          </w:p>
        </w:tc>
        <w:tc>
          <w:tcPr>
            <w:tcW w:w="614"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585" w:type="dxa"/>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个</w:t>
            </w:r>
          </w:p>
        </w:tc>
        <w:tc>
          <w:tcPr>
            <w:tcW w:w="4905"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1"/>
                <w:szCs w:val="21"/>
                <w:u w:val="none"/>
                <w:lang w:val="en-US" w:eastAsia="zh-CN" w:bidi="ar"/>
              </w:rPr>
              <w:t>规格：外箱尺寸74cm*36cm*26cm，重约8KG，主要材质为PVC，半身心肺复苏模拟，强度高，抗老化。</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c>
          <w:tcPr>
            <w:tcW w:w="141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1"/>
                <w:szCs w:val="21"/>
                <w:u w:val="none"/>
                <w:lang w:val="en-US" w:eastAsia="zh-CN" w:bidi="ar"/>
              </w:rPr>
              <w:t>担架</w:t>
            </w:r>
          </w:p>
        </w:tc>
        <w:tc>
          <w:tcPr>
            <w:tcW w:w="614"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585" w:type="dxa"/>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个</w:t>
            </w:r>
          </w:p>
        </w:tc>
        <w:tc>
          <w:tcPr>
            <w:tcW w:w="4905"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1"/>
                <w:szCs w:val="21"/>
                <w:u w:val="none"/>
                <w:lang w:val="en-US" w:eastAsia="zh-CN" w:bidi="ar"/>
              </w:rPr>
              <w:t>规格：200cm×54cm×18cm；主要材质为牛筋革面+铝合金，加固加厚承重159KG。</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restart"/>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3</w:t>
            </w:r>
          </w:p>
        </w:tc>
        <w:tc>
          <w:tcPr>
            <w:tcW w:w="1418" w:type="dxa"/>
            <w:vMerge w:val="restart"/>
            <w:noWrap w:val="0"/>
            <w:vAlign w:val="center"/>
          </w:tcPr>
          <w:p>
            <w:pPr>
              <w:keepNext w:val="0"/>
              <w:keepLines w:val="0"/>
              <w:suppressLineNumbers w:val="0"/>
              <w:tabs>
                <w:tab w:val="left" w:pos="223"/>
              </w:tabs>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消耗品</w:t>
            </w:r>
          </w:p>
        </w:tc>
        <w:tc>
          <w:tcPr>
            <w:tcW w:w="129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彩色发烟弹</w:t>
            </w:r>
          </w:p>
        </w:tc>
        <w:tc>
          <w:tcPr>
            <w:tcW w:w="614"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50</w:t>
            </w:r>
          </w:p>
        </w:tc>
        <w:tc>
          <w:tcPr>
            <w:tcW w:w="585" w:type="dxa"/>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个</w:t>
            </w:r>
          </w:p>
        </w:tc>
        <w:tc>
          <w:tcPr>
            <w:tcW w:w="4905"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主要材质为火药，不同种类颜色，主要用于拉练和战场氛围营造，行军拉练战略点标识等。</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c>
          <w:tcPr>
            <w:tcW w:w="1418" w:type="dxa"/>
            <w:vMerge w:val="continue"/>
            <w:noWrap w:val="0"/>
            <w:vAlign w:val="center"/>
          </w:tcPr>
          <w:p>
            <w:pPr>
              <w:keepNext w:val="0"/>
              <w:keepLines w:val="0"/>
              <w:suppressLineNumbers w:val="0"/>
              <w:tabs>
                <w:tab w:val="left" w:pos="223"/>
              </w:tabs>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c>
          <w:tcPr>
            <w:tcW w:w="129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火箭筒、迫击炮弹药</w:t>
            </w:r>
          </w:p>
        </w:tc>
        <w:tc>
          <w:tcPr>
            <w:tcW w:w="614" w:type="dxa"/>
            <w:noWrap/>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200</w:t>
            </w:r>
          </w:p>
        </w:tc>
        <w:tc>
          <w:tcPr>
            <w:tcW w:w="585" w:type="dxa"/>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个</w:t>
            </w:r>
          </w:p>
        </w:tc>
        <w:tc>
          <w:tcPr>
            <w:tcW w:w="4905"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主要材质为火药，用于火箭筒、迫击炮发射适配的弹药。</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c>
          <w:tcPr>
            <w:tcW w:w="141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收纳箱</w:t>
            </w:r>
          </w:p>
        </w:tc>
        <w:tc>
          <w:tcPr>
            <w:tcW w:w="614"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585" w:type="dxa"/>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个</w:t>
            </w:r>
          </w:p>
        </w:tc>
        <w:tc>
          <w:tcPr>
            <w:tcW w:w="4905"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主要材质为PP,加厚型，有盖，规格：80cm×50cm×50cm.</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4</w:t>
            </w:r>
          </w:p>
        </w:tc>
        <w:tc>
          <w:tcPr>
            <w:tcW w:w="1418"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kern w:val="0"/>
                <w:sz w:val="21"/>
                <w:szCs w:val="21"/>
                <w:u w:val="none"/>
                <w:lang w:val="en-US" w:eastAsia="zh-CN" w:bidi="ar"/>
              </w:rPr>
              <w:t>格斗基础</w:t>
            </w:r>
          </w:p>
        </w:tc>
        <w:tc>
          <w:tcPr>
            <w:tcW w:w="129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仿真匕首</w:t>
            </w:r>
          </w:p>
        </w:tc>
        <w:tc>
          <w:tcPr>
            <w:tcW w:w="614"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300</w:t>
            </w:r>
          </w:p>
        </w:tc>
        <w:tc>
          <w:tcPr>
            <w:tcW w:w="585" w:type="dxa"/>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把</w:t>
            </w:r>
          </w:p>
        </w:tc>
        <w:tc>
          <w:tcPr>
            <w:tcW w:w="4905"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规格：总长26cm，刃长14cm；主要材质为毒公害橡胶，武术表演道具，用于格斗基础-匕首操部分。</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5</w:t>
            </w:r>
          </w:p>
        </w:tc>
        <w:tc>
          <w:tcPr>
            <w:tcW w:w="1418"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kern w:val="0"/>
                <w:sz w:val="21"/>
                <w:szCs w:val="21"/>
                <w:u w:val="none"/>
                <w:lang w:val="en-US" w:eastAsia="zh-CN" w:bidi="ar"/>
              </w:rPr>
              <w:t>分队的队列动作</w:t>
            </w:r>
          </w:p>
        </w:tc>
        <w:tc>
          <w:tcPr>
            <w:tcW w:w="129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手持扩音器</w:t>
            </w:r>
          </w:p>
        </w:tc>
        <w:tc>
          <w:tcPr>
            <w:tcW w:w="614"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585" w:type="dxa"/>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个</w:t>
            </w:r>
          </w:p>
        </w:tc>
        <w:tc>
          <w:tcPr>
            <w:tcW w:w="4905"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规格：手柄长15cm、机身宽15cm，高40cm；主要材质：外壳材质为ABS，内置可充电锂电池，电池容量2000毫安以上，功率50W,外挂喊麦器，具有扩音,录音，播放音频等工能，接口类型为：USB/TF卡插槽/AUX音频，主要作教官教学，指挥使用。</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72" w:type="dxa"/>
            <w:gridSpan w:val="10"/>
            <w:noWrap/>
            <w:vAlign w:val="center"/>
          </w:tcPr>
          <w:p>
            <w:pPr>
              <w:keepNext w:val="0"/>
              <w:keepLines w:val="0"/>
              <w:widowControl/>
              <w:numPr>
                <w:numId w:val="0"/>
              </w:numPr>
              <w:suppressLineNumbers w:val="0"/>
              <w:spacing w:before="0" w:beforeAutospacing="0" w:after="0" w:afterAutospacing="0"/>
              <w:ind w:right="0" w:rightChars="0"/>
              <w:jc w:val="left"/>
              <w:textAlignment w:val="center"/>
              <w:rPr>
                <w:rFonts w:hint="eastAsia"/>
                <w:lang w:val="en-US" w:eastAsia="zh-CN"/>
              </w:rPr>
            </w:pPr>
            <w:r>
              <w:rPr>
                <w:rFonts w:hint="eastAsia" w:ascii="仿宋_GB2312" w:hAnsi="仿宋_GB2312" w:eastAsia="仿宋_GB2312" w:cs="仿宋_GB2312"/>
                <w:b/>
                <w:bCs/>
                <w:color w:val="000000" w:themeColor="text1"/>
                <w:sz w:val="21"/>
                <w:szCs w:val="21"/>
                <w:highlight w:val="none"/>
                <w:lang w:val="en-US" w:eastAsia="zh-CN"/>
                <w14:textFill>
                  <w14:solidFill>
                    <w14:schemeClr w14:val="tx1"/>
                  </w14:solidFill>
                </w14:textFill>
              </w:rPr>
              <w:t>二、赁部分的货物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14:textFill>
                  <w14:solidFill>
                    <w14:schemeClr w14:val="tx1"/>
                  </w14:solidFill>
                </w14:textFill>
              </w:rPr>
              <w:t>序号</w:t>
            </w:r>
          </w:p>
        </w:tc>
        <w:tc>
          <w:tcPr>
            <w:tcW w:w="1418" w:type="dxa"/>
            <w:noWrap w:val="0"/>
            <w:vAlign w:val="center"/>
          </w:tcPr>
          <w:p>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21"/>
                <w:szCs w:val="21"/>
                <w:highlight w:val="none"/>
                <w:lang w:val="en-US" w:eastAsia="zh-CN"/>
                <w14:textFill>
                  <w14:solidFill>
                    <w14:schemeClr w14:val="tx1"/>
                  </w14:solidFill>
                </w14:textFill>
              </w:rPr>
              <w:t>科目</w:t>
            </w:r>
          </w:p>
        </w:tc>
        <w:tc>
          <w:tcPr>
            <w:tcW w:w="1291" w:type="dxa"/>
            <w:noWrap w:val="0"/>
            <w:vAlign w:val="center"/>
          </w:tcPr>
          <w:p>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lang w:eastAsia="zh-CN"/>
                <w14:textFill>
                  <w14:solidFill>
                    <w14:schemeClr w14:val="tx1"/>
                  </w14:solidFill>
                </w14:textFill>
              </w:rPr>
              <w:t>货物</w:t>
            </w:r>
            <w:r>
              <w:rPr>
                <w:rFonts w:hint="eastAsia" w:ascii="仿宋_GB2312" w:hAnsi="仿宋_GB2312" w:eastAsia="仿宋_GB2312" w:cs="仿宋_GB2312"/>
                <w:b/>
                <w:bCs/>
                <w:color w:val="000000" w:themeColor="text1"/>
                <w:sz w:val="21"/>
                <w:szCs w:val="21"/>
                <w:highlight w:val="none"/>
                <w14:textFill>
                  <w14:solidFill>
                    <w14:schemeClr w14:val="tx1"/>
                  </w14:solidFill>
                </w14:textFill>
              </w:rPr>
              <w:t>名称</w:t>
            </w:r>
          </w:p>
        </w:tc>
        <w:tc>
          <w:tcPr>
            <w:tcW w:w="614" w:type="dxa"/>
            <w:noWrap/>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lang w:val="en-US" w:eastAsia="zh-CN"/>
                <w14:textFill>
                  <w14:solidFill>
                    <w14:schemeClr w14:val="tx1"/>
                  </w14:solidFill>
                </w14:textFill>
              </w:rPr>
              <w:t>数量</w:t>
            </w:r>
          </w:p>
        </w:tc>
        <w:tc>
          <w:tcPr>
            <w:tcW w:w="585" w:type="dxa"/>
            <w:noWrap/>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b/>
                <w:bCs/>
                <w:color w:val="000000" w:themeColor="text1"/>
                <w:kern w:val="0"/>
                <w:sz w:val="21"/>
                <w:szCs w:val="21"/>
                <w:highlight w:val="none"/>
                <w:lang w:eastAsia="zh-CN"/>
                <w14:textFill>
                  <w14:solidFill>
                    <w14:schemeClr w14:val="tx1"/>
                  </w14:solidFill>
                </w14:textFill>
              </w:rPr>
              <w:t>单位</w:t>
            </w:r>
          </w:p>
        </w:tc>
        <w:tc>
          <w:tcPr>
            <w:tcW w:w="4905" w:type="dxa"/>
            <w:noWrap/>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2"/>
                <w:sz w:val="21"/>
                <w:szCs w:val="21"/>
                <w:highlight w:val="none"/>
                <w:lang w:val="en-US" w:eastAsia="zh-CN"/>
                <w14:textFill>
                  <w14:solidFill>
                    <w14:schemeClr w14:val="tx1"/>
                  </w14:solidFill>
                </w14:textFill>
              </w:rPr>
              <w:t>技术需求</w:t>
            </w:r>
          </w:p>
        </w:tc>
        <w:tc>
          <w:tcPr>
            <w:tcW w:w="1095" w:type="dxa"/>
            <w:noWrap/>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b/>
                <w:bCs/>
                <w:color w:val="000000" w:themeColor="text1"/>
                <w:kern w:val="2"/>
                <w:sz w:val="21"/>
                <w:szCs w:val="21"/>
                <w:highlight w:val="none"/>
                <w:lang w:val="en-US" w:eastAsia="zh-CN"/>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b/>
                <w:bCs/>
                <w:color w:val="000000" w:themeColor="text1"/>
                <w:kern w:val="2"/>
                <w:sz w:val="21"/>
                <w:szCs w:val="21"/>
                <w:highlight w:val="none"/>
                <w:lang w:val="en-US" w:eastAsia="zh-CN"/>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b/>
                <w:bCs/>
                <w:color w:val="000000" w:themeColor="text1"/>
                <w:kern w:val="2"/>
                <w:sz w:val="21"/>
                <w:szCs w:val="21"/>
                <w:highlight w:val="none"/>
                <w:lang w:val="en-US" w:eastAsia="zh-CN"/>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b/>
                <w:bCs/>
                <w:color w:val="000000" w:themeColor="text1"/>
                <w:kern w:val="2"/>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restart"/>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right="0" w:rightChars="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keepNext w:val="0"/>
              <w:keepLines w:val="0"/>
              <w:widowControl/>
              <w:numPr>
                <w:ilvl w:val="0"/>
                <w:numId w:val="0"/>
              </w:numPr>
              <w:suppressLineNumbers w:val="0"/>
              <w:tabs>
                <w:tab w:val="left" w:pos="-200"/>
              </w:tabs>
              <w:spacing w:before="0" w:beforeAutospacing="0" w:after="0" w:afterAutospacing="0" w:line="360" w:lineRule="auto"/>
              <w:ind w:right="0" w:rightChars="0" w:firstLine="210" w:firstLineChars="100"/>
              <w:jc w:val="both"/>
              <w:textAlignment w:val="center"/>
              <w:rPr>
                <w:rFonts w:hint="default"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1</w:t>
            </w:r>
          </w:p>
        </w:tc>
        <w:tc>
          <w:tcPr>
            <w:tcW w:w="1418"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spacing w:before="0" w:beforeAutospacing="0" w:after="0" w:afterAutospacing="0"/>
              <w:ind w:right="0"/>
              <w:jc w:val="left"/>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轻武器射击</w:t>
            </w:r>
          </w:p>
        </w:tc>
        <w:tc>
          <w:tcPr>
            <w:tcW w:w="1291"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激光射击系统</w:t>
            </w:r>
          </w:p>
        </w:tc>
        <w:tc>
          <w:tcPr>
            <w:tcW w:w="614" w:type="dxa"/>
            <w:noWrap/>
            <w:vAlign w:val="center"/>
          </w:tcPr>
          <w:p>
            <w:pPr>
              <w:keepNext w:val="0"/>
              <w:keepLines w:val="0"/>
              <w:widowControl/>
              <w:suppressLineNumbers w:val="0"/>
              <w:spacing w:before="0" w:beforeAutospacing="0" w:after="0" w:afterAutospacing="0"/>
              <w:ind w:left="0" w:right="0" w:firstLine="210" w:firstLineChars="1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spacing w:before="0" w:beforeAutospacing="0" w:after="0" w:afterAutospacing="0"/>
              <w:ind w:left="0" w:right="0" w:firstLine="210" w:firstLineChars="1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spacing w:before="0" w:beforeAutospacing="0" w:after="0" w:afterAutospacing="0"/>
              <w:ind w:right="0" w:firstLine="210" w:firstLineChars="100"/>
              <w:jc w:val="left"/>
              <w:textAlignment w:val="center"/>
              <w:rPr>
                <w:rFonts w:hint="default"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5</w:t>
            </w:r>
          </w:p>
        </w:tc>
        <w:tc>
          <w:tcPr>
            <w:tcW w:w="585" w:type="dxa"/>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套</w:t>
            </w:r>
          </w:p>
        </w:tc>
        <w:tc>
          <w:tcPr>
            <w:tcW w:w="4905" w:type="dxa"/>
            <w:noWrap/>
            <w:vAlign w:val="center"/>
          </w:tcPr>
          <w:p>
            <w:pPr>
              <w:keepNext w:val="0"/>
              <w:keepLines w:val="0"/>
              <w:widowControl/>
              <w:numPr>
                <w:ilvl w:val="0"/>
                <w:numId w:val="1"/>
              </w:numPr>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基本要求：建设步枪仿真模拟射击靶场，用于学生军训射击科目的训练和考核。要求按照部队步枪射击第一练习的要求构建靶场的各个元素，包括95式仿真枪模、半身胸环靶、枪膛活塞式往复后坐力（非震动电机）、智能报靶等；同时系统必须具备全天候准确报靶、监控、成绩统计查询、易于操作维护、能连续稳定工作等功能和特点。靶场设备便携化，主机、靶箱、报靶器、枪模各自集成在装备箱中，安装简便、连线方便。目标靶箱由电池供电，一次充电使用时间大于8小时。                                                       （2）基本参数：                                                  ①95式仿真ABS塑料枪模，含铝合金便携箱，枪架，充电器：步枪长度76cm（±5mm），重量2.5公斤（±2%），枪管为机加工钢管，枪身为ABS工程塑料。含控制器、激光头。</w:t>
            </w:r>
          </w:p>
          <w:p>
            <w:pPr>
              <w:keepNext w:val="0"/>
              <w:keepLines w:val="0"/>
              <w:widowControl/>
              <w:numPr>
                <w:ilvl w:val="-1"/>
                <w:numId w:val="0"/>
              </w:numPr>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②射手报靶器：12寸，4:3液晶交流供电，有线网络连接。                                              ③一体化激光专用摄像头：含摄像头，长焦变焦镜头，防尘罩，安装底座、支架等。                                          ④标准靶，含安装支架：军用半身标准靶，靶尺寸50cm*50cm（±5mm），多层532nm绿激光敏感反光材料刻制</w:t>
            </w:r>
          </w:p>
          <w:p>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⑤便携式靶场主机，含铝合金拉杆箱：工控主板含4-5个PCI卡槽，25针并行口，15路视频采集卡，击发无线接收器，打靶系统软件U盾等。                                                       ⑥音响功放：拉杆箱式便携音响，功率大于100W。</w:t>
            </w:r>
          </w:p>
        </w:tc>
        <w:tc>
          <w:tcPr>
            <w:tcW w:w="1095" w:type="dxa"/>
            <w:noWrap/>
            <w:vAlign w:val="center"/>
          </w:tcPr>
          <w:p>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default"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c>
          <w:tcPr>
            <w:tcW w:w="141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95式可拆卸教学用枪</w:t>
            </w:r>
          </w:p>
        </w:tc>
        <w:tc>
          <w:tcPr>
            <w:tcW w:w="614"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50</w:t>
            </w:r>
          </w:p>
        </w:tc>
        <w:tc>
          <w:tcPr>
            <w:tcW w:w="585" w:type="dxa"/>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支</w:t>
            </w:r>
          </w:p>
        </w:tc>
        <w:tc>
          <w:tcPr>
            <w:tcW w:w="4905" w:type="dxa"/>
            <w:noWrap/>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仿95式步枪，可进行枪支分解组装结合训练，</w:t>
            </w:r>
            <w:r>
              <w:rPr>
                <w:rFonts w:hint="eastAsia" w:ascii="仿宋_GB2312" w:hAnsi="仿宋_GB2312" w:eastAsia="仿宋_GB2312" w:cs="仿宋_GB2312"/>
                <w:color w:val="000000" w:themeColor="text1"/>
                <w:sz w:val="21"/>
                <w:szCs w:val="21"/>
                <w:highlight w:val="none"/>
                <w14:textFill>
                  <w14:solidFill>
                    <w14:schemeClr w14:val="tx1"/>
                  </w14:solidFill>
                </w14:textFill>
              </w:rPr>
              <w:t>符合</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本项目</w:t>
            </w:r>
            <w:r>
              <w:rPr>
                <w:rFonts w:hint="eastAsia" w:ascii="仿宋_GB2312" w:hAnsi="仿宋_GB2312" w:eastAsia="仿宋_GB2312" w:cs="仿宋_GB2312"/>
                <w:color w:val="000000" w:themeColor="text1"/>
                <w:sz w:val="21"/>
                <w:szCs w:val="21"/>
                <w:highlight w:val="none"/>
                <w14:textFill>
                  <w14:solidFill>
                    <w14:schemeClr w14:val="tx1"/>
                  </w14:solidFill>
                </w14:textFill>
              </w:rPr>
              <w:t>大学生军事技能训练要求</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095" w:type="dxa"/>
            <w:noWrap/>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c>
          <w:tcPr>
            <w:tcW w:w="141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95式模拟枪</w:t>
            </w:r>
          </w:p>
        </w:tc>
        <w:tc>
          <w:tcPr>
            <w:tcW w:w="614" w:type="dxa"/>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600</w:t>
            </w:r>
          </w:p>
        </w:tc>
        <w:tc>
          <w:tcPr>
            <w:tcW w:w="585" w:type="dxa"/>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支</w:t>
            </w:r>
          </w:p>
        </w:tc>
        <w:tc>
          <w:tcPr>
            <w:tcW w:w="490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主要材质为橡胶+钢板，1:1配重/主要用于轻武器操作、战术基础、实战表演等内容，重量3.5公斤（±2%），尺寸长75cm（±5mm），</w:t>
            </w:r>
            <w:r>
              <w:rPr>
                <w:rFonts w:hint="eastAsia" w:ascii="仿宋_GB2312" w:hAnsi="仿宋_GB2312" w:eastAsia="仿宋_GB2312" w:cs="仿宋_GB2312"/>
                <w:color w:val="000000" w:themeColor="text1"/>
                <w:sz w:val="21"/>
                <w:szCs w:val="21"/>
                <w:highlight w:val="none"/>
                <w14:textFill>
                  <w14:solidFill>
                    <w14:schemeClr w14:val="tx1"/>
                  </w14:solidFill>
                </w14:textFill>
              </w:rPr>
              <w:t>符合</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本项目</w:t>
            </w:r>
            <w:r>
              <w:rPr>
                <w:rFonts w:hint="eastAsia" w:ascii="仿宋_GB2312" w:hAnsi="仿宋_GB2312" w:eastAsia="仿宋_GB2312" w:cs="仿宋_GB2312"/>
                <w:color w:val="000000" w:themeColor="text1"/>
                <w:sz w:val="21"/>
                <w:szCs w:val="21"/>
                <w:highlight w:val="none"/>
                <w14:textFill>
                  <w14:solidFill>
                    <w14:schemeClr w14:val="tx1"/>
                  </w14:solidFill>
                </w14:textFill>
              </w:rPr>
              <w:t>大学生军事技能训练要求</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restart"/>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pStyle w:val="2"/>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pStyle w:val="3"/>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pStyle w:val="3"/>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pStyle w:val="3"/>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pStyle w:val="3"/>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pStyle w:val="3"/>
              <w:ind w:firstLine="210" w:firstLineChars="100"/>
              <w:rPr>
                <w:rFonts w:hint="default"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2</w:t>
            </w:r>
          </w:p>
        </w:tc>
        <w:tc>
          <w:tcPr>
            <w:tcW w:w="1418" w:type="dxa"/>
            <w:vMerge w:val="restart"/>
            <w:noWrap w:val="0"/>
            <w:vAlign w:val="center"/>
          </w:tcPr>
          <w:p>
            <w:pPr>
              <w:keepNext w:val="0"/>
              <w:keepLines w:val="0"/>
              <w:widowControl/>
              <w:suppressLineNumbers w:val="0"/>
              <w:spacing w:before="0" w:beforeAutospacing="0" w:after="0" w:afterAutospacing="0"/>
              <w:ind w:left="0" w:right="0"/>
              <w:jc w:val="left"/>
              <w:textAlignment w:val="top"/>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战术训练</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（含单兵、班战术）</w:t>
            </w:r>
          </w:p>
        </w:tc>
        <w:tc>
          <w:tcPr>
            <w:tcW w:w="1291" w:type="dxa"/>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战术伪装网</w:t>
            </w:r>
          </w:p>
        </w:tc>
        <w:tc>
          <w:tcPr>
            <w:tcW w:w="614" w:type="dxa"/>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5</w:t>
            </w:r>
          </w:p>
        </w:tc>
        <w:tc>
          <w:tcPr>
            <w:tcW w:w="585" w:type="dxa"/>
            <w:noWrap/>
            <w:vAlign w:val="center"/>
          </w:tcPr>
          <w:p>
            <w:pPr>
              <w:keepNext w:val="0"/>
              <w:keepLines w:val="0"/>
              <w:widowControl/>
              <w:suppressLineNumbers w:val="0"/>
              <w:spacing w:before="0" w:beforeAutospacing="0" w:after="0" w:afterAutospacing="0"/>
              <w:ind w:left="0" w:leftChars="0" w:right="0" w:rightChars="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张</w:t>
            </w:r>
          </w:p>
        </w:tc>
        <w:tc>
          <w:tcPr>
            <w:tcW w:w="4905" w:type="dxa"/>
            <w:noWrap/>
            <w:vAlign w:val="center"/>
          </w:tcPr>
          <w:p>
            <w:pPr>
              <w:keepNext w:val="0"/>
              <w:keepLines w:val="0"/>
              <w:widowControl w:val="0"/>
              <w:suppressLineNumbers w:val="0"/>
              <w:spacing w:before="0" w:beforeAutospacing="0" w:after="0" w:afterAutospacing="0" w:line="360" w:lineRule="auto"/>
              <w:ind w:left="0" w:leftChars="0" w:right="0" w:rightChars="0" w:firstLine="420" w:firstLineChars="200"/>
              <w:jc w:val="left"/>
              <w:textAlignment w:val="auto"/>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bidi="ar"/>
                <w14:textFill>
                  <w14:solidFill>
                    <w14:schemeClr w14:val="tx1"/>
                  </w14:solidFill>
                </w14:textFill>
              </w:rPr>
              <w:t>主要材质为尼龙布；双层包边8m×8m/每个；主要用于战术基础训练、实战氛围营造</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符合本项目大学生军事技能训练要求。</w:t>
            </w:r>
          </w:p>
        </w:tc>
        <w:tc>
          <w:tcPr>
            <w:tcW w:w="1095" w:type="dxa"/>
            <w:noWrap/>
            <w:vAlign w:val="center"/>
          </w:tcPr>
          <w:p>
            <w:pPr>
              <w:keepNext w:val="0"/>
              <w:keepLines w:val="0"/>
              <w:widowControl/>
              <w:suppressLineNumbers w:val="0"/>
              <w:spacing w:before="0" w:beforeAutospacing="0" w:after="0" w:afterAutospacing="0" w:line="360" w:lineRule="auto"/>
              <w:ind w:left="0" w:leftChars="0" w:right="0" w:rightChars="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leftChars="0" w:right="0" w:rightChars="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leftChars="0" w:right="0" w:rightChars="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leftChars="0" w:right="0" w:rightChars="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c>
          <w:tcPr>
            <w:tcW w:w="1418" w:type="dxa"/>
            <w:vMerge w:val="continue"/>
            <w:noWrap w:val="0"/>
            <w:vAlign w:val="top"/>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仿真迫击炮</w:t>
            </w:r>
          </w:p>
        </w:tc>
        <w:tc>
          <w:tcPr>
            <w:tcW w:w="614"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w:t>
            </w:r>
          </w:p>
        </w:tc>
        <w:tc>
          <w:tcPr>
            <w:tcW w:w="585" w:type="dxa"/>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门</w:t>
            </w:r>
          </w:p>
        </w:tc>
        <w:tc>
          <w:tcPr>
            <w:tcW w:w="490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主要材质为高密度复合金属，加固加厚，底座可充电，弹头为触发式（更安全）/可发射弹药（危险系数低，可燃系数低）/主要用于战场氛围营造，可模拟发射声光弹，符合本项目大学生军事技能训练要求。</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c>
          <w:tcPr>
            <w:tcW w:w="1418" w:type="dxa"/>
            <w:vMerge w:val="continue"/>
            <w:noWrap w:val="0"/>
            <w:vAlign w:val="top"/>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仿真火箭筒</w:t>
            </w:r>
          </w:p>
        </w:tc>
        <w:tc>
          <w:tcPr>
            <w:tcW w:w="614"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w:t>
            </w:r>
          </w:p>
        </w:tc>
        <w:tc>
          <w:tcPr>
            <w:tcW w:w="585" w:type="dxa"/>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个</w:t>
            </w:r>
          </w:p>
        </w:tc>
        <w:tc>
          <w:tcPr>
            <w:tcW w:w="4905" w:type="dxa"/>
            <w:noWrap/>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主要材质为高分子塑胶，加固加厚/可发射弹药（危险系数低，可燃系数低）/主要用于战场氛围营造，可模拟发射声光弹。</w:t>
            </w:r>
          </w:p>
        </w:tc>
        <w:tc>
          <w:tcPr>
            <w:tcW w:w="1095" w:type="dxa"/>
            <w:noWrap/>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0" w:leftChars="0" w:right="0" w:rightChars="0" w:firstLine="0" w:firstLineChars="0"/>
              <w:jc w:val="both"/>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合计</w:t>
            </w:r>
          </w:p>
        </w:tc>
        <w:tc>
          <w:tcPr>
            <w:tcW w:w="13200" w:type="dxa"/>
            <w:gridSpan w:val="9"/>
            <w:noWrap w:val="0"/>
            <w:vAlign w:val="center"/>
          </w:tcPr>
          <w:p>
            <w:pPr>
              <w:keepNext w:val="0"/>
              <w:keepLines w:val="0"/>
              <w:widowControl/>
              <w:suppressLineNumbers w:val="0"/>
              <w:spacing w:before="0" w:beforeAutospacing="0" w:after="0" w:afterAutospacing="0" w:line="360" w:lineRule="auto"/>
              <w:ind w:left="0" w:leftChars="0" w:right="0" w:rightChars="0" w:firstLine="482" w:firstLineChars="200"/>
              <w:jc w:val="left"/>
              <w:textAlignment w:val="center"/>
              <w:rPr>
                <w:rFonts w:hint="eastAsia" w:ascii="宋体" w:hAnsi="宋体" w:cs="宋体"/>
                <w:b/>
                <w:bCs/>
                <w:kern w:val="0"/>
                <w:sz w:val="24"/>
                <w:szCs w:val="24"/>
              </w:rPr>
            </w:pPr>
            <w:r>
              <w:rPr>
                <w:rFonts w:hint="eastAsia" w:ascii="宋体" w:hAnsi="宋体" w:cs="宋体"/>
                <w:b/>
                <w:bCs/>
                <w:kern w:val="0"/>
                <w:sz w:val="24"/>
                <w:szCs w:val="24"/>
              </w:rPr>
              <w:t xml:space="preserve">报价合计(包含税费等所用费用)：（大写）人民币 </w:t>
            </w:r>
            <w:r>
              <w:rPr>
                <w:rFonts w:hint="eastAsia" w:ascii="宋体" w:hAnsi="宋体" w:cs="宋体"/>
                <w:b/>
                <w:bCs/>
                <w:kern w:val="0"/>
                <w:sz w:val="24"/>
                <w:szCs w:val="24"/>
                <w:u w:val="single"/>
              </w:rPr>
              <w:t xml:space="preserve">                        </w:t>
            </w:r>
            <w:r>
              <w:rPr>
                <w:rFonts w:hint="eastAsia" w:ascii="宋体" w:hAnsi="宋体" w:cs="宋体"/>
                <w:b/>
                <w:bCs/>
                <w:kern w:val="0"/>
                <w:sz w:val="24"/>
                <w:szCs w:val="24"/>
              </w:rPr>
              <w:t>元（</w:t>
            </w:r>
            <w:r>
              <w:rPr>
                <w:rFonts w:hint="eastAsia" w:ascii="宋体" w:hAnsi="宋体" w:cs="宋体"/>
                <w:b/>
                <w:bCs/>
                <w:kern w:val="0"/>
                <w:sz w:val="24"/>
                <w:szCs w:val="24"/>
                <w:u w:val="single"/>
              </w:rPr>
              <w:t xml:space="preserve">       </w:t>
            </w:r>
            <w:r>
              <w:rPr>
                <w:rFonts w:hint="eastAsia" w:ascii="宋体" w:hAnsi="宋体" w:cs="宋体"/>
                <w:b/>
                <w:bCs/>
                <w:kern w:val="0"/>
                <w:sz w:val="24"/>
                <w:szCs w:val="24"/>
                <w:u w:val="single"/>
                <w:lang w:val="en-US" w:eastAsia="zh-CN"/>
              </w:rPr>
              <w:t xml:space="preserve">     </w:t>
            </w:r>
            <w:r>
              <w:rPr>
                <w:rFonts w:hint="eastAsia" w:ascii="宋体" w:hAnsi="宋体" w:cs="宋体"/>
                <w:b/>
                <w:bCs/>
                <w:kern w:val="0"/>
                <w:sz w:val="24"/>
                <w:szCs w:val="24"/>
                <w:u w:val="single"/>
              </w:rPr>
              <w:t xml:space="preserve">     </w:t>
            </w:r>
            <w:r>
              <w:rPr>
                <w:rFonts w:hint="eastAsia" w:ascii="宋体" w:hAnsi="宋体" w:cs="宋体"/>
                <w:b/>
                <w:bCs/>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72" w:type="dxa"/>
            <w:gridSpan w:val="10"/>
            <w:noWrap/>
            <w:vAlign w:val="center"/>
          </w:tcPr>
          <w:p>
            <w:pPr>
              <w:keepNext w:val="0"/>
              <w:keepLines w:val="0"/>
              <w:pageBreakBefore w:val="0"/>
              <w:suppressLineNumbers w:val="0"/>
              <w:kinsoku/>
              <w:wordWrap/>
              <w:overflowPunct/>
              <w:topLinePunct w:val="0"/>
              <w:bidi w:val="0"/>
              <w:snapToGrid/>
              <w:spacing w:beforeAutospacing="0" w:afterAutospacing="0" w:line="400" w:lineRule="exact"/>
              <w:ind w:left="0" w:leftChars="0" w:right="0" w:firstLine="420" w:firstLineChars="200"/>
              <w:jc w:val="left"/>
              <w:rPr>
                <w:rFonts w:hint="eastAsia"/>
              </w:rPr>
            </w:pPr>
            <w:r>
              <w:rPr>
                <w:rFonts w:hint="eastAsia"/>
              </w:rPr>
              <w:t>商务响应：</w:t>
            </w:r>
          </w:p>
          <w:p>
            <w:pPr>
              <w:keepNext w:val="0"/>
              <w:keepLines w:val="0"/>
              <w:pageBreakBefore w:val="0"/>
              <w:suppressLineNumbers w:val="0"/>
              <w:kinsoku/>
              <w:wordWrap/>
              <w:overflowPunct/>
              <w:topLinePunct w:val="0"/>
              <w:bidi w:val="0"/>
              <w:snapToGrid/>
              <w:spacing w:beforeAutospacing="0" w:afterAutospacing="0" w:line="400" w:lineRule="exact"/>
              <w:ind w:left="0" w:leftChars="0" w:right="0" w:firstLine="420" w:firstLineChars="200"/>
              <w:jc w:val="left"/>
              <w:rPr>
                <w:rFonts w:hint="eastAsia"/>
                <w:lang w:val="en-US" w:eastAsia="zh-CN"/>
              </w:rPr>
            </w:pPr>
            <w:r>
              <w:rPr>
                <w:rFonts w:hint="eastAsia"/>
                <w:lang w:val="en-US" w:eastAsia="zh-CN"/>
              </w:rPr>
              <w:t>1.交付期限：器械分批次供货，以采购人通知为准。</w:t>
            </w:r>
          </w:p>
          <w:p>
            <w:pPr>
              <w:keepNext w:val="0"/>
              <w:keepLines w:val="0"/>
              <w:pageBreakBefore w:val="0"/>
              <w:widowControl/>
              <w:suppressLineNumbers w:val="0"/>
              <w:kinsoku/>
              <w:wordWrap/>
              <w:overflowPunct/>
              <w:topLinePunct w:val="0"/>
              <w:bidi w:val="0"/>
              <w:snapToGrid/>
              <w:spacing w:beforeAutospacing="0" w:afterAutospacing="0" w:line="400" w:lineRule="exact"/>
              <w:ind w:right="0" w:firstLine="420" w:firstLineChars="200"/>
              <w:jc w:val="left"/>
              <w:textAlignment w:val="center"/>
              <w:rPr>
                <w:rFonts w:hint="eastAsia"/>
                <w:lang w:val="en-US" w:eastAsia="zh-CN"/>
              </w:rPr>
            </w:pPr>
            <w:r>
              <w:rPr>
                <w:rFonts w:hint="eastAsia"/>
                <w:lang w:val="en-US" w:eastAsia="zh-CN"/>
              </w:rPr>
              <w:t>2.服务地点：广西财经学院内采购人指定地点。</w:t>
            </w:r>
          </w:p>
          <w:p>
            <w:pPr>
              <w:keepNext w:val="0"/>
              <w:keepLines w:val="0"/>
              <w:pageBreakBefore w:val="0"/>
              <w:widowControl/>
              <w:suppressLineNumbers w:val="0"/>
              <w:kinsoku/>
              <w:wordWrap/>
              <w:overflowPunct/>
              <w:topLinePunct w:val="0"/>
              <w:bidi w:val="0"/>
              <w:snapToGrid/>
              <w:spacing w:beforeAutospacing="0" w:afterAutospacing="0" w:line="400" w:lineRule="exact"/>
              <w:ind w:right="0" w:firstLine="420" w:firstLineChars="200"/>
              <w:jc w:val="left"/>
              <w:textAlignment w:val="center"/>
              <w:rPr>
                <w:rFonts w:hint="eastAsia"/>
                <w:lang w:val="en-US" w:eastAsia="zh-CN"/>
              </w:rPr>
            </w:pPr>
            <w:r>
              <w:rPr>
                <w:rFonts w:hint="eastAsia" w:ascii="宋体" w:hAnsi="宋体" w:eastAsia="宋体" w:cs="宋体"/>
                <w:b w:val="0"/>
                <w:bCs w:val="0"/>
                <w:kern w:val="0"/>
                <w:sz w:val="21"/>
                <w:szCs w:val="21"/>
                <w:lang w:val="en-US" w:eastAsia="zh-CN"/>
              </w:rPr>
              <w:t>3.</w:t>
            </w:r>
            <w:r>
              <w:rPr>
                <w:rFonts w:hint="eastAsia" w:ascii="宋体" w:hAnsi="宋体" w:eastAsia="宋体" w:cs="宋体"/>
                <w:b w:val="0"/>
                <w:bCs w:val="0"/>
                <w:kern w:val="0"/>
                <w:sz w:val="21"/>
                <w:szCs w:val="21"/>
              </w:rPr>
              <w:t>质保期：</w:t>
            </w:r>
            <w:r>
              <w:rPr>
                <w:rFonts w:hint="eastAsia" w:ascii="宋体" w:hAnsi="宋体" w:eastAsia="宋体" w:cs="宋体"/>
                <w:b w:val="0"/>
                <w:bCs w:val="0"/>
                <w:lang w:val="en-US" w:eastAsia="zh-CN"/>
              </w:rPr>
              <w:t>采购部分的非一次性消耗品</w:t>
            </w:r>
            <w:r>
              <w:rPr>
                <w:rFonts w:hint="eastAsia" w:ascii="宋体" w:hAnsi="宋体" w:eastAsia="宋体" w:cs="宋体"/>
                <w:b w:val="0"/>
                <w:bCs w:val="0"/>
                <w:kern w:val="0"/>
                <w:sz w:val="21"/>
                <w:szCs w:val="21"/>
              </w:rPr>
              <w:t>自双方代表在货物验收单上签字之日起</w:t>
            </w:r>
            <w:r>
              <w:rPr>
                <w:rFonts w:hint="eastAsia" w:ascii="宋体" w:hAnsi="宋体" w:eastAsia="宋体" w:cs="宋体"/>
                <w:b w:val="0"/>
                <w:bCs w:val="0"/>
                <w:color w:val="000000" w:themeColor="text1"/>
                <w:kern w:val="0"/>
                <w:sz w:val="21"/>
                <w:szCs w:val="21"/>
                <w14:textFill>
                  <w14:solidFill>
                    <w14:schemeClr w14:val="tx1"/>
                  </w14:solidFill>
                </w14:textFill>
              </w:rPr>
              <w:t>12</w:t>
            </w:r>
            <w:r>
              <w:rPr>
                <w:rFonts w:hint="eastAsia" w:ascii="宋体" w:hAnsi="宋体" w:eastAsia="宋体" w:cs="宋体"/>
                <w:b w:val="0"/>
                <w:bCs w:val="0"/>
                <w:kern w:val="0"/>
                <w:sz w:val="21"/>
                <w:szCs w:val="21"/>
              </w:rPr>
              <w:t>个月。</w:t>
            </w:r>
          </w:p>
          <w:p>
            <w:pPr>
              <w:keepNext w:val="0"/>
              <w:keepLines w:val="0"/>
              <w:pageBreakBefore w:val="0"/>
              <w:widowControl w:val="0"/>
              <w:suppressLineNumbers w:val="0"/>
              <w:kinsoku/>
              <w:wordWrap/>
              <w:overflowPunct/>
              <w:topLinePunct w:val="0"/>
              <w:bidi w:val="0"/>
              <w:snapToGrid/>
              <w:spacing w:beforeAutospacing="0" w:afterAutospacing="0" w:line="400" w:lineRule="exact"/>
              <w:ind w:right="0" w:firstLine="420" w:firstLineChars="200"/>
              <w:jc w:val="both"/>
              <w:textAlignment w:val="auto"/>
              <w:outlineLvl w:val="9"/>
              <w:rPr>
                <w:rFonts w:hint="eastAsia" w:ascii="宋体" w:hAnsi="宋体" w:cs="宋体"/>
                <w:color w:val="auto"/>
                <w:sz w:val="21"/>
                <w:szCs w:val="21"/>
                <w:highlight w:val="none"/>
                <w:lang w:eastAsia="zh-CN"/>
              </w:rPr>
            </w:pPr>
            <w:r>
              <w:rPr>
                <w:rFonts w:hint="eastAsia"/>
                <w:lang w:val="en-US" w:eastAsia="zh-CN"/>
              </w:rPr>
              <w:t>4.</w:t>
            </w:r>
            <w:r>
              <w:rPr>
                <w:rFonts w:hint="eastAsia" w:ascii="宋体" w:hAnsi="宋体" w:eastAsia="宋体" w:cs="宋体"/>
                <w:color w:val="auto"/>
                <w:sz w:val="21"/>
                <w:szCs w:val="21"/>
                <w:highlight w:val="none"/>
                <w:lang w:val="en-US" w:eastAsia="zh-CN"/>
              </w:rPr>
              <w:t>采购部分</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售后服务要求</w:t>
            </w:r>
            <w:r>
              <w:rPr>
                <w:rFonts w:hint="eastAsia" w:ascii="宋体" w:hAnsi="宋体" w:cs="宋体"/>
                <w:color w:val="auto"/>
                <w:sz w:val="21"/>
                <w:szCs w:val="21"/>
                <w:highlight w:val="none"/>
                <w:lang w:eastAsia="zh-CN"/>
              </w:rPr>
              <w:t>：</w:t>
            </w:r>
          </w:p>
          <w:p>
            <w:pPr>
              <w:keepNext w:val="0"/>
              <w:keepLines w:val="0"/>
              <w:pageBreakBefore w:val="0"/>
              <w:widowControl w:val="0"/>
              <w:suppressLineNumbers w:val="0"/>
              <w:kinsoku/>
              <w:wordWrap/>
              <w:overflowPunct/>
              <w:topLinePunct w:val="0"/>
              <w:bidi w:val="0"/>
              <w:snapToGrid/>
              <w:spacing w:beforeAutospacing="0" w:afterAutospacing="0" w:line="400" w:lineRule="exact"/>
              <w:ind w:right="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采购人遇到使用或技术问题，电话咨询不能解决的，供应商应在</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小时内到达现场进行处理，到达现场后</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小时内排除故障，恢复正常使用。必须按国家及行业标准对故障进行及时处理。</w:t>
            </w:r>
          </w:p>
          <w:p>
            <w:pPr>
              <w:keepNext w:val="0"/>
              <w:keepLines w:val="0"/>
              <w:pageBreakBefore w:val="0"/>
              <w:widowControl w:val="0"/>
              <w:suppressLineNumbers w:val="0"/>
              <w:kinsoku/>
              <w:wordWrap/>
              <w:overflowPunct/>
              <w:topLinePunct w:val="0"/>
              <w:bidi w:val="0"/>
              <w:snapToGrid/>
              <w:spacing w:beforeAutospacing="0" w:afterAutospacing="0" w:line="400" w:lineRule="exact"/>
              <w:ind w:left="0" w:leftChars="0" w:right="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所供产品必须符合相关国家、地方标准，如采购人发现所提供的产品不符合要求的，有权要求在24小时内进行退换合格产品。</w:t>
            </w:r>
          </w:p>
          <w:p>
            <w:pPr>
              <w:keepNext w:val="0"/>
              <w:keepLines w:val="0"/>
              <w:pageBreakBefore w:val="0"/>
              <w:widowControl w:val="0"/>
              <w:suppressLineNumbers w:val="0"/>
              <w:kinsoku/>
              <w:wordWrap/>
              <w:overflowPunct/>
              <w:topLinePunct w:val="0"/>
              <w:bidi w:val="0"/>
              <w:snapToGrid/>
              <w:spacing w:beforeAutospacing="0" w:afterAutospacing="0" w:line="400" w:lineRule="exact"/>
              <w:ind w:left="0" w:leftChars="0" w:right="0" w:firstLine="420" w:firstLineChars="200"/>
              <w:jc w:val="both"/>
              <w:textAlignment w:val="auto"/>
              <w:outlineLvl w:val="9"/>
              <w:rPr>
                <w:rFonts w:hint="default"/>
                <w:lang w:val="en-US" w:eastAsia="zh-CN"/>
              </w:rPr>
            </w:pPr>
            <w:r>
              <w:rPr>
                <w:rFonts w:hint="eastAsia" w:ascii="宋体" w:hAnsi="宋体" w:eastAsia="宋体" w:cs="宋体"/>
                <w:color w:val="auto"/>
                <w:kern w:val="0"/>
                <w:sz w:val="21"/>
                <w:szCs w:val="21"/>
                <w:highlight w:val="none"/>
                <w:lang w:val="en-US" w:eastAsia="zh-CN" w:bidi="ar-SA"/>
              </w:rPr>
              <w:t>（4）供应商须提供上门服务，</w:t>
            </w:r>
            <w:r>
              <w:rPr>
                <w:rFonts w:hint="eastAsia" w:ascii="宋体" w:hAnsi="宋体" w:eastAsia="宋体" w:cs="宋体"/>
                <w:color w:val="auto"/>
                <w:kern w:val="0"/>
                <w:sz w:val="21"/>
                <w:szCs w:val="21"/>
                <w:highlight w:val="none"/>
              </w:rPr>
              <w:t>不得以任何理由加收上门服务费</w:t>
            </w:r>
            <w:r>
              <w:rPr>
                <w:rFonts w:hint="eastAsia" w:ascii="宋体" w:hAnsi="宋体" w:eastAsia="宋体" w:cs="宋体"/>
                <w:color w:val="auto"/>
                <w:kern w:val="0"/>
                <w:sz w:val="21"/>
                <w:szCs w:val="21"/>
                <w:highlight w:val="none"/>
                <w:lang w:eastAsia="zh-CN"/>
              </w:rPr>
              <w:t>。</w:t>
            </w:r>
          </w:p>
          <w:p>
            <w:pPr>
              <w:pStyle w:val="2"/>
              <w:keepNext w:val="0"/>
              <w:keepLines w:val="0"/>
              <w:pageBreakBefore w:val="0"/>
              <w:kinsoku/>
              <w:wordWrap/>
              <w:overflowPunct/>
              <w:topLinePunct w:val="0"/>
              <w:bidi w:val="0"/>
              <w:snapToGrid/>
              <w:spacing w:after="0" w:line="400" w:lineRule="exact"/>
              <w:ind w:firstLine="420" w:firstLineChars="200"/>
              <w:rPr>
                <w:rFonts w:hint="eastAsia"/>
                <w:lang w:eastAsia="zh-CN"/>
              </w:rPr>
            </w:pPr>
            <w:r>
              <w:rPr>
                <w:rFonts w:hint="eastAsia"/>
                <w:lang w:val="en-US" w:eastAsia="zh-CN"/>
              </w:rPr>
              <w:t>5.租赁部分的货物每批次的租赁期限为自完成交货、安装、调试并经采购人验收合格之日起至当次军训结束；</w:t>
            </w:r>
            <w:r>
              <w:rPr>
                <w:rFonts w:hint="eastAsia"/>
                <w:lang w:eastAsia="zh-CN"/>
              </w:rPr>
              <w:t>租赁期限满后由供应商自行到采购人指定场地拆除、整理并回收租赁货物。</w:t>
            </w:r>
          </w:p>
          <w:p>
            <w:pPr>
              <w:pStyle w:val="3"/>
              <w:keepNext w:val="0"/>
              <w:keepLines w:val="0"/>
              <w:pageBreakBefore w:val="0"/>
              <w:kinsoku/>
              <w:wordWrap/>
              <w:overflowPunct/>
              <w:topLinePunct w:val="0"/>
              <w:bidi w:val="0"/>
              <w:snapToGrid/>
              <w:spacing w:beforeLines="0" w:afterLines="0" w:line="400" w:lineRule="exact"/>
              <w:ind w:firstLine="420"/>
              <w:rPr>
                <w:rFonts w:hint="eastAsia" w:hAnsi="宋体" w:cs="宋体"/>
                <w:color w:val="auto"/>
                <w:sz w:val="21"/>
                <w:szCs w:val="21"/>
                <w:highlight w:val="none"/>
                <w:lang w:val="en-US" w:eastAsia="zh-CN"/>
              </w:rPr>
            </w:pPr>
            <w:r>
              <w:rPr>
                <w:rFonts w:hint="eastAsia"/>
                <w:lang w:val="en-US" w:eastAsia="zh-CN"/>
              </w:rPr>
              <w:t>6.</w:t>
            </w:r>
            <w:r>
              <w:rPr>
                <w:rFonts w:hint="eastAsia" w:ascii="宋体" w:hAnsi="宋体" w:cs="宋体"/>
                <w:color w:val="auto"/>
                <w:sz w:val="21"/>
                <w:szCs w:val="21"/>
                <w:highlight w:val="none"/>
                <w:lang w:val="en-US" w:eastAsia="zh-CN"/>
              </w:rPr>
              <w:t>租赁部分的货物售后服务要求</w:t>
            </w:r>
            <w:r>
              <w:rPr>
                <w:rFonts w:hint="eastAsia" w:hAnsi="宋体" w:cs="宋体"/>
                <w:color w:val="auto"/>
                <w:sz w:val="21"/>
                <w:szCs w:val="21"/>
                <w:highlight w:val="none"/>
                <w:lang w:val="en-US" w:eastAsia="zh-CN"/>
              </w:rPr>
              <w:t>：</w:t>
            </w:r>
          </w:p>
          <w:p>
            <w:pPr>
              <w:keepNext w:val="0"/>
              <w:keepLines w:val="0"/>
              <w:pageBreakBefore w:val="0"/>
              <w:widowControl w:val="0"/>
              <w:suppressLineNumbers w:val="0"/>
              <w:kinsoku/>
              <w:wordWrap/>
              <w:overflowPunct/>
              <w:topLinePunct w:val="0"/>
              <w:bidi w:val="0"/>
              <w:snapToGrid/>
              <w:spacing w:beforeAutospacing="0" w:afterAutospacing="0" w:line="400" w:lineRule="exact"/>
              <w:ind w:left="0" w:leftChars="0" w:right="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）现场响应：采购人遇到使用或技术问题，电话咨询不能解决的，供应商应在</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小时内到达现场进行处理，到达现场后</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小时内排除故障，恢复正常使用。必须按国家及行业标准对故障进行及时处理。</w:t>
            </w:r>
          </w:p>
          <w:p>
            <w:pPr>
              <w:keepNext w:val="0"/>
              <w:keepLines w:val="0"/>
              <w:pageBreakBefore w:val="0"/>
              <w:widowControl w:val="0"/>
              <w:suppressLineNumbers w:val="0"/>
              <w:kinsoku/>
              <w:wordWrap/>
              <w:overflowPunct/>
              <w:topLinePunct w:val="0"/>
              <w:bidi w:val="0"/>
              <w:snapToGrid/>
              <w:spacing w:beforeAutospacing="0" w:afterAutospacing="0" w:line="400" w:lineRule="exact"/>
              <w:ind w:left="0" w:leftChars="0" w:right="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所供产品必须符合相关国家、地方标准，如采购人发现所提供的产品不符合要求的，有权要求在24小时内进行退换。</w:t>
            </w:r>
          </w:p>
          <w:p>
            <w:pPr>
              <w:keepNext w:val="0"/>
              <w:keepLines w:val="0"/>
              <w:pageBreakBefore w:val="0"/>
              <w:suppressLineNumbers w:val="0"/>
              <w:kinsoku/>
              <w:wordWrap/>
              <w:overflowPunct/>
              <w:topLinePunct w:val="0"/>
              <w:bidi w:val="0"/>
              <w:snapToGrid/>
              <w:spacing w:beforeAutospacing="0" w:afterAutospacing="0" w:line="400" w:lineRule="exact"/>
              <w:ind w:left="0" w:right="0"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）供应商须提供上门服务，</w:t>
            </w:r>
            <w:r>
              <w:rPr>
                <w:rFonts w:hint="eastAsia" w:ascii="宋体" w:hAnsi="宋体" w:eastAsia="宋体" w:cs="宋体"/>
                <w:color w:val="auto"/>
                <w:kern w:val="0"/>
                <w:sz w:val="21"/>
                <w:szCs w:val="21"/>
                <w:highlight w:val="none"/>
              </w:rPr>
              <w:t>不得以任何理由加收上门服务费</w:t>
            </w:r>
            <w:r>
              <w:rPr>
                <w:rFonts w:hint="eastAsia" w:ascii="宋体" w:hAnsi="宋体" w:eastAsia="宋体" w:cs="宋体"/>
                <w:color w:val="auto"/>
                <w:kern w:val="0"/>
                <w:sz w:val="21"/>
                <w:szCs w:val="21"/>
                <w:highlight w:val="none"/>
                <w:lang w:eastAsia="zh-CN"/>
              </w:rPr>
              <w:t>。</w:t>
            </w:r>
          </w:p>
          <w:p>
            <w:pPr>
              <w:pStyle w:val="3"/>
              <w:keepNext w:val="0"/>
              <w:keepLines w:val="0"/>
              <w:pageBreakBefore w:val="0"/>
              <w:kinsoku/>
              <w:wordWrap/>
              <w:overflowPunct/>
              <w:topLinePunct w:val="0"/>
              <w:bidi w:val="0"/>
              <w:snapToGrid/>
              <w:spacing w:beforeLines="0" w:afterLines="0" w:line="400" w:lineRule="exact"/>
              <w:ind w:firstLine="420" w:firstLineChars="200"/>
              <w:rPr>
                <w:rFonts w:hint="default" w:hAnsi="宋体" w:cs="宋体"/>
                <w:color w:val="auto"/>
                <w:sz w:val="21"/>
                <w:szCs w:val="21"/>
                <w:highlight w:val="none"/>
                <w:lang w:val="en-US" w:eastAsia="zh-CN"/>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lang w:eastAsia="zh-CN"/>
              </w:rPr>
              <w:t>）供应商在货物租赁期间应当配合采购人做好军事技能训练期间其所提供的军训器械的技术指导，并负责租赁物的日常管理。</w:t>
            </w:r>
          </w:p>
        </w:tc>
      </w:tr>
    </w:tbl>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报价公司（盖公章）：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法定代表人签字： </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报价时间：     年  月  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联系人及电话：</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92F7B9"/>
    <w:multiLevelType w:val="singleLevel"/>
    <w:tmpl w:val="4592F7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OWM3MDFiNjZhZmE4NWQzY2NkMGJmZDkxYWRjNmIifQ=="/>
  </w:docVars>
  <w:rsids>
    <w:rsidRoot w:val="75A82B76"/>
    <w:rsid w:val="00C00A9E"/>
    <w:rsid w:val="01CA5CC8"/>
    <w:rsid w:val="02F300B2"/>
    <w:rsid w:val="04BD0514"/>
    <w:rsid w:val="05325B7B"/>
    <w:rsid w:val="05812B41"/>
    <w:rsid w:val="070754A1"/>
    <w:rsid w:val="075E75DE"/>
    <w:rsid w:val="076444C8"/>
    <w:rsid w:val="08C711B3"/>
    <w:rsid w:val="096F0008"/>
    <w:rsid w:val="0A740EC6"/>
    <w:rsid w:val="115B693C"/>
    <w:rsid w:val="13785584"/>
    <w:rsid w:val="17EB3EBE"/>
    <w:rsid w:val="18003D99"/>
    <w:rsid w:val="1ADD3E43"/>
    <w:rsid w:val="1BFC453C"/>
    <w:rsid w:val="204213F3"/>
    <w:rsid w:val="20646293"/>
    <w:rsid w:val="24725679"/>
    <w:rsid w:val="25686927"/>
    <w:rsid w:val="27EE7E13"/>
    <w:rsid w:val="29B45034"/>
    <w:rsid w:val="2BAF1907"/>
    <w:rsid w:val="2C02412C"/>
    <w:rsid w:val="2C537074"/>
    <w:rsid w:val="31556940"/>
    <w:rsid w:val="31F44517"/>
    <w:rsid w:val="328C5594"/>
    <w:rsid w:val="350B22A4"/>
    <w:rsid w:val="35474F38"/>
    <w:rsid w:val="37313B18"/>
    <w:rsid w:val="37321E9F"/>
    <w:rsid w:val="39477622"/>
    <w:rsid w:val="3F1E2D5E"/>
    <w:rsid w:val="40D40653"/>
    <w:rsid w:val="45E05087"/>
    <w:rsid w:val="462A4554"/>
    <w:rsid w:val="47CF0EAE"/>
    <w:rsid w:val="4C2C208C"/>
    <w:rsid w:val="4E246B25"/>
    <w:rsid w:val="500B0950"/>
    <w:rsid w:val="50642410"/>
    <w:rsid w:val="50DD1B6F"/>
    <w:rsid w:val="513756A7"/>
    <w:rsid w:val="52072DED"/>
    <w:rsid w:val="522307D5"/>
    <w:rsid w:val="53D621B6"/>
    <w:rsid w:val="54D327C5"/>
    <w:rsid w:val="54ED0C26"/>
    <w:rsid w:val="553625CD"/>
    <w:rsid w:val="556D15B7"/>
    <w:rsid w:val="5A56101C"/>
    <w:rsid w:val="5C491C4D"/>
    <w:rsid w:val="5E616FBB"/>
    <w:rsid w:val="5F714FD5"/>
    <w:rsid w:val="62E96ED1"/>
    <w:rsid w:val="65C459D3"/>
    <w:rsid w:val="66721579"/>
    <w:rsid w:val="668F6637"/>
    <w:rsid w:val="66AA6977"/>
    <w:rsid w:val="6893490A"/>
    <w:rsid w:val="6E7F50C9"/>
    <w:rsid w:val="71FB452B"/>
    <w:rsid w:val="7298218F"/>
    <w:rsid w:val="75A82B76"/>
    <w:rsid w:val="764778C8"/>
    <w:rsid w:val="7BCE4A5E"/>
    <w:rsid w:val="7C43369E"/>
    <w:rsid w:val="7DA805DC"/>
    <w:rsid w:val="7E731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0"/>
    <w:pPr>
      <w:spacing w:after="120"/>
    </w:pPr>
  </w:style>
  <w:style w:type="paragraph" w:customStyle="1" w:styleId="3">
    <w:name w:val="Default"/>
    <w:autoRedefine/>
    <w:unhideWhenUsed/>
    <w:qFormat/>
    <w:uiPriority w:val="0"/>
    <w:pPr>
      <w:widowControl w:val="0"/>
      <w:autoSpaceDE w:val="0"/>
      <w:autoSpaceDN w:val="0"/>
      <w:adjustRightInd w:val="0"/>
      <w:spacing w:beforeLines="0" w:afterLines="0"/>
    </w:pPr>
    <w:rPr>
      <w:rFonts w:hint="eastAsia" w:ascii="宋体" w:hAnsi="Times New Roman" w:eastAsia="宋体" w:cs="宋体"/>
      <w:color w:val="000000"/>
      <w:sz w:val="24"/>
      <w:szCs w:val="24"/>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4073</Words>
  <Characters>4413</Characters>
  <Lines>0</Lines>
  <Paragraphs>0</Paragraphs>
  <TotalTime>60</TotalTime>
  <ScaleCrop>false</ScaleCrop>
  <LinksUpToDate>false</LinksUpToDate>
  <CharactersWithSpaces>5109</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2023-06-19T05:59:00Z</dcterms:created>
  <dc:creator>肖峻峰</dc:creator>
  <cp:lastModifiedBy>weiling</cp:lastModifiedBy>
  <cp:lastPrinted>2023-06-19T07:45:00Z</cp:lastPrinted>
  <dcterms:modified xsi:type="dcterms:W3CDTF">2024-10-17T02:55:12Z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B6DFBE9D3A804C2E9F3BCAE29E51E6D5_11</vt:lpwstr>
  </property>
</Properties>
</file>