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Ansi="仿宋"/>
          <w:bCs/>
          <w:color w:val="0000FF"/>
          <w:sz w:val="36"/>
          <w:szCs w:val="36"/>
          <w:u w:val="single"/>
        </w:rPr>
      </w:pPr>
      <w:r>
        <w:rPr>
          <w:rFonts w:hint="eastAsia" w:cs="仿宋_GB2312"/>
          <w:kern w:val="0"/>
          <w:szCs w:val="32"/>
        </w:rPr>
        <w:t>附件</w:t>
      </w:r>
    </w:p>
    <w:p>
      <w:pPr>
        <w:ind w:firstLine="0" w:firstLineChars="0"/>
        <w:jc w:val="center"/>
        <w:rPr>
          <w:rFonts w:hAnsi="仿宋"/>
          <w:b/>
          <w:sz w:val="36"/>
          <w:szCs w:val="36"/>
        </w:rPr>
      </w:pPr>
      <w:r>
        <w:rPr>
          <w:rFonts w:hint="eastAsia" w:hAnsi="仿宋"/>
          <w:b/>
          <w:sz w:val="36"/>
          <w:szCs w:val="36"/>
        </w:rPr>
        <w:t>2022年7月-2025年7月广西财经学院多校区光纤互联线路租赁项目报价表</w:t>
      </w:r>
    </w:p>
    <w:tbl>
      <w:tblPr>
        <w:tblStyle w:val="7"/>
        <w:tblpPr w:leftFromText="180" w:rightFromText="180" w:vertAnchor="text" w:tblpY="167"/>
        <w:tblW w:w="14280" w:type="dxa"/>
        <w:tblInd w:w="0" w:type="dxa"/>
        <w:tblLayout w:type="fixed"/>
        <w:tblCellMar>
          <w:top w:w="0" w:type="dxa"/>
          <w:left w:w="108" w:type="dxa"/>
          <w:bottom w:w="0" w:type="dxa"/>
          <w:right w:w="108" w:type="dxa"/>
        </w:tblCellMar>
      </w:tblPr>
      <w:tblGrid>
        <w:gridCol w:w="1445"/>
        <w:gridCol w:w="5851"/>
        <w:gridCol w:w="566"/>
        <w:gridCol w:w="700"/>
        <w:gridCol w:w="1917"/>
        <w:gridCol w:w="1633"/>
        <w:gridCol w:w="900"/>
        <w:gridCol w:w="1268"/>
      </w:tblGrid>
      <w:tr>
        <w:tblPrEx>
          <w:tblCellMar>
            <w:top w:w="0" w:type="dxa"/>
            <w:left w:w="108" w:type="dxa"/>
            <w:bottom w:w="0" w:type="dxa"/>
            <w:right w:w="108" w:type="dxa"/>
          </w:tblCellMar>
        </w:tblPrEx>
        <w:trPr>
          <w:trHeight w:val="645" w:hRule="atLeast"/>
        </w:trPr>
        <w:tc>
          <w:tcPr>
            <w:tcW w:w="1445"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品名</w:t>
            </w:r>
          </w:p>
        </w:tc>
        <w:tc>
          <w:tcPr>
            <w:tcW w:w="5851" w:type="dxa"/>
            <w:tcBorders>
              <w:top w:val="single" w:color="auto" w:sz="4" w:space="0"/>
              <w:left w:val="nil"/>
              <w:bottom w:val="single" w:color="auto" w:sz="4" w:space="0"/>
              <w:right w:val="single" w:color="auto" w:sz="4" w:space="0"/>
            </w:tcBorders>
            <w:noWrap/>
            <w:vAlign w:val="center"/>
          </w:tcPr>
          <w:p>
            <w:pPr>
              <w:widowControl/>
              <w:ind w:firstLine="562"/>
              <w:rPr>
                <w:rFonts w:ascii="宋体" w:hAnsi="宋体" w:cs="宋体"/>
                <w:b/>
                <w:bCs/>
                <w:kern w:val="0"/>
                <w:sz w:val="28"/>
                <w:szCs w:val="28"/>
              </w:rPr>
            </w:pPr>
            <w:r>
              <w:rPr>
                <w:rFonts w:hint="eastAsia" w:ascii="宋体" w:hAnsi="宋体" w:cs="宋体"/>
                <w:b/>
                <w:bCs/>
                <w:kern w:val="0"/>
                <w:sz w:val="28"/>
                <w:szCs w:val="28"/>
              </w:rPr>
              <w:t>具体（详细）规格参数</w:t>
            </w:r>
          </w:p>
        </w:tc>
        <w:tc>
          <w:tcPr>
            <w:tcW w:w="566"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单位</w:t>
            </w:r>
          </w:p>
        </w:tc>
        <w:tc>
          <w:tcPr>
            <w:tcW w:w="700"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数量</w:t>
            </w:r>
          </w:p>
        </w:tc>
        <w:tc>
          <w:tcPr>
            <w:tcW w:w="1917"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单价（元）</w:t>
            </w:r>
          </w:p>
        </w:tc>
        <w:tc>
          <w:tcPr>
            <w:tcW w:w="1633"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金额（元）</w:t>
            </w:r>
          </w:p>
        </w:tc>
        <w:tc>
          <w:tcPr>
            <w:tcW w:w="900"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是否响应</w:t>
            </w:r>
          </w:p>
        </w:tc>
        <w:tc>
          <w:tcPr>
            <w:tcW w:w="1268" w:type="dxa"/>
            <w:tcBorders>
              <w:top w:val="single" w:color="auto" w:sz="4" w:space="0"/>
              <w:left w:val="nil"/>
              <w:bottom w:val="single" w:color="auto" w:sz="4" w:space="0"/>
              <w:right w:val="single" w:color="auto" w:sz="4" w:space="0"/>
            </w:tcBorders>
            <w:noWrap/>
            <w:vAlign w:val="center"/>
          </w:tcPr>
          <w:p>
            <w:pPr>
              <w:widowControl/>
              <w:ind w:firstLine="0" w:firstLineChars="0"/>
              <w:rPr>
                <w:rFonts w:ascii="宋体" w:hAnsi="宋体" w:cs="宋体"/>
                <w:b/>
                <w:bCs/>
                <w:kern w:val="0"/>
                <w:sz w:val="28"/>
                <w:szCs w:val="28"/>
              </w:rPr>
            </w:pPr>
            <w:r>
              <w:rPr>
                <w:rFonts w:hint="eastAsia" w:ascii="宋体" w:hAnsi="宋体" w:cs="宋体"/>
                <w:b/>
                <w:bCs/>
                <w:kern w:val="0"/>
                <w:sz w:val="28"/>
                <w:szCs w:val="28"/>
              </w:rPr>
              <w:t>备注（参考）</w:t>
            </w:r>
          </w:p>
        </w:tc>
      </w:tr>
      <w:tr>
        <w:tblPrEx>
          <w:tblCellMar>
            <w:top w:w="0" w:type="dxa"/>
            <w:left w:w="108" w:type="dxa"/>
            <w:bottom w:w="0" w:type="dxa"/>
            <w:right w:w="108" w:type="dxa"/>
          </w:tblCellMar>
        </w:tblPrEx>
        <w:trPr>
          <w:trHeight w:val="3657" w:hRule="atLeast"/>
        </w:trPr>
        <w:tc>
          <w:tcPr>
            <w:tcW w:w="1445" w:type="dxa"/>
            <w:tcBorders>
              <w:top w:val="nil"/>
              <w:left w:val="single" w:color="auto" w:sz="4" w:space="0"/>
              <w:bottom w:val="single" w:color="auto" w:sz="4" w:space="0"/>
              <w:right w:val="single" w:color="auto" w:sz="4" w:space="0"/>
            </w:tcBorders>
            <w:noWrap/>
            <w:vAlign w:val="center"/>
          </w:tcPr>
          <w:p>
            <w:pPr>
              <w:widowControl/>
              <w:ind w:firstLine="0" w:firstLineChars="0"/>
              <w:jc w:val="left"/>
              <w:rPr>
                <w:rFonts w:cs="仿宋_GB2312"/>
                <w:kern w:val="0"/>
                <w:sz w:val="28"/>
                <w:szCs w:val="28"/>
              </w:rPr>
            </w:pPr>
            <w:r>
              <w:rPr>
                <w:rFonts w:hint="eastAsia" w:cs="仿宋_GB2312"/>
                <w:color w:val="000000"/>
                <w:sz w:val="28"/>
                <w:szCs w:val="28"/>
              </w:rPr>
              <w:t>2022年7月-2025年7月广西财经学院多校区光纤互联线路租赁</w:t>
            </w:r>
          </w:p>
        </w:tc>
        <w:tc>
          <w:tcPr>
            <w:tcW w:w="5851" w:type="dxa"/>
            <w:tcBorders>
              <w:top w:val="nil"/>
              <w:left w:val="nil"/>
              <w:bottom w:val="single" w:color="auto" w:sz="4" w:space="0"/>
              <w:right w:val="single" w:color="auto" w:sz="4" w:space="0"/>
            </w:tcBorders>
            <w:noWrap/>
            <w:vAlign w:val="center"/>
          </w:tcPr>
          <w:p>
            <w:pPr>
              <w:ind w:firstLine="0" w:firstLineChars="0"/>
              <w:jc w:val="left"/>
            </w:pPr>
            <w:r>
              <w:rPr>
                <w:rFonts w:hint="eastAsia"/>
              </w:rPr>
              <w:t>1.（明秀校区-相思湖校区）点对点纤芯租用，纤芯传输从本院明秀校区中心机房沿大学路-清川路-江北大道-相思湖校区中心机房；</w:t>
            </w:r>
          </w:p>
          <w:p>
            <w:pPr>
              <w:ind w:firstLine="0" w:firstLineChars="0"/>
              <w:jc w:val="left"/>
            </w:pPr>
            <w:r>
              <w:rPr>
                <w:rFonts w:hint="eastAsia"/>
              </w:rPr>
              <w:t>2.（明秀校区-秀灵宿舍）点对点纤芯租用，纤芯传输从本院明秀校区中心机房-秀灵路-秀灵宿舍；</w:t>
            </w:r>
          </w:p>
          <w:p>
            <w:pPr>
              <w:ind w:firstLine="0" w:firstLineChars="0"/>
              <w:jc w:val="left"/>
            </w:pPr>
            <w:r>
              <w:rPr>
                <w:rFonts w:hint="eastAsia"/>
              </w:rPr>
              <w:t>3.明秀校区-相思湖校区点对点4芯裸纤，明秀校区-秀灵宿舍点对点1芯裸纤；</w:t>
            </w:r>
          </w:p>
          <w:p>
            <w:pPr>
              <w:ind w:firstLine="0" w:firstLineChars="0"/>
              <w:jc w:val="left"/>
            </w:pPr>
            <w:r>
              <w:rPr>
                <w:rFonts w:hint="eastAsia"/>
              </w:rPr>
              <w:t>4.光纤所附标记、标签内容齐全和清晰，光纤外护套完整无损，光纤有出厂质量检验合格证；</w:t>
            </w:r>
          </w:p>
          <w:p>
            <w:pPr>
              <w:ind w:firstLine="0" w:firstLineChars="0"/>
              <w:jc w:val="left"/>
            </w:pPr>
            <w:r>
              <w:rPr>
                <w:rFonts w:hint="eastAsia"/>
              </w:rPr>
              <w:t>5.光纤布放留有冗余，多余光纤盘成圆圈来存放，光纤盘曲半径至少为光纤外径的15倍，预留长度3-5米，敷设光纤的两端贴上标签，以表明起始位置和终点位置（附线路施工图并盖章）；</w:t>
            </w:r>
          </w:p>
          <w:p>
            <w:pPr>
              <w:ind w:firstLine="0" w:firstLineChars="0"/>
              <w:jc w:val="left"/>
            </w:pPr>
            <w:r>
              <w:rPr>
                <w:rFonts w:hint="eastAsia"/>
              </w:rPr>
              <w:t>6.光纤跳线具有经过防火处理的光纤保护包皮，两端的活动连接器端面装备有合适的保护盖帽，每跟光纤接插线的光纤类型有明显的标记。</w:t>
            </w:r>
          </w:p>
          <w:p>
            <w:pPr>
              <w:ind w:firstLine="0" w:firstLineChars="0"/>
              <w:jc w:val="left"/>
            </w:pPr>
            <w:r>
              <w:rPr>
                <w:rFonts w:hint="eastAsia"/>
              </w:rPr>
              <w:t>7.供应商交货完毕后，需进行光衰测试，光纤衰减值控制在-10db以内，并提供光衰的测试报告。</w:t>
            </w:r>
          </w:p>
          <w:p>
            <w:pPr>
              <w:widowControl/>
              <w:ind w:firstLine="0" w:firstLineChars="0"/>
            </w:pPr>
            <w:r>
              <w:rPr>
                <w:rFonts w:hint="eastAsia"/>
              </w:rPr>
              <w:t>8.售后服务要求：</w:t>
            </w:r>
          </w:p>
          <w:p>
            <w:pPr>
              <w:ind w:firstLine="0" w:firstLineChars="0"/>
            </w:pPr>
            <w:r>
              <w:t xml:space="preserve">  (1) 接入网点的线路及设备均符合国家技术规范。</w:t>
            </w:r>
          </w:p>
          <w:p>
            <w:pPr>
              <w:ind w:firstLine="0" w:firstLineChars="0"/>
            </w:pPr>
            <w:r>
              <w:t xml:space="preserve">  (2) 负责接入管道线路的施工、提供接口设备和安装调试，负责光纤的全程调试开通工作，并负责日后光纤及与之相关设备的终身免费维修工作。</w:t>
            </w:r>
          </w:p>
          <w:p>
            <w:pPr>
              <w:ind w:firstLine="0" w:firstLineChars="0"/>
            </w:pPr>
            <w:r>
              <w:t xml:space="preserve">  (3) 采用客户经理负责制，提供一站式绿色服务通道，供应商指定专管该项目的客户经理对采购单位所开通的业务提供优质、全方位服务。</w:t>
            </w:r>
          </w:p>
          <w:p>
            <w:pPr>
              <w:ind w:firstLine="0" w:firstLineChars="0"/>
            </w:pPr>
            <w:r>
              <w:t xml:space="preserve">  (4) 免费提供完善的操作培训或技术培方案，免费现场培训技术员 2 名以上，保证熟练掌握全部功能为止。</w:t>
            </w:r>
          </w:p>
          <w:p>
            <w:pPr>
              <w:ind w:firstLine="0" w:firstLineChars="0"/>
            </w:pPr>
            <w:r>
              <w:t xml:space="preserve">  (5) 提供7×24小时故障申告受理。对于一般光纤故障，处理时间不超过4小时，超过4小时不能处的，需提供备用线路；对于严重光纤，处理时间不超过 8 小时。</w:t>
            </w:r>
          </w:p>
        </w:tc>
        <w:tc>
          <w:tcPr>
            <w:tcW w:w="566" w:type="dxa"/>
            <w:tcBorders>
              <w:top w:val="nil"/>
              <w:left w:val="nil"/>
              <w:bottom w:val="single" w:color="auto" w:sz="4" w:space="0"/>
              <w:right w:val="single" w:color="auto" w:sz="4" w:space="0"/>
            </w:tcBorders>
            <w:vAlign w:val="center"/>
          </w:tcPr>
          <w:p>
            <w:pPr>
              <w:widowControl/>
              <w:ind w:firstLine="0" w:firstLineChars="0"/>
              <w:jc w:val="left"/>
              <w:rPr>
                <w:rFonts w:hint="eastAsia" w:eastAsia="仿宋_GB2312" w:cs="仿宋_GB2312"/>
                <w:kern w:val="0"/>
                <w:sz w:val="28"/>
                <w:szCs w:val="28"/>
                <w:lang w:eastAsia="zh-CN"/>
              </w:rPr>
            </w:pPr>
            <w:r>
              <w:rPr>
                <w:rFonts w:hint="eastAsia" w:cs="仿宋_GB2312"/>
                <w:kern w:val="0"/>
                <w:sz w:val="28"/>
                <w:szCs w:val="28"/>
                <w:lang w:val="en-US" w:eastAsia="zh-CN"/>
              </w:rPr>
              <w:t>年</w:t>
            </w:r>
          </w:p>
        </w:tc>
        <w:tc>
          <w:tcPr>
            <w:tcW w:w="700" w:type="dxa"/>
            <w:tcBorders>
              <w:top w:val="nil"/>
              <w:left w:val="nil"/>
              <w:bottom w:val="single" w:color="auto" w:sz="4" w:space="0"/>
              <w:right w:val="single" w:color="auto" w:sz="4" w:space="0"/>
            </w:tcBorders>
            <w:vAlign w:val="center"/>
          </w:tcPr>
          <w:p>
            <w:pPr>
              <w:widowControl/>
              <w:ind w:firstLine="0" w:firstLineChars="0"/>
              <w:rPr>
                <w:rFonts w:hint="eastAsia" w:eastAsia="仿宋_GB2312" w:cs="仿宋_GB2312"/>
                <w:kern w:val="0"/>
                <w:sz w:val="28"/>
                <w:szCs w:val="28"/>
                <w:lang w:eastAsia="zh-CN"/>
              </w:rPr>
            </w:pPr>
            <w:r>
              <w:rPr>
                <w:rFonts w:hint="eastAsia" w:cs="仿宋_GB2312"/>
                <w:kern w:val="0"/>
                <w:sz w:val="28"/>
                <w:szCs w:val="28"/>
                <w:lang w:val="en-US" w:eastAsia="zh-CN"/>
              </w:rPr>
              <w:t>3</w:t>
            </w:r>
          </w:p>
        </w:tc>
        <w:tc>
          <w:tcPr>
            <w:tcW w:w="1917" w:type="dxa"/>
            <w:tcBorders>
              <w:top w:val="nil"/>
              <w:left w:val="nil"/>
              <w:bottom w:val="single" w:color="auto" w:sz="4" w:space="0"/>
              <w:right w:val="single" w:color="auto" w:sz="4" w:space="0"/>
            </w:tcBorders>
            <w:noWrap/>
            <w:vAlign w:val="center"/>
          </w:tcPr>
          <w:p>
            <w:pPr>
              <w:widowControl/>
              <w:ind w:firstLine="560"/>
              <w:jc w:val="center"/>
              <w:rPr>
                <w:rFonts w:cs="仿宋_GB2312"/>
                <w:kern w:val="0"/>
                <w:sz w:val="28"/>
                <w:szCs w:val="28"/>
              </w:rPr>
            </w:pPr>
            <w:bookmarkStart w:id="0" w:name="_GoBack"/>
            <w:bookmarkEnd w:id="0"/>
          </w:p>
        </w:tc>
        <w:tc>
          <w:tcPr>
            <w:tcW w:w="1633" w:type="dxa"/>
            <w:tcBorders>
              <w:top w:val="nil"/>
              <w:left w:val="nil"/>
              <w:bottom w:val="single" w:color="auto" w:sz="4" w:space="0"/>
              <w:right w:val="single" w:color="auto" w:sz="4" w:space="0"/>
            </w:tcBorders>
            <w:noWrap/>
            <w:vAlign w:val="center"/>
          </w:tcPr>
          <w:p>
            <w:pPr>
              <w:widowControl/>
              <w:ind w:firstLine="560"/>
              <w:jc w:val="right"/>
              <w:rPr>
                <w:rFonts w:cs="仿宋_GB2312"/>
                <w:kern w:val="0"/>
                <w:sz w:val="28"/>
                <w:szCs w:val="28"/>
              </w:rPr>
            </w:pPr>
          </w:p>
        </w:tc>
        <w:tc>
          <w:tcPr>
            <w:tcW w:w="900" w:type="dxa"/>
            <w:tcBorders>
              <w:top w:val="nil"/>
              <w:left w:val="nil"/>
              <w:bottom w:val="single" w:color="auto" w:sz="4" w:space="0"/>
              <w:right w:val="single" w:color="auto" w:sz="4" w:space="0"/>
            </w:tcBorders>
            <w:noWrap/>
            <w:vAlign w:val="center"/>
          </w:tcPr>
          <w:p>
            <w:pPr>
              <w:widowControl/>
              <w:ind w:firstLine="560"/>
              <w:jc w:val="right"/>
              <w:rPr>
                <w:rFonts w:cs="仿宋_GB2312"/>
                <w:kern w:val="0"/>
                <w:sz w:val="28"/>
                <w:szCs w:val="28"/>
              </w:rPr>
            </w:pPr>
          </w:p>
        </w:tc>
        <w:tc>
          <w:tcPr>
            <w:tcW w:w="1268" w:type="dxa"/>
            <w:tcBorders>
              <w:top w:val="nil"/>
              <w:left w:val="nil"/>
              <w:bottom w:val="single" w:color="auto" w:sz="4" w:space="0"/>
              <w:right w:val="single" w:color="auto" w:sz="4" w:space="0"/>
            </w:tcBorders>
            <w:noWrap/>
            <w:vAlign w:val="center"/>
          </w:tcPr>
          <w:p>
            <w:pPr>
              <w:widowControl/>
              <w:ind w:firstLine="560"/>
              <w:jc w:val="center"/>
              <w:rPr>
                <w:rFonts w:cs="仿宋_GB2312"/>
                <w:kern w:val="0"/>
                <w:sz w:val="28"/>
                <w:szCs w:val="28"/>
              </w:rPr>
            </w:pPr>
          </w:p>
        </w:tc>
      </w:tr>
      <w:tr>
        <w:tblPrEx>
          <w:tblCellMar>
            <w:top w:w="0" w:type="dxa"/>
            <w:left w:w="108" w:type="dxa"/>
            <w:bottom w:w="0" w:type="dxa"/>
            <w:right w:w="108" w:type="dxa"/>
          </w:tblCellMar>
        </w:tblPrEx>
        <w:trPr>
          <w:trHeight w:val="570" w:hRule="atLeast"/>
        </w:trPr>
        <w:tc>
          <w:tcPr>
            <w:tcW w:w="1445" w:type="dxa"/>
            <w:tcBorders>
              <w:top w:val="nil"/>
              <w:left w:val="single" w:color="auto" w:sz="4" w:space="0"/>
              <w:bottom w:val="single" w:color="auto" w:sz="4" w:space="0"/>
              <w:right w:val="single" w:color="auto" w:sz="4" w:space="0"/>
            </w:tcBorders>
            <w:noWrap/>
            <w:vAlign w:val="center"/>
          </w:tcPr>
          <w:p>
            <w:pPr>
              <w:ind w:firstLine="0" w:firstLineChars="0"/>
              <w:rPr>
                <w:rFonts w:eastAsia="等线"/>
              </w:rPr>
            </w:pPr>
            <w:r>
              <w:rPr>
                <w:rFonts w:hint="eastAsia" w:ascii="宋体" w:hAnsi="宋体" w:cs="宋体"/>
                <w:kern w:val="0"/>
                <w:sz w:val="24"/>
              </w:rPr>
              <w:t>合计</w:t>
            </w:r>
          </w:p>
        </w:tc>
        <w:tc>
          <w:tcPr>
            <w:tcW w:w="5851" w:type="dxa"/>
            <w:tcBorders>
              <w:top w:val="nil"/>
              <w:left w:val="nil"/>
              <w:bottom w:val="single" w:color="auto" w:sz="4" w:space="0"/>
              <w:right w:val="single" w:color="auto" w:sz="4" w:space="0"/>
            </w:tcBorders>
            <w:noWrap/>
            <w:vAlign w:val="center"/>
          </w:tcPr>
          <w:p>
            <w:pPr>
              <w:ind w:firstLine="480"/>
              <w:jc w:val="center"/>
              <w:rPr>
                <w:rFonts w:ascii="宋体" w:hAnsi="宋体" w:cs="宋体"/>
                <w:sz w:val="24"/>
              </w:rPr>
            </w:pPr>
          </w:p>
        </w:tc>
        <w:tc>
          <w:tcPr>
            <w:tcW w:w="566" w:type="dxa"/>
            <w:tcBorders>
              <w:top w:val="nil"/>
              <w:left w:val="nil"/>
              <w:bottom w:val="single" w:color="auto" w:sz="4" w:space="0"/>
              <w:right w:val="single" w:color="auto" w:sz="4" w:space="0"/>
            </w:tcBorders>
            <w:vAlign w:val="center"/>
          </w:tcPr>
          <w:p>
            <w:pPr>
              <w:ind w:firstLine="480"/>
              <w:rPr>
                <w:rFonts w:ascii="宋体" w:hAnsi="宋体" w:cs="宋体"/>
                <w:sz w:val="24"/>
              </w:rPr>
            </w:pPr>
          </w:p>
        </w:tc>
        <w:tc>
          <w:tcPr>
            <w:tcW w:w="700" w:type="dxa"/>
            <w:tcBorders>
              <w:top w:val="nil"/>
              <w:left w:val="nil"/>
              <w:bottom w:val="single" w:color="auto" w:sz="4" w:space="0"/>
              <w:right w:val="single" w:color="auto" w:sz="4" w:space="0"/>
            </w:tcBorders>
            <w:vAlign w:val="center"/>
          </w:tcPr>
          <w:p>
            <w:pPr>
              <w:ind w:firstLine="480"/>
              <w:jc w:val="center"/>
              <w:rPr>
                <w:rFonts w:ascii="宋体" w:hAnsi="宋体" w:cs="宋体"/>
                <w:sz w:val="24"/>
              </w:rPr>
            </w:pPr>
          </w:p>
        </w:tc>
        <w:tc>
          <w:tcPr>
            <w:tcW w:w="1917" w:type="dxa"/>
            <w:tcBorders>
              <w:top w:val="nil"/>
              <w:left w:val="nil"/>
              <w:bottom w:val="single" w:color="auto" w:sz="4" w:space="0"/>
              <w:right w:val="single" w:color="auto" w:sz="4" w:space="0"/>
            </w:tcBorders>
            <w:noWrap/>
            <w:vAlign w:val="center"/>
          </w:tcPr>
          <w:p>
            <w:pPr>
              <w:ind w:firstLine="480"/>
              <w:jc w:val="center"/>
              <w:rPr>
                <w:rFonts w:ascii="宋体" w:hAnsi="宋体" w:cs="宋体"/>
                <w:sz w:val="24"/>
              </w:rPr>
            </w:pPr>
          </w:p>
        </w:tc>
        <w:tc>
          <w:tcPr>
            <w:tcW w:w="1633" w:type="dxa"/>
            <w:tcBorders>
              <w:top w:val="nil"/>
              <w:left w:val="nil"/>
              <w:bottom w:val="single" w:color="auto" w:sz="4" w:space="0"/>
              <w:right w:val="single" w:color="auto" w:sz="4" w:space="0"/>
            </w:tcBorders>
            <w:noWrap/>
            <w:vAlign w:val="center"/>
          </w:tcPr>
          <w:p>
            <w:pPr>
              <w:ind w:firstLine="480"/>
              <w:jc w:val="right"/>
              <w:rPr>
                <w:rFonts w:ascii="宋体" w:hAnsi="宋体" w:cs="宋体"/>
                <w:sz w:val="24"/>
              </w:rPr>
            </w:pPr>
          </w:p>
        </w:tc>
        <w:tc>
          <w:tcPr>
            <w:tcW w:w="900" w:type="dxa"/>
            <w:tcBorders>
              <w:top w:val="nil"/>
              <w:left w:val="nil"/>
              <w:bottom w:val="single" w:color="auto" w:sz="4" w:space="0"/>
              <w:right w:val="single" w:color="auto" w:sz="4" w:space="0"/>
            </w:tcBorders>
            <w:noWrap/>
            <w:vAlign w:val="center"/>
          </w:tcPr>
          <w:p>
            <w:pPr>
              <w:ind w:firstLine="480"/>
              <w:jc w:val="right"/>
              <w:rPr>
                <w:rFonts w:ascii="宋体" w:hAnsi="宋体" w:cs="宋体"/>
                <w:sz w:val="24"/>
              </w:rPr>
            </w:pPr>
          </w:p>
        </w:tc>
        <w:tc>
          <w:tcPr>
            <w:tcW w:w="1268" w:type="dxa"/>
            <w:tcBorders>
              <w:top w:val="nil"/>
              <w:left w:val="nil"/>
              <w:bottom w:val="single" w:color="auto" w:sz="4" w:space="0"/>
              <w:right w:val="single" w:color="auto" w:sz="4" w:space="0"/>
            </w:tcBorders>
            <w:noWrap/>
            <w:vAlign w:val="center"/>
          </w:tcPr>
          <w:p>
            <w:pPr>
              <w:ind w:firstLine="640"/>
            </w:pPr>
          </w:p>
        </w:tc>
      </w:tr>
    </w:tbl>
    <w:p>
      <w:pPr>
        <w:spacing w:line="320" w:lineRule="exact"/>
        <w:ind w:firstLine="0" w:firstLineChars="0"/>
        <w:rPr>
          <w:rFonts w:hAnsi="仿宋"/>
          <w:b/>
          <w:sz w:val="24"/>
        </w:rPr>
      </w:pPr>
      <w:r>
        <w:rPr>
          <w:rFonts w:hint="eastAsia" w:hAnsi="仿宋"/>
          <w:b/>
          <w:sz w:val="24"/>
        </w:rPr>
        <w:t>有关要求：</w:t>
      </w:r>
    </w:p>
    <w:p>
      <w:pPr>
        <w:spacing w:line="320" w:lineRule="exact"/>
        <w:ind w:firstLine="0" w:firstLineChars="0"/>
        <w:rPr>
          <w:rFonts w:hAnsi="Calibri"/>
          <w:color w:val="000000"/>
          <w:sz w:val="24"/>
        </w:rPr>
      </w:pPr>
      <w:r>
        <w:rPr>
          <w:rFonts w:hint="eastAsia" w:hAnsi="Calibri"/>
          <w:color w:val="000000"/>
          <w:sz w:val="24"/>
        </w:rPr>
        <w:t xml:space="preserve">1.报价含运输、拆卸、安装、搬运、清理现场、废旧处理、维修人工费、税发票等所有费用。 </w:t>
      </w:r>
    </w:p>
    <w:p>
      <w:pPr>
        <w:spacing w:line="320" w:lineRule="exact"/>
        <w:ind w:firstLine="0" w:firstLineChars="0"/>
        <w:rPr>
          <w:rFonts w:hAnsi="Calibri"/>
          <w:color w:val="000000"/>
          <w:sz w:val="24"/>
        </w:rPr>
      </w:pPr>
      <w:r>
        <w:rPr>
          <w:rFonts w:hint="eastAsia" w:hAnsi="Calibri"/>
          <w:color w:val="000000"/>
          <w:sz w:val="24"/>
        </w:rPr>
        <w:t>2.投标报价超过预算上限控制价作无效投标处理。</w:t>
      </w:r>
    </w:p>
    <w:p>
      <w:pPr>
        <w:spacing w:line="320" w:lineRule="exact"/>
        <w:ind w:firstLine="0" w:firstLineChars="0"/>
        <w:rPr>
          <w:rFonts w:hAnsi="Calibri"/>
          <w:color w:val="000000"/>
          <w:sz w:val="24"/>
        </w:rPr>
      </w:pPr>
      <w:r>
        <w:rPr>
          <w:rFonts w:hint="eastAsia" w:hAnsi="Calibri"/>
          <w:color w:val="000000"/>
          <w:sz w:val="24"/>
        </w:rPr>
        <w:t xml:space="preserve">3.成交供应商须按采购人的要求供货，否则采购人有权拒收。                        </w:t>
      </w:r>
    </w:p>
    <w:p>
      <w:pPr>
        <w:spacing w:line="320" w:lineRule="exact"/>
        <w:ind w:firstLine="0" w:firstLineChars="0"/>
        <w:rPr>
          <w:rFonts w:hAnsi="Calibri"/>
          <w:color w:val="000000"/>
          <w:sz w:val="24"/>
        </w:rPr>
      </w:pPr>
      <w:r>
        <w:rPr>
          <w:rFonts w:hint="eastAsia" w:hAnsi="Calibri"/>
          <w:color w:val="000000"/>
          <w:sz w:val="24"/>
        </w:rPr>
        <w:t>4.供应商应按清单中的项目自行备货，根据我方的实际使用需求进行供货，并负责安装到位，确保正常使用。</w:t>
      </w:r>
    </w:p>
    <w:p>
      <w:pPr>
        <w:ind w:firstLine="0" w:firstLineChars="0"/>
      </w:pPr>
      <w:r>
        <w:rPr>
          <w:rFonts w:hint="eastAsia" w:hAnsi="宋体" w:cs="宋体"/>
          <w:kern w:val="0"/>
          <w:sz w:val="28"/>
          <w:szCs w:val="28"/>
        </w:rPr>
        <w:t>报价公司（盖公章）：               法定代表人签字：                   联系人及电话：</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1</w:t>
                          </w:r>
                          <w:r>
                            <w:fldChar w:fldCharType="end"/>
                          </w:r>
                          <w:r>
                            <w:t xml:space="preserve"> / 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r>
                      <w:t xml:space="preserve"> / 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3"/>
      <w:numFmt w:val="chineseCountingThousand"/>
      <w:pStyle w:val="3"/>
      <w:suff w:val="nothing"/>
      <w:lvlText w:val="第%1章"/>
      <w:lvlJc w:val="left"/>
      <w:pPr>
        <w:tabs>
          <w:tab w:val="left" w:pos="0"/>
        </w:tabs>
        <w:ind w:left="2310" w:firstLine="0"/>
      </w:pPr>
      <w:rPr>
        <w:rFonts w:hint="eastAsia"/>
      </w:rPr>
    </w:lvl>
    <w:lvl w:ilvl="1" w:tentative="0">
      <w:start w:val="1"/>
      <w:numFmt w:val="none"/>
      <w:suff w:val="nothing"/>
      <w:lvlText w:val=""/>
      <w:lvlJc w:val="left"/>
      <w:pPr>
        <w:tabs>
          <w:tab w:val="left" w:pos="0"/>
        </w:tabs>
        <w:ind w:left="630" w:firstLine="0"/>
      </w:pPr>
      <w:rPr>
        <w:rFonts w:hint="eastAsia"/>
      </w:rPr>
    </w:lvl>
    <w:lvl w:ilvl="2" w:tentative="0">
      <w:start w:val="1"/>
      <w:numFmt w:val="none"/>
      <w:suff w:val="nothing"/>
      <w:lvlText w:val=""/>
      <w:lvlJc w:val="left"/>
      <w:pPr>
        <w:tabs>
          <w:tab w:val="left" w:pos="0"/>
        </w:tabs>
        <w:ind w:left="630" w:firstLine="0"/>
      </w:pPr>
      <w:rPr>
        <w:rFonts w:hint="eastAsia"/>
      </w:rPr>
    </w:lvl>
    <w:lvl w:ilvl="3" w:tentative="0">
      <w:start w:val="1"/>
      <w:numFmt w:val="none"/>
      <w:suff w:val="nothing"/>
      <w:lvlText w:val=""/>
      <w:lvlJc w:val="left"/>
      <w:pPr>
        <w:tabs>
          <w:tab w:val="left" w:pos="0"/>
        </w:tabs>
        <w:ind w:left="630" w:firstLine="0"/>
      </w:pPr>
      <w:rPr>
        <w:rFonts w:hint="eastAsia"/>
      </w:rPr>
    </w:lvl>
    <w:lvl w:ilvl="4" w:tentative="0">
      <w:start w:val="1"/>
      <w:numFmt w:val="none"/>
      <w:suff w:val="nothing"/>
      <w:lvlText w:val=""/>
      <w:lvlJc w:val="left"/>
      <w:pPr>
        <w:tabs>
          <w:tab w:val="left" w:pos="0"/>
        </w:tabs>
        <w:ind w:left="630" w:firstLine="0"/>
      </w:pPr>
      <w:rPr>
        <w:rFonts w:hint="eastAsia"/>
      </w:rPr>
    </w:lvl>
    <w:lvl w:ilvl="5" w:tentative="0">
      <w:start w:val="1"/>
      <w:numFmt w:val="none"/>
      <w:suff w:val="nothing"/>
      <w:lvlText w:val=""/>
      <w:lvlJc w:val="left"/>
      <w:pPr>
        <w:tabs>
          <w:tab w:val="left" w:pos="0"/>
        </w:tabs>
        <w:ind w:left="630" w:firstLine="0"/>
      </w:pPr>
      <w:rPr>
        <w:rFonts w:hint="eastAsia"/>
      </w:rPr>
    </w:lvl>
    <w:lvl w:ilvl="6" w:tentative="0">
      <w:start w:val="1"/>
      <w:numFmt w:val="none"/>
      <w:suff w:val="nothing"/>
      <w:lvlText w:val=""/>
      <w:lvlJc w:val="left"/>
      <w:pPr>
        <w:tabs>
          <w:tab w:val="left" w:pos="0"/>
        </w:tabs>
        <w:ind w:left="630" w:firstLine="0"/>
      </w:pPr>
      <w:rPr>
        <w:rFonts w:hint="eastAsia"/>
      </w:rPr>
    </w:lvl>
    <w:lvl w:ilvl="7" w:tentative="0">
      <w:start w:val="1"/>
      <w:numFmt w:val="none"/>
      <w:suff w:val="nothing"/>
      <w:lvlText w:val=""/>
      <w:lvlJc w:val="left"/>
      <w:pPr>
        <w:tabs>
          <w:tab w:val="left" w:pos="0"/>
        </w:tabs>
        <w:ind w:left="630" w:firstLine="0"/>
      </w:pPr>
      <w:rPr>
        <w:rFonts w:hint="eastAsia"/>
      </w:rPr>
    </w:lvl>
    <w:lvl w:ilvl="8" w:tentative="0">
      <w:start w:val="1"/>
      <w:numFmt w:val="none"/>
      <w:suff w:val="nothing"/>
      <w:lvlText w:val=""/>
      <w:lvlJc w:val="left"/>
      <w:pPr>
        <w:tabs>
          <w:tab w:val="left" w:pos="0"/>
        </w:tabs>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B6"/>
    <w:rsid w:val="001A71AF"/>
    <w:rsid w:val="00283C16"/>
    <w:rsid w:val="00284589"/>
    <w:rsid w:val="003879B6"/>
    <w:rsid w:val="0054794A"/>
    <w:rsid w:val="00553806"/>
    <w:rsid w:val="00686CF4"/>
    <w:rsid w:val="006C0FF2"/>
    <w:rsid w:val="0072111A"/>
    <w:rsid w:val="00846FBD"/>
    <w:rsid w:val="008D4BAB"/>
    <w:rsid w:val="00BB5A0A"/>
    <w:rsid w:val="00C16232"/>
    <w:rsid w:val="00D15573"/>
    <w:rsid w:val="00D45B0B"/>
    <w:rsid w:val="00E329EB"/>
    <w:rsid w:val="026A420A"/>
    <w:rsid w:val="04475135"/>
    <w:rsid w:val="0A3606CB"/>
    <w:rsid w:val="0C894971"/>
    <w:rsid w:val="0DDA5EF4"/>
    <w:rsid w:val="0FAD139D"/>
    <w:rsid w:val="1038383F"/>
    <w:rsid w:val="1A5E41A4"/>
    <w:rsid w:val="1B67120C"/>
    <w:rsid w:val="1BB001AE"/>
    <w:rsid w:val="26BF2810"/>
    <w:rsid w:val="285A288E"/>
    <w:rsid w:val="29754943"/>
    <w:rsid w:val="2A2948BD"/>
    <w:rsid w:val="2CD27B33"/>
    <w:rsid w:val="2E007787"/>
    <w:rsid w:val="31442724"/>
    <w:rsid w:val="33611D1F"/>
    <w:rsid w:val="3452164E"/>
    <w:rsid w:val="3814146F"/>
    <w:rsid w:val="3D1412DF"/>
    <w:rsid w:val="45530E9A"/>
    <w:rsid w:val="45677794"/>
    <w:rsid w:val="45EA4529"/>
    <w:rsid w:val="491F1369"/>
    <w:rsid w:val="50AD0488"/>
    <w:rsid w:val="5191597C"/>
    <w:rsid w:val="53FF5BE5"/>
    <w:rsid w:val="552F53DD"/>
    <w:rsid w:val="5C311ADF"/>
    <w:rsid w:val="5F8653CC"/>
    <w:rsid w:val="645A2BF6"/>
    <w:rsid w:val="6B9836DA"/>
    <w:rsid w:val="6CB73313"/>
    <w:rsid w:val="79C047AF"/>
    <w:rsid w:val="7A053D95"/>
    <w:rsid w:val="7FC6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after="330"/>
      <w:ind w:firstLine="0" w:firstLineChars="0"/>
      <w:jc w:val="center"/>
      <w:outlineLvl w:val="0"/>
    </w:pPr>
    <w:rPr>
      <w:rFonts w:eastAsia="方正小标宋简体"/>
      <w:b/>
      <w:kern w:val="44"/>
      <w:sz w:val="44"/>
    </w:rPr>
  </w:style>
  <w:style w:type="paragraph" w:styleId="3">
    <w:name w:val="heading 4"/>
    <w:next w:val="1"/>
    <w:qFormat/>
    <w:uiPriority w:val="2"/>
    <w:pPr>
      <w:keepNext/>
      <w:keepLines/>
      <w:widowControl w:val="0"/>
      <w:numPr>
        <w:ilvl w:val="0"/>
        <w:numId w:val="1"/>
      </w:numPr>
      <w:spacing w:before="280" w:after="290" w:line="374" w:lineRule="auto"/>
      <w:jc w:val="both"/>
      <w:outlineLvl w:val="3"/>
    </w:pPr>
    <w:rPr>
      <w:rFonts w:ascii="宋体" w:hAnsi="宋体" w:eastAsia="黑体" w:cs="Times New Roman"/>
      <w:b/>
      <w:kern w:val="2"/>
      <w:sz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9">
    <w:name w:val="Strong"/>
    <w:basedOn w:val="8"/>
    <w:qFormat/>
    <w:uiPriority w:val="22"/>
    <w:rPr>
      <w:b/>
      <w:bCs/>
    </w:rPr>
  </w:style>
  <w:style w:type="paragraph" w:styleId="10">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159</Words>
  <Characters>910</Characters>
  <Lines>7</Lines>
  <Paragraphs>2</Paragraphs>
  <TotalTime>24</TotalTime>
  <ScaleCrop>false</ScaleCrop>
  <LinksUpToDate>false</LinksUpToDate>
  <CharactersWithSpaces>1067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2022-02-21T14:46:00Z</dcterms:created>
  <dc:creator>Smile</dc:creator>
  <cp:lastModifiedBy>ChpjMB</cp:lastModifiedBy>
  <cp:lastPrinted>2022-05-06T01:51:00Z</cp:lastPrinted>
  <dcterms:modified xsi:type="dcterms:W3CDTF">2022-05-18T11:43:49Z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9A9041B17B4342D8A2E481B44BFC369D</vt:lpwstr>
  </property>
</Properties>
</file>