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0471">
      <w:pPr>
        <w:widowControl/>
        <w:jc w:val="left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</w:rPr>
        <w:t>附件</w:t>
      </w:r>
      <w:r>
        <w:rPr>
          <w:rFonts w:ascii="仿宋_GB2312" w:hAnsi="宋体" w:eastAsia="仿宋_GB2312" w:cs="宋体"/>
          <w:color w:val="000000"/>
          <w:sz w:val="24"/>
          <w:szCs w:val="24"/>
          <w:highlight w:val="none"/>
        </w:rPr>
        <w:t>1</w:t>
      </w:r>
    </w:p>
    <w:p w14:paraId="0434330C">
      <w:pPr>
        <w:widowControl/>
        <w:shd w:val="clear" w:color="auto" w:fill="FFFFFF"/>
        <w:ind w:firstLine="720" w:firstLineChars="200"/>
        <w:jc w:val="center"/>
        <w:rPr>
          <w:rFonts w:hint="eastAsia" w:ascii="宋体" w:hAnsi="宋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年广西财经学院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会计学院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</w:rPr>
        <w:t>西南地区会计审计专业学位研究生教育创新与高质量发展论坛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会务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采购项目报价表</w:t>
      </w:r>
    </w:p>
    <w:bookmarkEnd w:id="0"/>
    <w:p w14:paraId="68E8B2A4">
      <w:pPr>
        <w:widowControl/>
        <w:ind w:left="555"/>
        <w:jc w:val="center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(上限控制价¥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25000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.00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)</w:t>
      </w:r>
    </w:p>
    <w:tbl>
      <w:tblPr>
        <w:tblStyle w:val="2"/>
        <w:tblW w:w="10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120"/>
        <w:gridCol w:w="750"/>
        <w:gridCol w:w="887"/>
        <w:gridCol w:w="1263"/>
        <w:gridCol w:w="1277"/>
      </w:tblGrid>
      <w:tr w14:paraId="20CE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noWrap w:val="0"/>
            <w:vAlign w:val="center"/>
          </w:tcPr>
          <w:p w14:paraId="0664DD8E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5120" w:type="dxa"/>
            <w:noWrap w:val="0"/>
            <w:vAlign w:val="center"/>
          </w:tcPr>
          <w:p w14:paraId="2BCC8C79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项目内容</w:t>
            </w:r>
          </w:p>
        </w:tc>
        <w:tc>
          <w:tcPr>
            <w:tcW w:w="750" w:type="dxa"/>
            <w:noWrap w:val="0"/>
            <w:vAlign w:val="center"/>
          </w:tcPr>
          <w:p w14:paraId="2D5C0AF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40306E88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 xml:space="preserve"> 数量</w:t>
            </w: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2D3F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 xml:space="preserve">报价（元）  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375892B5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是否响应</w:t>
            </w:r>
          </w:p>
        </w:tc>
      </w:tr>
      <w:tr w14:paraId="7BB1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  <w:jc w:val="center"/>
        </w:trPr>
        <w:tc>
          <w:tcPr>
            <w:tcW w:w="1298" w:type="dxa"/>
            <w:noWrap w:val="0"/>
            <w:vAlign w:val="center"/>
          </w:tcPr>
          <w:p w14:paraId="752EBBA3"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年广西财经学院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会计学院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西南地区会计审计专业学位研究生教育创新与高质量发展论坛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会务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服务采购项目</w:t>
            </w:r>
          </w:p>
        </w:tc>
        <w:tc>
          <w:tcPr>
            <w:tcW w:w="5120" w:type="dxa"/>
            <w:noWrap w:val="0"/>
            <w:vAlign w:val="center"/>
          </w:tcPr>
          <w:p w14:paraId="371678F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项目于2026年6月27日在青秀区的酒店开展，预计参会人员120人。</w:t>
            </w:r>
          </w:p>
          <w:p w14:paraId="47945463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项目涵盖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酒店会场签到处/主题背景板（5m*3m*0.6m*2）搭建、指引牌制作、会议布场协助、舞台布置、灯光效果调试、会务材料设计及印刷（含KT板、台卡、参会证、会议手册、主持人手卡、会议议程、手提袋、笔记本等）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同时提供会议PPT设计和摄影摄像服务（含全景机位、花絮剪辑、合照拍摄及其他会务拍摄服务），以上总额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25000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23E1D61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3.以上材料需6月25日前完成设计及印刷,6月26日完成场地布置，并于会议当天提供不低于于3名场务管理人员，协助处理及协调场务事宜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50" w:type="dxa"/>
            <w:noWrap w:val="0"/>
            <w:vAlign w:val="center"/>
          </w:tcPr>
          <w:p w14:paraId="1E58A75C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7B686C43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A9A3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0FEEC1C5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568B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5" w:type="dxa"/>
            <w:gridSpan w:val="6"/>
            <w:noWrap w:val="0"/>
            <w:vAlign w:val="center"/>
          </w:tcPr>
          <w:p w14:paraId="3458F95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 xml:space="preserve">（人民币）小写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 xml:space="preserve"> 元，大写：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7A4F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595" w:type="dxa"/>
            <w:gridSpan w:val="6"/>
            <w:noWrap w:val="0"/>
            <w:vAlign w:val="center"/>
          </w:tcPr>
          <w:p w14:paraId="0E9DE15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  <w:t>有关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要求：</w:t>
            </w:r>
          </w:p>
          <w:p w14:paraId="463032F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1.报价含税等所有费用。</w:t>
            </w:r>
          </w:p>
          <w:p w14:paraId="4915EEB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2.报价超过上限控制价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  <w:t>作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无效报价处理。</w:t>
            </w:r>
          </w:p>
          <w:p w14:paraId="5F2BE0C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 xml:space="preserve">3.报价相同时，由评审小组抽签决定排序，并依照次序确定成交供应商。 </w:t>
            </w:r>
          </w:p>
          <w:p w14:paraId="72F302B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4.未按本报价表报价的，均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  <w:t>作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无效报价处理。</w:t>
            </w:r>
          </w:p>
          <w:p w14:paraId="58E28BB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5F22DE0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</w:p>
    <w:p w14:paraId="63DD9620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</w:p>
    <w:p w14:paraId="1602E1B2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报价供应商名称（盖章）：</w:t>
      </w:r>
    </w:p>
    <w:p w14:paraId="44D5AF84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</w:p>
    <w:p w14:paraId="42488809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法定代表人（或授权代理人）签字：</w:t>
      </w:r>
    </w:p>
    <w:p w14:paraId="1167436B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</w:p>
    <w:p w14:paraId="52D00EF8">
      <w:pPr>
        <w:adjustRightInd w:val="0"/>
        <w:snapToGrid w:val="0"/>
        <w:spacing w:line="300" w:lineRule="auto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日   期：      年     月     日</w:t>
      </w:r>
    </w:p>
    <w:p w14:paraId="68FF6434">
      <w:pPr>
        <w:adjustRightInd w:val="0"/>
        <w:snapToGrid w:val="0"/>
        <w:spacing w:line="300" w:lineRule="auto"/>
        <w:rPr>
          <w:rFonts w:ascii="仿宋_GB2312" w:hAnsi="宋体" w:eastAsia="仿宋_GB2312"/>
          <w:color w:val="000000"/>
          <w:sz w:val="24"/>
          <w:szCs w:val="24"/>
          <w:highlight w:val="none"/>
        </w:rPr>
      </w:pPr>
    </w:p>
    <w:p w14:paraId="18AE3C1D">
      <w:pPr>
        <w:widowControl/>
        <w:jc w:val="both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联系人及电话：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 xml:space="preserve">                                                  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   </w:t>
      </w:r>
    </w:p>
    <w:p w14:paraId="26AA2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CA631"/>
    <w:multiLevelType w:val="singleLevel"/>
    <w:tmpl w:val="746CA6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0109"/>
    <w:rsid w:val="6D4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2026-06-10T09:59:00Z</dcterms:created>
  <dc:creator>MG</dc:creator>
  <cp:lastModifiedBy>MG</cp:lastModifiedBy>
  <dcterms:modified xsi:type="dcterms:W3CDTF">2026-06-10T10:00:56Z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806C629A004C43129E5B9795A2317F5D_11</vt:lpwstr>
  </property>
  <property fmtid="{D5CDD505-2E9C-101B-9397-08002B2CF9AE}" pid="4" name="KSOTemplateDocerSaveRecord">
    <vt:lpwstr>eyJoZGlkIjoiZmQ3N2RiZDM3NGU0MDRjYmRiZDNkMTFmZWM0OWVjMTEiLCJ1c2VySWQiOiIyMjcyNzk2OTkifQ==</vt:lpwstr>
  </property>
</Properties>
</file>