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FDC89">
      <w:pPr>
        <w:jc w:val="center"/>
        <w:rPr>
          <w:rFonts w:ascii="方正楷体_GB2312" w:hAnsi="宋体" w:eastAsia="方正楷体_GB2312"/>
          <w:b/>
          <w:sz w:val="44"/>
          <w:szCs w:val="44"/>
        </w:rPr>
      </w:pPr>
    </w:p>
    <w:p w14:paraId="462FAF65">
      <w:pPr>
        <w:pStyle w:val="2"/>
      </w:pPr>
    </w:p>
    <w:p w14:paraId="27D7138C">
      <w:pPr>
        <w:jc w:val="center"/>
        <w:rPr>
          <w:rFonts w:ascii="方正楷体_GB2312" w:hAnsi="宋体" w:eastAsia="方正楷体_GB2312"/>
          <w:b/>
          <w:sz w:val="44"/>
          <w:szCs w:val="44"/>
        </w:rPr>
      </w:pPr>
      <w:r>
        <w:rPr>
          <w:rFonts w:hint="eastAsia" w:ascii="方正楷体_GB2312" w:hAnsi="宋体" w:eastAsia="方正楷体_GB2312"/>
          <w:b/>
          <w:sz w:val="44"/>
          <w:szCs w:val="44"/>
        </w:rPr>
        <w:t>2026-2027年信息化建设项目第三方设计及全过程咨询服务公开遴选文件</w:t>
      </w:r>
    </w:p>
    <w:p w14:paraId="17CE6CB7">
      <w:pPr>
        <w:pStyle w:val="2"/>
        <w:rPr>
          <w:rFonts w:ascii="方正楷体_GB2312" w:hAnsi="宋体" w:eastAsia="方正楷体_GB2312"/>
          <w:b/>
          <w:sz w:val="72"/>
          <w:szCs w:val="72"/>
        </w:rPr>
      </w:pPr>
    </w:p>
    <w:p w14:paraId="7473E0D3">
      <w:pPr>
        <w:pStyle w:val="2"/>
        <w:rPr>
          <w:rFonts w:ascii="方正楷体_GB2312" w:hAnsi="宋体" w:eastAsia="方正楷体_GB2312"/>
          <w:b/>
          <w:sz w:val="72"/>
          <w:szCs w:val="72"/>
        </w:rPr>
      </w:pPr>
    </w:p>
    <w:p w14:paraId="3804B21B">
      <w:pPr>
        <w:pStyle w:val="6"/>
        <w:spacing w:after="312" w:afterLines="100"/>
        <w:ind w:firstLine="560" w:firstLineChars="200"/>
        <w:rPr>
          <w:rFonts w:hAnsi="宋体"/>
          <w:sz w:val="28"/>
          <w:szCs w:val="28"/>
          <w:u w:val="single"/>
        </w:rPr>
      </w:pPr>
      <w:r>
        <w:rPr>
          <w:rFonts w:hint="eastAsia" w:hAnsi="宋体"/>
          <w:sz w:val="28"/>
          <w:szCs w:val="28"/>
        </w:rPr>
        <w:t>项 目 编 号：</w:t>
      </w:r>
      <w:r>
        <w:rPr>
          <w:rFonts w:hint="eastAsia" w:hAnsi="宋体"/>
          <w:sz w:val="28"/>
          <w:szCs w:val="28"/>
          <w:u w:val="single"/>
        </w:rPr>
        <w:t xml:space="preserve">  GXCY2026-03-0148   </w:t>
      </w:r>
    </w:p>
    <w:p w14:paraId="790AEAB5">
      <w:pPr>
        <w:pStyle w:val="6"/>
        <w:spacing w:after="312" w:afterLines="100"/>
        <w:ind w:left="2520" w:hanging="2520" w:hangingChars="900"/>
        <w:jc w:val="left"/>
        <w:rPr>
          <w:rFonts w:hAnsi="宋体"/>
          <w:kern w:val="0"/>
          <w:sz w:val="24"/>
          <w:szCs w:val="24"/>
          <w:u w:val="single"/>
        </w:rPr>
      </w:pPr>
      <w:r>
        <w:rPr>
          <w:rFonts w:hint="eastAsia" w:hAnsi="宋体"/>
          <w:kern w:val="0"/>
          <w:sz w:val="28"/>
          <w:szCs w:val="28"/>
        </w:rPr>
        <w:t xml:space="preserve">    项 目 名 称：</w:t>
      </w:r>
      <w:r>
        <w:rPr>
          <w:rFonts w:hint="eastAsia" w:hAnsi="宋体"/>
          <w:kern w:val="0"/>
          <w:sz w:val="28"/>
          <w:szCs w:val="28"/>
          <w:u w:val="single"/>
        </w:rPr>
        <w:t>2026-2027年信息化建设项目第三方设计及全过程咨询服务</w:t>
      </w:r>
    </w:p>
    <w:p w14:paraId="654313E4">
      <w:pPr>
        <w:pStyle w:val="6"/>
        <w:spacing w:after="312" w:afterLines="100"/>
        <w:ind w:firstLine="560" w:firstLineChars="200"/>
        <w:rPr>
          <w:rFonts w:hAnsi="宋体"/>
          <w:sz w:val="28"/>
          <w:szCs w:val="28"/>
          <w:u w:val="single"/>
        </w:rPr>
      </w:pPr>
      <w:r>
        <w:rPr>
          <w:rFonts w:hint="eastAsia" w:hAnsi="宋体"/>
          <w:kern w:val="0"/>
          <w:sz w:val="28"/>
          <w:szCs w:val="28"/>
        </w:rPr>
        <w:t>采 购 单 位：</w:t>
      </w:r>
      <w:r>
        <w:rPr>
          <w:rFonts w:hint="eastAsia" w:hAnsi="宋体"/>
          <w:kern w:val="0"/>
          <w:sz w:val="28"/>
          <w:szCs w:val="28"/>
          <w:u w:val="single"/>
        </w:rPr>
        <w:t xml:space="preserve">    </w:t>
      </w:r>
      <w:r>
        <w:rPr>
          <w:rFonts w:hint="eastAsia" w:hAnsi="宋体"/>
          <w:sz w:val="28"/>
          <w:szCs w:val="28"/>
          <w:u w:val="single"/>
        </w:rPr>
        <w:t xml:space="preserve">广西财经学院     </w:t>
      </w:r>
    </w:p>
    <w:p w14:paraId="5EA4AF0C">
      <w:pPr>
        <w:rPr>
          <w:rFonts w:hAnsi="宋体"/>
          <w:sz w:val="28"/>
          <w:szCs w:val="28"/>
          <w:u w:val="single"/>
        </w:rPr>
      </w:pPr>
    </w:p>
    <w:p w14:paraId="0A43B7CF">
      <w:pPr>
        <w:pStyle w:val="2"/>
        <w:rPr>
          <w:rFonts w:hAnsi="宋体"/>
          <w:sz w:val="28"/>
          <w:szCs w:val="28"/>
          <w:u w:val="single"/>
        </w:rPr>
      </w:pPr>
    </w:p>
    <w:p w14:paraId="6E2BA70D">
      <w:pPr>
        <w:pStyle w:val="2"/>
        <w:rPr>
          <w:rFonts w:hAnsi="宋体"/>
          <w:sz w:val="28"/>
          <w:szCs w:val="28"/>
          <w:u w:val="single"/>
        </w:rPr>
      </w:pPr>
    </w:p>
    <w:p w14:paraId="44572C34">
      <w:pPr>
        <w:pStyle w:val="2"/>
        <w:rPr>
          <w:rFonts w:hAnsi="宋体"/>
          <w:sz w:val="28"/>
          <w:szCs w:val="28"/>
          <w:u w:val="single"/>
        </w:rPr>
      </w:pPr>
    </w:p>
    <w:p w14:paraId="5C573701">
      <w:pPr>
        <w:pStyle w:val="2"/>
        <w:rPr>
          <w:rFonts w:hAnsi="宋体"/>
          <w:sz w:val="28"/>
          <w:szCs w:val="28"/>
          <w:u w:val="single"/>
        </w:rPr>
      </w:pPr>
    </w:p>
    <w:p w14:paraId="6C5A3AA2">
      <w:pPr>
        <w:pStyle w:val="6"/>
        <w:spacing w:after="312" w:afterLines="100"/>
        <w:ind w:firstLine="560" w:firstLineChars="200"/>
        <w:jc w:val="center"/>
        <w:rPr>
          <w:rFonts w:ascii="Times New Roman" w:hAnsi="宋体"/>
          <w:sz w:val="28"/>
          <w:szCs w:val="28"/>
          <w:u w:val="single"/>
        </w:rPr>
      </w:pPr>
    </w:p>
    <w:p w14:paraId="0092922F">
      <w:pPr>
        <w:pStyle w:val="6"/>
        <w:spacing w:after="312" w:afterLines="100"/>
        <w:ind w:firstLine="560" w:firstLineChars="200"/>
        <w:jc w:val="center"/>
        <w:rPr>
          <w:rFonts w:ascii="Times New Roman" w:hAnsi="宋体"/>
          <w:sz w:val="28"/>
          <w:szCs w:val="28"/>
          <w:u w:val="single"/>
        </w:rPr>
      </w:pPr>
    </w:p>
    <w:p w14:paraId="7AD7E1E4">
      <w:pPr>
        <w:pStyle w:val="6"/>
        <w:spacing w:after="312" w:afterLines="100"/>
        <w:ind w:firstLine="560" w:firstLineChars="200"/>
        <w:jc w:val="center"/>
        <w:rPr>
          <w:rFonts w:ascii="Times New Roman" w:hAnsi="宋体"/>
          <w:sz w:val="28"/>
          <w:szCs w:val="28"/>
          <w:u w:val="single"/>
        </w:rPr>
      </w:pPr>
    </w:p>
    <w:p w14:paraId="7C3A0660">
      <w:pPr>
        <w:pStyle w:val="6"/>
        <w:ind w:firstLine="699" w:firstLineChars="200"/>
        <w:jc w:val="center"/>
        <w:rPr>
          <w:rFonts w:hAnsi="宋体"/>
          <w:b/>
          <w:bCs/>
          <w:spacing w:val="-6"/>
          <w:sz w:val="36"/>
          <w:szCs w:val="36"/>
        </w:rPr>
      </w:pPr>
      <w:r>
        <w:rPr>
          <w:rFonts w:hint="eastAsia" w:hAnsi="宋体"/>
          <w:b/>
          <w:bCs/>
          <w:spacing w:val="-6"/>
          <w:sz w:val="36"/>
          <w:szCs w:val="36"/>
        </w:rPr>
        <w:t>目  录</w:t>
      </w:r>
    </w:p>
    <w:p w14:paraId="3282223E">
      <w:pPr>
        <w:pStyle w:val="6"/>
        <w:spacing w:line="360" w:lineRule="auto"/>
        <w:rPr>
          <w:rFonts w:hAnsi="宋体"/>
          <w:b/>
          <w:bCs/>
          <w:spacing w:val="-6"/>
          <w:sz w:val="30"/>
          <w:szCs w:val="30"/>
        </w:rPr>
      </w:pPr>
    </w:p>
    <w:p w14:paraId="033131D4">
      <w:pPr>
        <w:pStyle w:val="6"/>
        <w:spacing w:line="360" w:lineRule="auto"/>
        <w:rPr>
          <w:rFonts w:hAnsi="宋体"/>
          <w:b/>
          <w:bCs/>
          <w:spacing w:val="-6"/>
          <w:sz w:val="30"/>
          <w:szCs w:val="30"/>
        </w:rPr>
      </w:pPr>
      <w:r>
        <w:rPr>
          <w:rFonts w:hint="eastAsia" w:hAnsi="宋体"/>
          <w:b/>
          <w:bCs/>
          <w:spacing w:val="-6"/>
          <w:sz w:val="30"/>
          <w:szCs w:val="30"/>
        </w:rPr>
        <w:t xml:space="preserve">第一章  供应商须知及前附表 </w:t>
      </w:r>
    </w:p>
    <w:p w14:paraId="61D9ADD7">
      <w:pPr>
        <w:pStyle w:val="6"/>
        <w:spacing w:line="360" w:lineRule="auto"/>
        <w:rPr>
          <w:rFonts w:hAnsi="宋体"/>
          <w:b/>
          <w:bCs/>
          <w:spacing w:val="-6"/>
          <w:sz w:val="30"/>
          <w:szCs w:val="30"/>
        </w:rPr>
      </w:pPr>
      <w:r>
        <w:rPr>
          <w:rFonts w:hint="eastAsia" w:hAnsi="宋体"/>
          <w:b/>
          <w:bCs/>
          <w:spacing w:val="-6"/>
          <w:sz w:val="30"/>
          <w:szCs w:val="30"/>
        </w:rPr>
        <w:t xml:space="preserve">第二章  项目需求和说明 </w:t>
      </w:r>
    </w:p>
    <w:p w14:paraId="4996E4AD">
      <w:pPr>
        <w:pStyle w:val="6"/>
        <w:spacing w:line="360" w:lineRule="auto"/>
        <w:rPr>
          <w:rFonts w:hAnsi="宋体"/>
          <w:b/>
          <w:bCs/>
          <w:spacing w:val="-6"/>
          <w:sz w:val="30"/>
          <w:szCs w:val="30"/>
        </w:rPr>
      </w:pPr>
      <w:r>
        <w:rPr>
          <w:rFonts w:hint="eastAsia" w:hAnsi="宋体"/>
          <w:b/>
          <w:bCs/>
          <w:spacing w:val="-6"/>
          <w:sz w:val="30"/>
          <w:szCs w:val="30"/>
        </w:rPr>
        <w:t xml:space="preserve">第三章  合同书（格式） </w:t>
      </w:r>
    </w:p>
    <w:p w14:paraId="2D93D13C">
      <w:pPr>
        <w:pStyle w:val="6"/>
        <w:spacing w:line="360" w:lineRule="auto"/>
        <w:rPr>
          <w:rFonts w:hAnsi="宋体"/>
          <w:b/>
          <w:bCs/>
          <w:spacing w:val="-6"/>
          <w:sz w:val="30"/>
          <w:szCs w:val="30"/>
        </w:rPr>
      </w:pPr>
      <w:r>
        <w:rPr>
          <w:rFonts w:hint="eastAsia" w:hAnsi="宋体"/>
          <w:b/>
          <w:bCs/>
          <w:spacing w:val="-6"/>
          <w:sz w:val="30"/>
          <w:szCs w:val="30"/>
        </w:rPr>
        <w:t xml:space="preserve">第四章  响应文件（格式） </w:t>
      </w:r>
    </w:p>
    <w:p w14:paraId="6430B67E">
      <w:pPr>
        <w:pStyle w:val="6"/>
        <w:spacing w:line="360" w:lineRule="auto"/>
        <w:rPr>
          <w:rFonts w:hAnsi="宋体"/>
          <w:b/>
          <w:bCs/>
          <w:spacing w:val="-6"/>
          <w:sz w:val="30"/>
          <w:szCs w:val="30"/>
        </w:rPr>
      </w:pPr>
      <w:r>
        <w:rPr>
          <w:rFonts w:hint="eastAsia" w:hAnsi="宋体"/>
          <w:b/>
          <w:bCs/>
          <w:spacing w:val="-6"/>
          <w:sz w:val="30"/>
          <w:szCs w:val="30"/>
        </w:rPr>
        <w:t>第五章  评标方法和评标标准</w:t>
      </w:r>
    </w:p>
    <w:p w14:paraId="47C59BEF">
      <w:pPr>
        <w:rPr>
          <w:rFonts w:hAnsi="宋体"/>
          <w:bCs/>
          <w:spacing w:val="-6"/>
          <w:sz w:val="36"/>
          <w:szCs w:val="36"/>
        </w:rPr>
      </w:pPr>
    </w:p>
    <w:p w14:paraId="3355E940">
      <w:pPr>
        <w:pStyle w:val="2"/>
        <w:rPr>
          <w:rFonts w:hAnsi="宋体"/>
          <w:bCs/>
          <w:spacing w:val="-6"/>
          <w:sz w:val="36"/>
          <w:szCs w:val="36"/>
        </w:rPr>
      </w:pPr>
    </w:p>
    <w:p w14:paraId="3897117A">
      <w:pPr>
        <w:pStyle w:val="2"/>
        <w:rPr>
          <w:rFonts w:hAnsi="宋体"/>
          <w:bCs/>
          <w:spacing w:val="-6"/>
          <w:sz w:val="36"/>
          <w:szCs w:val="36"/>
        </w:rPr>
      </w:pPr>
    </w:p>
    <w:p w14:paraId="63FFF7EF">
      <w:pPr>
        <w:pStyle w:val="2"/>
        <w:rPr>
          <w:rFonts w:hAnsi="宋体"/>
          <w:bCs/>
          <w:spacing w:val="-6"/>
          <w:sz w:val="36"/>
          <w:szCs w:val="36"/>
        </w:rPr>
      </w:pPr>
    </w:p>
    <w:p w14:paraId="20E59D43">
      <w:pPr>
        <w:pStyle w:val="2"/>
        <w:rPr>
          <w:rFonts w:hAnsi="宋体"/>
          <w:bCs/>
          <w:spacing w:val="-6"/>
          <w:sz w:val="36"/>
          <w:szCs w:val="36"/>
        </w:rPr>
      </w:pPr>
    </w:p>
    <w:p w14:paraId="48E72A86">
      <w:pPr>
        <w:pStyle w:val="2"/>
        <w:rPr>
          <w:rFonts w:hAnsi="宋体"/>
          <w:bCs/>
          <w:spacing w:val="-6"/>
          <w:sz w:val="36"/>
          <w:szCs w:val="36"/>
        </w:rPr>
      </w:pPr>
    </w:p>
    <w:p w14:paraId="02044AC3">
      <w:pPr>
        <w:pStyle w:val="2"/>
        <w:rPr>
          <w:rFonts w:hAnsi="宋体"/>
          <w:bCs/>
          <w:spacing w:val="-6"/>
          <w:sz w:val="36"/>
          <w:szCs w:val="36"/>
        </w:rPr>
      </w:pPr>
    </w:p>
    <w:p w14:paraId="476A2B1B">
      <w:pPr>
        <w:pStyle w:val="2"/>
        <w:rPr>
          <w:rFonts w:hAnsi="宋体"/>
          <w:bCs/>
          <w:spacing w:val="-6"/>
          <w:sz w:val="36"/>
          <w:szCs w:val="36"/>
        </w:rPr>
      </w:pPr>
    </w:p>
    <w:p w14:paraId="3456B359">
      <w:pPr>
        <w:pStyle w:val="2"/>
        <w:rPr>
          <w:rFonts w:hAnsi="宋体"/>
          <w:bCs/>
          <w:spacing w:val="-6"/>
          <w:sz w:val="36"/>
          <w:szCs w:val="36"/>
        </w:rPr>
      </w:pPr>
    </w:p>
    <w:p w14:paraId="2164F5E3">
      <w:pPr>
        <w:pStyle w:val="2"/>
        <w:rPr>
          <w:rFonts w:hAnsi="宋体"/>
          <w:bCs/>
          <w:spacing w:val="-6"/>
          <w:sz w:val="36"/>
          <w:szCs w:val="36"/>
        </w:rPr>
      </w:pPr>
    </w:p>
    <w:p w14:paraId="1630A665">
      <w:pPr>
        <w:pStyle w:val="2"/>
        <w:rPr>
          <w:rFonts w:hAnsi="宋体"/>
          <w:bCs/>
          <w:spacing w:val="-6"/>
          <w:sz w:val="36"/>
          <w:szCs w:val="36"/>
        </w:rPr>
      </w:pPr>
    </w:p>
    <w:p w14:paraId="07E08B08">
      <w:pPr>
        <w:pStyle w:val="3"/>
        <w:ind w:left="1992" w:hanging="1992"/>
        <w:jc w:val="center"/>
        <w:rPr>
          <w:rFonts w:ascii="隶书" w:eastAsia="隶书"/>
          <w:b w:val="0"/>
        </w:rPr>
      </w:pPr>
      <w:r>
        <w:rPr>
          <w:rFonts w:hint="eastAsia" w:ascii="隶书" w:eastAsia="隶书"/>
        </w:rPr>
        <w:t>第一章 供应商须知</w:t>
      </w:r>
    </w:p>
    <w:p w14:paraId="42838BC6">
      <w:pPr>
        <w:snapToGrid w:val="0"/>
        <w:spacing w:before="156" w:beforeLines="50" w:after="156" w:afterLines="50"/>
        <w:ind w:left="238"/>
        <w:jc w:val="center"/>
        <w:outlineLvl w:val="0"/>
        <w:rPr>
          <w:rFonts w:ascii="仿宋_GB2312" w:hAnsi="宋体" w:eastAsia="仿宋_GB2312"/>
          <w:b/>
          <w:sz w:val="28"/>
          <w:szCs w:val="28"/>
        </w:rPr>
      </w:pPr>
      <w:r>
        <w:rPr>
          <w:rFonts w:hint="eastAsia" w:ascii="仿宋_GB2312" w:hAnsi="宋体" w:eastAsia="仿宋_GB2312"/>
          <w:b/>
          <w:sz w:val="28"/>
          <w:szCs w:val="28"/>
        </w:rPr>
        <w:t>前附表</w:t>
      </w:r>
    </w:p>
    <w:tbl>
      <w:tblPr>
        <w:tblStyle w:val="10"/>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14:paraId="7FAAF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48" w:type="dxa"/>
            <w:tcBorders>
              <w:top w:val="single" w:color="auto" w:sz="4" w:space="0"/>
              <w:left w:val="single" w:color="auto" w:sz="4" w:space="0"/>
              <w:bottom w:val="single" w:color="auto" w:sz="4" w:space="0"/>
              <w:right w:val="single" w:color="auto" w:sz="4" w:space="0"/>
            </w:tcBorders>
            <w:vAlign w:val="center"/>
          </w:tcPr>
          <w:p w14:paraId="2D42CF40">
            <w:pPr>
              <w:snapToGrid w:val="0"/>
              <w:spacing w:line="360" w:lineRule="exact"/>
              <w:jc w:val="center"/>
              <w:rPr>
                <w:rFonts w:ascii="宋体" w:hAnsi="宋体"/>
                <w:szCs w:val="21"/>
              </w:rPr>
            </w:pPr>
            <w:r>
              <w:rPr>
                <w:rFonts w:hint="eastAsia" w:ascii="宋体" w:hAnsi="宋体"/>
                <w:szCs w:val="21"/>
              </w:rPr>
              <w:t>序号</w:t>
            </w:r>
          </w:p>
        </w:tc>
        <w:tc>
          <w:tcPr>
            <w:tcW w:w="8820" w:type="dxa"/>
            <w:tcBorders>
              <w:top w:val="single" w:color="auto" w:sz="4" w:space="0"/>
              <w:left w:val="single" w:color="auto" w:sz="4" w:space="0"/>
              <w:bottom w:val="single" w:color="auto" w:sz="4" w:space="0"/>
              <w:right w:val="single" w:color="auto" w:sz="4" w:space="0"/>
            </w:tcBorders>
            <w:vAlign w:val="center"/>
          </w:tcPr>
          <w:p w14:paraId="488FDB4A">
            <w:pPr>
              <w:snapToGrid w:val="0"/>
              <w:spacing w:line="360" w:lineRule="exact"/>
              <w:jc w:val="center"/>
              <w:rPr>
                <w:rFonts w:ascii="宋体" w:hAnsi="宋体"/>
                <w:szCs w:val="21"/>
              </w:rPr>
            </w:pPr>
            <w:r>
              <w:rPr>
                <w:rFonts w:hint="eastAsia" w:ascii="宋体" w:hAnsi="宋体"/>
                <w:szCs w:val="21"/>
              </w:rPr>
              <w:t>内容、要求</w:t>
            </w:r>
          </w:p>
        </w:tc>
      </w:tr>
      <w:tr w14:paraId="449A4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648" w:type="dxa"/>
            <w:tcBorders>
              <w:top w:val="single" w:color="auto" w:sz="4" w:space="0"/>
              <w:left w:val="single" w:color="auto" w:sz="4" w:space="0"/>
              <w:bottom w:val="single" w:color="auto" w:sz="4" w:space="0"/>
              <w:right w:val="single" w:color="auto" w:sz="4" w:space="0"/>
            </w:tcBorders>
            <w:vAlign w:val="center"/>
          </w:tcPr>
          <w:p w14:paraId="2588AE71">
            <w:pPr>
              <w:snapToGrid w:val="0"/>
              <w:spacing w:line="360" w:lineRule="exact"/>
              <w:jc w:val="center"/>
              <w:rPr>
                <w:rFonts w:ascii="宋体" w:hAnsi="宋体"/>
                <w:szCs w:val="21"/>
              </w:rPr>
            </w:pPr>
            <w:r>
              <w:rPr>
                <w:rFonts w:hint="eastAsia" w:ascii="宋体" w:hAnsi="宋体"/>
                <w:szCs w:val="21"/>
              </w:rPr>
              <w:t>1</w:t>
            </w:r>
          </w:p>
        </w:tc>
        <w:tc>
          <w:tcPr>
            <w:tcW w:w="8820" w:type="dxa"/>
            <w:tcBorders>
              <w:top w:val="single" w:color="auto" w:sz="4" w:space="0"/>
              <w:left w:val="single" w:color="auto" w:sz="4" w:space="0"/>
              <w:bottom w:val="single" w:color="auto" w:sz="4" w:space="0"/>
              <w:right w:val="single" w:color="auto" w:sz="4" w:space="0"/>
            </w:tcBorders>
            <w:vAlign w:val="center"/>
          </w:tcPr>
          <w:p w14:paraId="2DA8B59B">
            <w:pPr>
              <w:snapToGrid w:val="0"/>
              <w:spacing w:line="360" w:lineRule="exact"/>
              <w:rPr>
                <w:rFonts w:ascii="宋体" w:hAnsi="宋体" w:cs="Arial"/>
                <w:bCs/>
                <w:szCs w:val="21"/>
              </w:rPr>
            </w:pPr>
            <w:r>
              <w:rPr>
                <w:rFonts w:hint="eastAsia" w:ascii="宋体" w:hAnsi="宋体"/>
                <w:szCs w:val="21"/>
              </w:rPr>
              <w:t>项目名称：</w:t>
            </w:r>
            <w:r>
              <w:rPr>
                <w:rFonts w:hint="eastAsia" w:ascii="宋体" w:hAnsi="宋体"/>
              </w:rPr>
              <w:t>2026-2027年信息化建设项目第三方设计及全过程咨询服务</w:t>
            </w:r>
          </w:p>
        </w:tc>
      </w:tr>
      <w:tr w14:paraId="7DED20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648" w:type="dxa"/>
            <w:tcBorders>
              <w:top w:val="single" w:color="auto" w:sz="4" w:space="0"/>
              <w:left w:val="single" w:color="auto" w:sz="4" w:space="0"/>
              <w:bottom w:val="single" w:color="auto" w:sz="4" w:space="0"/>
              <w:right w:val="single" w:color="auto" w:sz="4" w:space="0"/>
            </w:tcBorders>
            <w:vAlign w:val="center"/>
          </w:tcPr>
          <w:p w14:paraId="4522D354">
            <w:pPr>
              <w:snapToGrid w:val="0"/>
              <w:spacing w:line="360" w:lineRule="exact"/>
              <w:jc w:val="center"/>
              <w:rPr>
                <w:rFonts w:ascii="宋体" w:hAnsi="宋体"/>
                <w:szCs w:val="21"/>
              </w:rPr>
            </w:pPr>
            <w:r>
              <w:rPr>
                <w:rFonts w:hint="eastAsia" w:ascii="宋体" w:hAnsi="宋体"/>
                <w:szCs w:val="21"/>
              </w:rPr>
              <w:t>2</w:t>
            </w:r>
          </w:p>
        </w:tc>
        <w:tc>
          <w:tcPr>
            <w:tcW w:w="8820" w:type="dxa"/>
            <w:tcBorders>
              <w:top w:val="single" w:color="auto" w:sz="4" w:space="0"/>
              <w:left w:val="single" w:color="auto" w:sz="4" w:space="0"/>
              <w:bottom w:val="single" w:color="auto" w:sz="4" w:space="0"/>
              <w:right w:val="single" w:color="auto" w:sz="4" w:space="0"/>
            </w:tcBorders>
            <w:vAlign w:val="center"/>
          </w:tcPr>
          <w:p w14:paraId="1867979F">
            <w:pPr>
              <w:pStyle w:val="5"/>
              <w:spacing w:line="240" w:lineRule="auto"/>
              <w:ind w:firstLine="0"/>
              <w:rPr>
                <w:rFonts w:hAnsi="宋体"/>
                <w:bCs/>
                <w:sz w:val="28"/>
                <w:szCs w:val="28"/>
              </w:rPr>
            </w:pPr>
            <w:r>
              <w:rPr>
                <w:rFonts w:hint="eastAsia" w:hAnsi="宋体"/>
                <w:sz w:val="21"/>
                <w:szCs w:val="21"/>
              </w:rPr>
              <w:t>采购内容：</w:t>
            </w:r>
            <w:r>
              <w:rPr>
                <w:rFonts w:hint="eastAsia" w:hAnsi="宋体"/>
                <w:spacing w:val="0"/>
                <w:sz w:val="21"/>
                <w:szCs w:val="21"/>
              </w:rPr>
              <w:t>遴选2026-2027年信息化建设项目第三方设计咨询服务供应商3-5家；全过程咨询服务供应商3-5家</w:t>
            </w:r>
            <w:r>
              <w:rPr>
                <w:rFonts w:hint="eastAsia" w:hAnsi="宋体"/>
                <w:spacing w:val="0"/>
                <w:sz w:val="22"/>
                <w:szCs w:val="22"/>
              </w:rPr>
              <w:t>。</w:t>
            </w:r>
            <w:r>
              <w:rPr>
                <w:rFonts w:hint="eastAsia" w:hAnsi="宋体"/>
                <w:bCs/>
                <w:sz w:val="21"/>
                <w:szCs w:val="21"/>
              </w:rPr>
              <w:t>具体详见采购需求。</w:t>
            </w:r>
          </w:p>
        </w:tc>
      </w:tr>
      <w:tr w14:paraId="53FD0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48" w:type="dxa"/>
            <w:tcBorders>
              <w:top w:val="single" w:color="auto" w:sz="4" w:space="0"/>
              <w:left w:val="single" w:color="auto" w:sz="4" w:space="0"/>
              <w:bottom w:val="single" w:color="auto" w:sz="4" w:space="0"/>
              <w:right w:val="single" w:color="auto" w:sz="4" w:space="0"/>
            </w:tcBorders>
            <w:vAlign w:val="center"/>
          </w:tcPr>
          <w:p w14:paraId="6DC7B5D7">
            <w:pPr>
              <w:snapToGrid w:val="0"/>
              <w:spacing w:line="360" w:lineRule="exact"/>
              <w:jc w:val="center"/>
              <w:rPr>
                <w:rFonts w:ascii="宋体" w:hAnsi="宋体"/>
                <w:szCs w:val="21"/>
              </w:rPr>
            </w:pPr>
            <w:r>
              <w:rPr>
                <w:rFonts w:hint="eastAsia" w:ascii="宋体" w:hAnsi="宋体"/>
                <w:szCs w:val="21"/>
              </w:rPr>
              <w:t>3</w:t>
            </w:r>
          </w:p>
        </w:tc>
        <w:tc>
          <w:tcPr>
            <w:tcW w:w="8820" w:type="dxa"/>
            <w:tcBorders>
              <w:top w:val="single" w:color="auto" w:sz="4" w:space="0"/>
              <w:left w:val="single" w:color="auto" w:sz="4" w:space="0"/>
              <w:bottom w:val="single" w:color="auto" w:sz="4" w:space="0"/>
              <w:right w:val="single" w:color="auto" w:sz="4" w:space="0"/>
            </w:tcBorders>
            <w:vAlign w:val="center"/>
          </w:tcPr>
          <w:p w14:paraId="7A9DEC83">
            <w:pPr>
              <w:snapToGrid w:val="0"/>
              <w:spacing w:line="360" w:lineRule="exact"/>
              <w:rPr>
                <w:rFonts w:ascii="宋体" w:hAnsi="宋体"/>
                <w:szCs w:val="21"/>
              </w:rPr>
            </w:pPr>
            <w:r>
              <w:rPr>
                <w:rFonts w:hint="eastAsia" w:ascii="宋体" w:hAnsi="宋体"/>
                <w:szCs w:val="21"/>
              </w:rPr>
              <w:t>投标保证金：无</w:t>
            </w:r>
          </w:p>
        </w:tc>
      </w:tr>
      <w:tr w14:paraId="20036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48" w:type="dxa"/>
            <w:tcBorders>
              <w:top w:val="single" w:color="auto" w:sz="4" w:space="0"/>
              <w:left w:val="single" w:color="auto" w:sz="4" w:space="0"/>
              <w:bottom w:val="single" w:color="auto" w:sz="4" w:space="0"/>
              <w:right w:val="single" w:color="auto" w:sz="4" w:space="0"/>
            </w:tcBorders>
            <w:vAlign w:val="center"/>
          </w:tcPr>
          <w:p w14:paraId="3E4DE1C1">
            <w:pPr>
              <w:snapToGrid w:val="0"/>
              <w:spacing w:line="360" w:lineRule="exact"/>
              <w:jc w:val="center"/>
              <w:rPr>
                <w:rFonts w:ascii="宋体" w:hAnsi="宋体"/>
                <w:szCs w:val="21"/>
              </w:rPr>
            </w:pPr>
            <w:r>
              <w:rPr>
                <w:rFonts w:hint="eastAsia" w:ascii="宋体" w:hAnsi="宋体"/>
                <w:szCs w:val="21"/>
              </w:rPr>
              <w:t>4</w:t>
            </w:r>
          </w:p>
        </w:tc>
        <w:tc>
          <w:tcPr>
            <w:tcW w:w="8820" w:type="dxa"/>
            <w:tcBorders>
              <w:top w:val="single" w:color="auto" w:sz="4" w:space="0"/>
              <w:left w:val="single" w:color="auto" w:sz="4" w:space="0"/>
              <w:bottom w:val="single" w:color="auto" w:sz="4" w:space="0"/>
              <w:right w:val="single" w:color="auto" w:sz="4" w:space="0"/>
            </w:tcBorders>
            <w:vAlign w:val="center"/>
          </w:tcPr>
          <w:p w14:paraId="10AEC119">
            <w:pPr>
              <w:snapToGrid w:val="0"/>
              <w:spacing w:line="360" w:lineRule="exact"/>
              <w:rPr>
                <w:rFonts w:ascii="宋体" w:hAnsi="宋体"/>
                <w:szCs w:val="21"/>
              </w:rPr>
            </w:pPr>
            <w:r>
              <w:rPr>
                <w:rFonts w:hint="eastAsia" w:ascii="宋体" w:hAnsi="宋体"/>
                <w:szCs w:val="21"/>
              </w:rPr>
              <w:t>现场踏勘：无。</w:t>
            </w:r>
          </w:p>
        </w:tc>
      </w:tr>
      <w:tr w14:paraId="01BA3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48" w:type="dxa"/>
            <w:tcBorders>
              <w:top w:val="single" w:color="auto" w:sz="4" w:space="0"/>
              <w:left w:val="single" w:color="auto" w:sz="4" w:space="0"/>
              <w:bottom w:val="single" w:color="auto" w:sz="4" w:space="0"/>
              <w:right w:val="single" w:color="auto" w:sz="4" w:space="0"/>
            </w:tcBorders>
            <w:vAlign w:val="center"/>
          </w:tcPr>
          <w:p w14:paraId="3FAFA20A">
            <w:pPr>
              <w:snapToGrid w:val="0"/>
              <w:spacing w:line="360" w:lineRule="exact"/>
              <w:jc w:val="center"/>
              <w:rPr>
                <w:rFonts w:ascii="宋体" w:hAnsi="宋体"/>
                <w:szCs w:val="21"/>
              </w:rPr>
            </w:pPr>
            <w:r>
              <w:rPr>
                <w:rFonts w:hint="eastAsia" w:ascii="宋体" w:hAnsi="宋体"/>
                <w:szCs w:val="21"/>
              </w:rPr>
              <w:t>5</w:t>
            </w:r>
          </w:p>
        </w:tc>
        <w:tc>
          <w:tcPr>
            <w:tcW w:w="8820" w:type="dxa"/>
            <w:tcBorders>
              <w:top w:val="single" w:color="auto" w:sz="4" w:space="0"/>
              <w:left w:val="single" w:color="auto" w:sz="4" w:space="0"/>
              <w:bottom w:val="single" w:color="auto" w:sz="4" w:space="0"/>
              <w:right w:val="single" w:color="auto" w:sz="4" w:space="0"/>
            </w:tcBorders>
            <w:vAlign w:val="center"/>
          </w:tcPr>
          <w:p w14:paraId="4B075345">
            <w:pPr>
              <w:snapToGrid w:val="0"/>
              <w:spacing w:line="360" w:lineRule="exact"/>
              <w:rPr>
                <w:rFonts w:ascii="宋体" w:hAnsi="宋体"/>
                <w:szCs w:val="21"/>
              </w:rPr>
            </w:pPr>
            <w:r>
              <w:rPr>
                <w:rFonts w:hint="eastAsia" w:ascii="宋体" w:hAnsi="宋体"/>
                <w:szCs w:val="21"/>
              </w:rPr>
              <w:t>演示时间及地点：无</w:t>
            </w:r>
          </w:p>
        </w:tc>
      </w:tr>
      <w:tr w14:paraId="426BA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48" w:type="dxa"/>
            <w:tcBorders>
              <w:top w:val="single" w:color="auto" w:sz="4" w:space="0"/>
              <w:left w:val="single" w:color="auto" w:sz="4" w:space="0"/>
              <w:bottom w:val="single" w:color="auto" w:sz="4" w:space="0"/>
              <w:right w:val="single" w:color="auto" w:sz="4" w:space="0"/>
            </w:tcBorders>
            <w:vAlign w:val="center"/>
          </w:tcPr>
          <w:p w14:paraId="3DCE03AF">
            <w:pPr>
              <w:snapToGrid w:val="0"/>
              <w:spacing w:line="360" w:lineRule="exact"/>
              <w:jc w:val="center"/>
              <w:rPr>
                <w:rFonts w:ascii="宋体" w:hAnsi="宋体"/>
                <w:szCs w:val="21"/>
              </w:rPr>
            </w:pPr>
            <w:r>
              <w:rPr>
                <w:rFonts w:hint="eastAsia" w:ascii="宋体" w:hAnsi="宋体"/>
                <w:szCs w:val="21"/>
              </w:rPr>
              <w:t>6</w:t>
            </w:r>
          </w:p>
        </w:tc>
        <w:tc>
          <w:tcPr>
            <w:tcW w:w="8820" w:type="dxa"/>
            <w:tcBorders>
              <w:top w:val="single" w:color="auto" w:sz="4" w:space="0"/>
              <w:left w:val="single" w:color="auto" w:sz="4" w:space="0"/>
              <w:bottom w:val="single" w:color="auto" w:sz="4" w:space="0"/>
              <w:right w:val="single" w:color="auto" w:sz="4" w:space="0"/>
            </w:tcBorders>
            <w:vAlign w:val="center"/>
          </w:tcPr>
          <w:p w14:paraId="29A644D3">
            <w:pPr>
              <w:snapToGrid w:val="0"/>
              <w:spacing w:line="360" w:lineRule="exact"/>
              <w:rPr>
                <w:rFonts w:ascii="宋体" w:hAnsi="宋体"/>
                <w:szCs w:val="21"/>
              </w:rPr>
            </w:pPr>
            <w:r>
              <w:rPr>
                <w:rFonts w:hint="eastAsia" w:ascii="宋体" w:hAnsi="宋体"/>
                <w:szCs w:val="21"/>
              </w:rPr>
              <w:t>答疑与澄清：遴选供应商如认为招标文件表述不清晰、存在歧视性、排他性或者其他违法内容的，应当于投标报名截止1日前，以书面形式要求招标采购单位作出书面解释、澄清或者向招标采购单位提出书面质疑；答疑内容是招标文件的组成部分，并将以书面形式送达所有已领取招标文件的遴选供应商；招标采购单位可以视采购具体情况，延长投标截止时间和开标时间，但至少应当在招标文件要求提交响应文件的截止时间前，将变更时间书面通知所有招标文件收受人。</w:t>
            </w:r>
          </w:p>
        </w:tc>
      </w:tr>
      <w:tr w14:paraId="620ED4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648" w:type="dxa"/>
            <w:tcBorders>
              <w:top w:val="single" w:color="auto" w:sz="4" w:space="0"/>
              <w:left w:val="single" w:color="auto" w:sz="4" w:space="0"/>
              <w:bottom w:val="single" w:color="auto" w:sz="4" w:space="0"/>
              <w:right w:val="single" w:color="auto" w:sz="4" w:space="0"/>
            </w:tcBorders>
            <w:vAlign w:val="center"/>
          </w:tcPr>
          <w:p w14:paraId="545C9CCB">
            <w:pPr>
              <w:snapToGrid w:val="0"/>
              <w:spacing w:line="360" w:lineRule="exact"/>
              <w:jc w:val="center"/>
              <w:rPr>
                <w:rFonts w:ascii="宋体" w:hAnsi="宋体"/>
                <w:szCs w:val="21"/>
              </w:rPr>
            </w:pPr>
            <w:r>
              <w:rPr>
                <w:rFonts w:hint="eastAsia" w:ascii="宋体" w:hAnsi="宋体"/>
                <w:szCs w:val="21"/>
              </w:rPr>
              <w:t>7</w:t>
            </w:r>
          </w:p>
        </w:tc>
        <w:tc>
          <w:tcPr>
            <w:tcW w:w="8820" w:type="dxa"/>
            <w:tcBorders>
              <w:top w:val="single" w:color="auto" w:sz="4" w:space="0"/>
              <w:left w:val="single" w:color="auto" w:sz="4" w:space="0"/>
              <w:bottom w:val="single" w:color="auto" w:sz="4" w:space="0"/>
              <w:right w:val="single" w:color="auto" w:sz="4" w:space="0"/>
            </w:tcBorders>
            <w:vAlign w:val="center"/>
          </w:tcPr>
          <w:p w14:paraId="0A75E20A">
            <w:pPr>
              <w:snapToGrid w:val="0"/>
              <w:spacing w:line="360" w:lineRule="exact"/>
              <w:rPr>
                <w:rFonts w:ascii="宋体" w:hAnsi="宋体"/>
                <w:szCs w:val="21"/>
              </w:rPr>
            </w:pPr>
            <w:r>
              <w:rPr>
                <w:rFonts w:hint="eastAsia" w:ascii="宋体" w:hAnsi="宋体"/>
                <w:szCs w:val="21"/>
              </w:rPr>
              <w:t>响应文件组成：响应文件正本一份，副本三份。</w:t>
            </w:r>
          </w:p>
        </w:tc>
      </w:tr>
      <w:tr w14:paraId="460BE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48" w:type="dxa"/>
            <w:tcBorders>
              <w:top w:val="single" w:color="auto" w:sz="4" w:space="0"/>
              <w:left w:val="single" w:color="auto" w:sz="4" w:space="0"/>
              <w:bottom w:val="single" w:color="auto" w:sz="4" w:space="0"/>
              <w:right w:val="single" w:color="auto" w:sz="4" w:space="0"/>
            </w:tcBorders>
            <w:vAlign w:val="center"/>
          </w:tcPr>
          <w:p w14:paraId="29162148">
            <w:pPr>
              <w:snapToGrid w:val="0"/>
              <w:spacing w:line="360" w:lineRule="exact"/>
              <w:jc w:val="center"/>
              <w:rPr>
                <w:rFonts w:ascii="宋体" w:hAnsi="宋体"/>
                <w:szCs w:val="21"/>
              </w:rPr>
            </w:pPr>
            <w:r>
              <w:rPr>
                <w:rFonts w:hint="eastAsia" w:ascii="宋体" w:hAnsi="宋体"/>
                <w:szCs w:val="21"/>
              </w:rPr>
              <w:t>8</w:t>
            </w:r>
          </w:p>
        </w:tc>
        <w:tc>
          <w:tcPr>
            <w:tcW w:w="8820" w:type="dxa"/>
            <w:tcBorders>
              <w:top w:val="single" w:color="auto" w:sz="4" w:space="0"/>
              <w:left w:val="single" w:color="auto" w:sz="4" w:space="0"/>
              <w:bottom w:val="single" w:color="auto" w:sz="4" w:space="0"/>
              <w:right w:val="single" w:color="auto" w:sz="4" w:space="0"/>
            </w:tcBorders>
            <w:vAlign w:val="center"/>
          </w:tcPr>
          <w:p w14:paraId="13E36B3F">
            <w:pPr>
              <w:snapToGrid w:val="0"/>
              <w:spacing w:line="360" w:lineRule="exact"/>
              <w:rPr>
                <w:rFonts w:ascii="宋体" w:hAnsi="宋体" w:cs="Courier New"/>
                <w:szCs w:val="21"/>
              </w:rPr>
            </w:pPr>
            <w:r>
              <w:rPr>
                <w:rFonts w:hint="eastAsia" w:ascii="宋体" w:hAnsi="宋体" w:cs="Courier New"/>
                <w:szCs w:val="21"/>
              </w:rPr>
              <w:t>响应文件递交截止时间：</w:t>
            </w:r>
          </w:p>
          <w:p w14:paraId="17B4AA19">
            <w:pPr>
              <w:snapToGrid w:val="0"/>
              <w:spacing w:line="360" w:lineRule="exact"/>
              <w:rPr>
                <w:rFonts w:ascii="宋体" w:hAnsi="宋体" w:cs="Courier New"/>
                <w:szCs w:val="21"/>
              </w:rPr>
            </w:pPr>
            <w:r>
              <w:rPr>
                <w:rFonts w:hint="eastAsia" w:hAnsi="宋体" w:cs="宋体"/>
                <w:szCs w:val="21"/>
              </w:rPr>
              <w:t>2026年9月</w:t>
            </w:r>
            <w:r>
              <w:rPr>
                <w:rFonts w:hint="eastAsia" w:hAnsi="宋体" w:cs="宋体"/>
                <w:szCs w:val="21"/>
                <w:lang w:val="en-US" w:eastAsia="zh-CN"/>
              </w:rPr>
              <w:t>14</w:t>
            </w:r>
            <w:bookmarkStart w:id="32" w:name="_GoBack"/>
            <w:bookmarkEnd w:id="32"/>
            <w:r>
              <w:rPr>
                <w:rFonts w:hint="eastAsia" w:hAnsi="宋体" w:cs="宋体"/>
                <w:szCs w:val="21"/>
              </w:rPr>
              <w:t>日</w:t>
            </w:r>
            <w:r>
              <w:rPr>
                <w:rFonts w:hint="eastAsia" w:ascii="宋体" w:hAnsi="宋体" w:cs="Courier New"/>
                <w:szCs w:val="21"/>
              </w:rPr>
              <w:t>。</w:t>
            </w:r>
          </w:p>
        </w:tc>
      </w:tr>
      <w:tr w14:paraId="6D96D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48" w:type="dxa"/>
            <w:tcBorders>
              <w:top w:val="single" w:color="auto" w:sz="4" w:space="0"/>
              <w:left w:val="single" w:color="auto" w:sz="4" w:space="0"/>
              <w:bottom w:val="single" w:color="auto" w:sz="4" w:space="0"/>
              <w:right w:val="single" w:color="auto" w:sz="4" w:space="0"/>
            </w:tcBorders>
            <w:vAlign w:val="center"/>
          </w:tcPr>
          <w:p w14:paraId="0BD25E3F">
            <w:pPr>
              <w:snapToGrid w:val="0"/>
              <w:spacing w:line="360" w:lineRule="exact"/>
              <w:jc w:val="center"/>
              <w:rPr>
                <w:rFonts w:ascii="宋体" w:hAnsi="宋体"/>
                <w:szCs w:val="21"/>
              </w:rPr>
            </w:pPr>
            <w:r>
              <w:rPr>
                <w:rFonts w:hint="eastAsia" w:ascii="宋体" w:hAnsi="宋体"/>
                <w:szCs w:val="21"/>
              </w:rPr>
              <w:t>9</w:t>
            </w:r>
          </w:p>
        </w:tc>
        <w:tc>
          <w:tcPr>
            <w:tcW w:w="8820" w:type="dxa"/>
            <w:tcBorders>
              <w:top w:val="single" w:color="auto" w:sz="4" w:space="0"/>
              <w:left w:val="single" w:color="auto" w:sz="4" w:space="0"/>
              <w:bottom w:val="single" w:color="auto" w:sz="4" w:space="0"/>
              <w:right w:val="single" w:color="auto" w:sz="4" w:space="0"/>
            </w:tcBorders>
            <w:vAlign w:val="center"/>
          </w:tcPr>
          <w:p w14:paraId="6C3FB2AD">
            <w:pPr>
              <w:snapToGrid w:val="0"/>
              <w:spacing w:line="360" w:lineRule="exact"/>
              <w:rPr>
                <w:rFonts w:ascii="宋体" w:hAnsi="宋体" w:cs="Courier New"/>
                <w:szCs w:val="21"/>
              </w:rPr>
            </w:pPr>
            <w:r>
              <w:rPr>
                <w:rFonts w:hint="eastAsia" w:ascii="宋体" w:hAnsi="宋体" w:cs="Courier New"/>
                <w:szCs w:val="21"/>
              </w:rPr>
              <w:t>遴选时间及地点：</w:t>
            </w:r>
          </w:p>
          <w:p w14:paraId="1BD87085">
            <w:pPr>
              <w:snapToGrid w:val="0"/>
              <w:spacing w:line="360" w:lineRule="exact"/>
              <w:rPr>
                <w:rFonts w:ascii="宋体" w:hAnsi="宋体" w:cs="Courier New"/>
                <w:szCs w:val="21"/>
              </w:rPr>
            </w:pPr>
            <w:r>
              <w:rPr>
                <w:rFonts w:hint="eastAsia" w:hAnsi="宋体"/>
                <w:szCs w:val="21"/>
              </w:rPr>
              <w:t>在响应文件递交后在</w:t>
            </w:r>
            <w:r>
              <w:rPr>
                <w:rFonts w:hint="eastAsia" w:hAnsi="宋体" w:cs="宋体"/>
                <w:szCs w:val="21"/>
              </w:rPr>
              <w:t>广西财经学院明秀校区1号行政楼607</w:t>
            </w:r>
            <w:r>
              <w:rPr>
                <w:rFonts w:hint="eastAsia" w:hAnsi="宋体"/>
                <w:szCs w:val="21"/>
              </w:rPr>
              <w:t>进行。</w:t>
            </w:r>
          </w:p>
        </w:tc>
      </w:tr>
      <w:tr w14:paraId="58AEB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48" w:type="dxa"/>
            <w:tcBorders>
              <w:top w:val="single" w:color="auto" w:sz="4" w:space="0"/>
              <w:left w:val="single" w:color="auto" w:sz="4" w:space="0"/>
              <w:bottom w:val="single" w:color="auto" w:sz="4" w:space="0"/>
              <w:right w:val="single" w:color="auto" w:sz="4" w:space="0"/>
            </w:tcBorders>
            <w:vAlign w:val="center"/>
          </w:tcPr>
          <w:p w14:paraId="1724AF6C">
            <w:pPr>
              <w:snapToGrid w:val="0"/>
              <w:spacing w:line="360" w:lineRule="exact"/>
              <w:jc w:val="center"/>
              <w:rPr>
                <w:rFonts w:ascii="宋体" w:hAnsi="宋体"/>
                <w:szCs w:val="21"/>
              </w:rPr>
            </w:pPr>
            <w:r>
              <w:rPr>
                <w:rFonts w:hint="eastAsia" w:ascii="宋体" w:hAnsi="宋体"/>
                <w:szCs w:val="21"/>
              </w:rPr>
              <w:t>10</w:t>
            </w:r>
          </w:p>
        </w:tc>
        <w:tc>
          <w:tcPr>
            <w:tcW w:w="8820" w:type="dxa"/>
            <w:tcBorders>
              <w:top w:val="single" w:color="auto" w:sz="4" w:space="0"/>
              <w:left w:val="single" w:color="auto" w:sz="4" w:space="0"/>
              <w:bottom w:val="single" w:color="auto" w:sz="4" w:space="0"/>
              <w:right w:val="single" w:color="auto" w:sz="4" w:space="0"/>
            </w:tcBorders>
            <w:vAlign w:val="center"/>
          </w:tcPr>
          <w:p w14:paraId="455480CB">
            <w:pPr>
              <w:autoSpaceDE w:val="0"/>
              <w:autoSpaceDN w:val="0"/>
              <w:snapToGrid w:val="0"/>
              <w:spacing w:line="360" w:lineRule="exact"/>
              <w:textAlignment w:val="bottom"/>
              <w:rPr>
                <w:rFonts w:ascii="宋体" w:hAnsi="宋体"/>
                <w:szCs w:val="21"/>
              </w:rPr>
            </w:pPr>
            <w:r>
              <w:rPr>
                <w:rFonts w:hint="eastAsia" w:ascii="宋体" w:hAnsi="宋体"/>
                <w:szCs w:val="21"/>
              </w:rPr>
              <w:t>评标办法及评分标准：综合评分法</w:t>
            </w:r>
          </w:p>
        </w:tc>
      </w:tr>
      <w:tr w14:paraId="4046E8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48" w:type="dxa"/>
            <w:tcBorders>
              <w:top w:val="single" w:color="auto" w:sz="4" w:space="0"/>
              <w:left w:val="single" w:color="auto" w:sz="4" w:space="0"/>
              <w:bottom w:val="single" w:color="auto" w:sz="4" w:space="0"/>
              <w:right w:val="single" w:color="auto" w:sz="4" w:space="0"/>
            </w:tcBorders>
            <w:vAlign w:val="center"/>
          </w:tcPr>
          <w:p w14:paraId="70E08DCC">
            <w:pPr>
              <w:snapToGrid w:val="0"/>
              <w:spacing w:line="360" w:lineRule="exact"/>
              <w:jc w:val="center"/>
              <w:rPr>
                <w:rFonts w:ascii="宋体" w:hAnsi="宋体"/>
                <w:szCs w:val="21"/>
              </w:rPr>
            </w:pPr>
            <w:r>
              <w:rPr>
                <w:rFonts w:hint="eastAsia" w:ascii="宋体" w:hAnsi="宋体"/>
                <w:szCs w:val="21"/>
              </w:rPr>
              <w:t>11</w:t>
            </w:r>
          </w:p>
        </w:tc>
        <w:tc>
          <w:tcPr>
            <w:tcW w:w="8820" w:type="dxa"/>
            <w:tcBorders>
              <w:top w:val="single" w:color="auto" w:sz="4" w:space="0"/>
              <w:left w:val="single" w:color="auto" w:sz="4" w:space="0"/>
              <w:bottom w:val="single" w:color="auto" w:sz="4" w:space="0"/>
              <w:right w:val="single" w:color="auto" w:sz="4" w:space="0"/>
            </w:tcBorders>
            <w:vAlign w:val="center"/>
          </w:tcPr>
          <w:p w14:paraId="67971E27">
            <w:pPr>
              <w:autoSpaceDE w:val="0"/>
              <w:autoSpaceDN w:val="0"/>
              <w:snapToGrid w:val="0"/>
              <w:spacing w:line="360" w:lineRule="exact"/>
              <w:textAlignment w:val="bottom"/>
              <w:rPr>
                <w:rFonts w:ascii="宋体" w:hAnsi="宋体"/>
                <w:szCs w:val="21"/>
              </w:rPr>
            </w:pPr>
            <w:r>
              <w:rPr>
                <w:rFonts w:hint="eastAsia" w:ascii="宋体" w:hAnsi="宋体"/>
                <w:szCs w:val="21"/>
              </w:rPr>
              <w:t>中标通知书：采购人按程序确认中标人后3个工作日内发送中标通知书。</w:t>
            </w:r>
          </w:p>
        </w:tc>
      </w:tr>
      <w:tr w14:paraId="7125E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648" w:type="dxa"/>
            <w:tcBorders>
              <w:top w:val="single" w:color="auto" w:sz="4" w:space="0"/>
              <w:left w:val="single" w:color="auto" w:sz="4" w:space="0"/>
              <w:bottom w:val="single" w:color="auto" w:sz="4" w:space="0"/>
              <w:right w:val="single" w:color="auto" w:sz="4" w:space="0"/>
            </w:tcBorders>
            <w:vAlign w:val="center"/>
          </w:tcPr>
          <w:p w14:paraId="7E3CA3EF">
            <w:pPr>
              <w:snapToGrid w:val="0"/>
              <w:spacing w:line="360" w:lineRule="exact"/>
              <w:jc w:val="center"/>
              <w:rPr>
                <w:rFonts w:ascii="宋体" w:hAnsi="宋体"/>
                <w:szCs w:val="21"/>
              </w:rPr>
            </w:pPr>
            <w:r>
              <w:rPr>
                <w:rFonts w:hint="eastAsia" w:ascii="宋体" w:hAnsi="宋体"/>
                <w:szCs w:val="21"/>
              </w:rPr>
              <w:t>12</w:t>
            </w:r>
          </w:p>
        </w:tc>
        <w:tc>
          <w:tcPr>
            <w:tcW w:w="8820" w:type="dxa"/>
            <w:tcBorders>
              <w:top w:val="single" w:color="auto" w:sz="4" w:space="0"/>
              <w:left w:val="single" w:color="auto" w:sz="4" w:space="0"/>
              <w:bottom w:val="single" w:color="auto" w:sz="4" w:space="0"/>
              <w:right w:val="single" w:color="auto" w:sz="4" w:space="0"/>
            </w:tcBorders>
            <w:vAlign w:val="center"/>
          </w:tcPr>
          <w:p w14:paraId="24F8DAF6">
            <w:pPr>
              <w:autoSpaceDE w:val="0"/>
              <w:autoSpaceDN w:val="0"/>
              <w:snapToGrid w:val="0"/>
              <w:spacing w:line="360" w:lineRule="exact"/>
              <w:textAlignment w:val="bottom"/>
              <w:rPr>
                <w:rFonts w:ascii="宋体" w:hAnsi="宋体"/>
                <w:szCs w:val="21"/>
              </w:rPr>
            </w:pPr>
            <w:r>
              <w:rPr>
                <w:rFonts w:hint="eastAsia" w:ascii="宋体" w:hAnsi="宋体"/>
                <w:szCs w:val="21"/>
              </w:rPr>
              <w:t>签订合同时间：中标通知书发出后30日内。</w:t>
            </w:r>
          </w:p>
        </w:tc>
      </w:tr>
      <w:tr w14:paraId="0D49F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48" w:type="dxa"/>
            <w:tcBorders>
              <w:top w:val="single" w:color="auto" w:sz="4" w:space="0"/>
              <w:left w:val="single" w:color="auto" w:sz="4" w:space="0"/>
              <w:bottom w:val="single" w:color="auto" w:sz="4" w:space="0"/>
              <w:right w:val="single" w:color="auto" w:sz="4" w:space="0"/>
            </w:tcBorders>
            <w:vAlign w:val="center"/>
          </w:tcPr>
          <w:p w14:paraId="46649F17">
            <w:pPr>
              <w:snapToGrid w:val="0"/>
              <w:spacing w:line="360" w:lineRule="exact"/>
              <w:jc w:val="center"/>
              <w:rPr>
                <w:rFonts w:ascii="宋体" w:hAnsi="宋体"/>
                <w:szCs w:val="21"/>
              </w:rPr>
            </w:pPr>
            <w:r>
              <w:rPr>
                <w:rFonts w:hint="eastAsia" w:ascii="宋体" w:hAnsi="宋体"/>
                <w:szCs w:val="21"/>
              </w:rPr>
              <w:t>13</w:t>
            </w:r>
          </w:p>
        </w:tc>
        <w:tc>
          <w:tcPr>
            <w:tcW w:w="8820" w:type="dxa"/>
            <w:tcBorders>
              <w:top w:val="single" w:color="auto" w:sz="4" w:space="0"/>
              <w:left w:val="single" w:color="auto" w:sz="4" w:space="0"/>
              <w:bottom w:val="single" w:color="auto" w:sz="4" w:space="0"/>
              <w:right w:val="single" w:color="auto" w:sz="4" w:space="0"/>
            </w:tcBorders>
            <w:vAlign w:val="center"/>
          </w:tcPr>
          <w:p w14:paraId="24D32401">
            <w:pPr>
              <w:autoSpaceDE w:val="0"/>
              <w:autoSpaceDN w:val="0"/>
              <w:snapToGrid w:val="0"/>
              <w:spacing w:line="360" w:lineRule="exact"/>
              <w:textAlignment w:val="bottom"/>
              <w:rPr>
                <w:rFonts w:ascii="宋体" w:hAnsi="宋体"/>
                <w:szCs w:val="21"/>
              </w:rPr>
            </w:pPr>
            <w:r>
              <w:rPr>
                <w:rFonts w:hint="eastAsia" w:ascii="宋体" w:hAnsi="宋体"/>
                <w:szCs w:val="21"/>
              </w:rPr>
              <w:t>响应文件有效期： 30  天</w:t>
            </w:r>
          </w:p>
        </w:tc>
      </w:tr>
      <w:tr w14:paraId="52A6B9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48" w:type="dxa"/>
            <w:tcBorders>
              <w:top w:val="single" w:color="auto" w:sz="4" w:space="0"/>
              <w:left w:val="single" w:color="auto" w:sz="4" w:space="0"/>
              <w:bottom w:val="single" w:color="auto" w:sz="4" w:space="0"/>
              <w:right w:val="single" w:color="auto" w:sz="4" w:space="0"/>
            </w:tcBorders>
            <w:vAlign w:val="center"/>
          </w:tcPr>
          <w:p w14:paraId="25FE19EF">
            <w:pPr>
              <w:snapToGrid w:val="0"/>
              <w:spacing w:line="360" w:lineRule="exact"/>
              <w:jc w:val="center"/>
              <w:rPr>
                <w:rFonts w:ascii="宋体" w:hAnsi="宋体"/>
                <w:szCs w:val="21"/>
              </w:rPr>
            </w:pPr>
            <w:r>
              <w:rPr>
                <w:rFonts w:hint="eastAsia" w:ascii="宋体" w:hAnsi="宋体"/>
                <w:szCs w:val="21"/>
              </w:rPr>
              <w:t>14</w:t>
            </w:r>
          </w:p>
        </w:tc>
        <w:tc>
          <w:tcPr>
            <w:tcW w:w="8820" w:type="dxa"/>
            <w:tcBorders>
              <w:top w:val="single" w:color="auto" w:sz="4" w:space="0"/>
              <w:left w:val="single" w:color="auto" w:sz="4" w:space="0"/>
              <w:bottom w:val="single" w:color="auto" w:sz="4" w:space="0"/>
              <w:right w:val="single" w:color="auto" w:sz="4" w:space="0"/>
            </w:tcBorders>
            <w:vAlign w:val="center"/>
          </w:tcPr>
          <w:p w14:paraId="3DCBE7F8">
            <w:pPr>
              <w:spacing w:line="360" w:lineRule="exact"/>
            </w:pPr>
            <w:r>
              <w:rPr>
                <w:rFonts w:hint="eastAsia"/>
              </w:rPr>
              <w:t>本项目履约保证金：无</w:t>
            </w:r>
          </w:p>
        </w:tc>
      </w:tr>
      <w:tr w14:paraId="705BA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648" w:type="dxa"/>
            <w:tcBorders>
              <w:top w:val="single" w:color="auto" w:sz="4" w:space="0"/>
              <w:left w:val="single" w:color="auto" w:sz="4" w:space="0"/>
              <w:bottom w:val="single" w:color="auto" w:sz="4" w:space="0"/>
              <w:right w:val="single" w:color="auto" w:sz="4" w:space="0"/>
            </w:tcBorders>
            <w:vAlign w:val="center"/>
          </w:tcPr>
          <w:p w14:paraId="1D0290AA">
            <w:pPr>
              <w:snapToGrid w:val="0"/>
              <w:spacing w:line="360" w:lineRule="exact"/>
              <w:jc w:val="center"/>
              <w:rPr>
                <w:rFonts w:ascii="宋体" w:hAnsi="宋体"/>
                <w:szCs w:val="21"/>
              </w:rPr>
            </w:pPr>
            <w:r>
              <w:rPr>
                <w:rFonts w:hint="eastAsia" w:ascii="宋体" w:hAnsi="宋体"/>
                <w:szCs w:val="21"/>
              </w:rPr>
              <w:t>15</w:t>
            </w:r>
          </w:p>
        </w:tc>
        <w:tc>
          <w:tcPr>
            <w:tcW w:w="8820" w:type="dxa"/>
            <w:tcBorders>
              <w:top w:val="single" w:color="auto" w:sz="4" w:space="0"/>
              <w:left w:val="single" w:color="auto" w:sz="4" w:space="0"/>
              <w:bottom w:val="single" w:color="auto" w:sz="4" w:space="0"/>
              <w:right w:val="single" w:color="auto" w:sz="4" w:space="0"/>
            </w:tcBorders>
            <w:vAlign w:val="center"/>
          </w:tcPr>
          <w:p w14:paraId="7D550FD9">
            <w:pPr>
              <w:autoSpaceDE w:val="0"/>
              <w:autoSpaceDN w:val="0"/>
              <w:snapToGrid w:val="0"/>
              <w:spacing w:line="360" w:lineRule="exact"/>
              <w:textAlignment w:val="bottom"/>
              <w:rPr>
                <w:rFonts w:ascii="宋体" w:hAnsi="宋体"/>
                <w:szCs w:val="21"/>
              </w:rPr>
            </w:pPr>
            <w:r>
              <w:rPr>
                <w:rFonts w:hint="eastAsia" w:ascii="宋体" w:hAnsi="宋体"/>
                <w:szCs w:val="21"/>
              </w:rPr>
              <w:t>本招标文件解释权属于广西财经学院。</w:t>
            </w:r>
          </w:p>
        </w:tc>
      </w:tr>
    </w:tbl>
    <w:p w14:paraId="717939A2">
      <w:pPr>
        <w:pStyle w:val="2"/>
        <w:ind w:left="0" w:leftChars="0"/>
        <w:rPr>
          <w:rFonts w:hAnsi="宋体"/>
          <w:bCs/>
          <w:spacing w:val="-6"/>
          <w:sz w:val="36"/>
          <w:szCs w:val="36"/>
        </w:rPr>
      </w:pPr>
    </w:p>
    <w:p w14:paraId="55A989BE">
      <w:pPr>
        <w:spacing w:line="400" w:lineRule="exact"/>
        <w:jc w:val="center"/>
        <w:rPr>
          <w:rFonts w:ascii="宋体" w:hAnsi="宋体"/>
          <w:b/>
          <w:sz w:val="28"/>
          <w:szCs w:val="28"/>
        </w:rPr>
      </w:pPr>
      <w:r>
        <w:rPr>
          <w:rFonts w:hint="eastAsia" w:ascii="宋体" w:hAnsi="宋体"/>
          <w:b/>
          <w:sz w:val="28"/>
          <w:szCs w:val="28"/>
        </w:rPr>
        <w:t>竞 标 人 须 知</w:t>
      </w:r>
    </w:p>
    <w:p w14:paraId="798C7289">
      <w:pPr>
        <w:spacing w:line="430" w:lineRule="exact"/>
        <w:rPr>
          <w:rFonts w:ascii="宋体" w:hAnsi="宋体"/>
          <w:b/>
          <w:szCs w:val="21"/>
        </w:rPr>
      </w:pPr>
    </w:p>
    <w:p w14:paraId="5699E7B8">
      <w:pPr>
        <w:spacing w:line="430" w:lineRule="exact"/>
        <w:rPr>
          <w:rFonts w:ascii="宋体" w:hAnsi="宋体"/>
          <w:b/>
          <w:szCs w:val="21"/>
        </w:rPr>
      </w:pPr>
      <w:r>
        <w:rPr>
          <w:rFonts w:hint="eastAsia" w:ascii="宋体" w:hAnsi="宋体"/>
          <w:b/>
          <w:szCs w:val="21"/>
        </w:rPr>
        <w:t>一、总则</w:t>
      </w:r>
    </w:p>
    <w:p w14:paraId="4EC62BF0">
      <w:pPr>
        <w:spacing w:line="430" w:lineRule="exact"/>
        <w:rPr>
          <w:rFonts w:ascii="宋体" w:hAnsi="宋体"/>
          <w:szCs w:val="21"/>
        </w:rPr>
      </w:pPr>
      <w:r>
        <w:rPr>
          <w:rFonts w:hint="eastAsia" w:ascii="宋体" w:hAnsi="宋体"/>
          <w:szCs w:val="21"/>
        </w:rPr>
        <w:t>1.适用范围</w:t>
      </w:r>
    </w:p>
    <w:p w14:paraId="1E956245">
      <w:pPr>
        <w:spacing w:line="430" w:lineRule="exact"/>
        <w:rPr>
          <w:rFonts w:ascii="宋体" w:hAnsi="宋体"/>
          <w:szCs w:val="21"/>
        </w:rPr>
      </w:pPr>
      <w:r>
        <w:rPr>
          <w:rFonts w:hint="eastAsia" w:ascii="宋体" w:hAnsi="宋体"/>
          <w:szCs w:val="21"/>
        </w:rPr>
        <w:t>1.1本文件仅适用于本文件中所叙述的货物、服务类采购项目。</w:t>
      </w:r>
    </w:p>
    <w:p w14:paraId="30F9DE7B">
      <w:pPr>
        <w:spacing w:line="430" w:lineRule="exact"/>
        <w:rPr>
          <w:rFonts w:ascii="宋体" w:hAnsi="宋体"/>
          <w:szCs w:val="21"/>
        </w:rPr>
      </w:pPr>
      <w:r>
        <w:rPr>
          <w:rFonts w:hint="eastAsia" w:ascii="宋体" w:hAnsi="宋体"/>
          <w:szCs w:val="21"/>
        </w:rPr>
        <w:t>2.定义</w:t>
      </w:r>
    </w:p>
    <w:p w14:paraId="13BFED5B">
      <w:pPr>
        <w:spacing w:line="430" w:lineRule="exact"/>
        <w:rPr>
          <w:rFonts w:ascii="宋体" w:hAnsi="宋体"/>
          <w:szCs w:val="21"/>
        </w:rPr>
      </w:pPr>
      <w:r>
        <w:rPr>
          <w:rFonts w:hint="eastAsia" w:ascii="宋体" w:hAnsi="宋体"/>
          <w:szCs w:val="21"/>
        </w:rPr>
        <w:t>2.1“采购人”是指：广西财经学院</w:t>
      </w:r>
    </w:p>
    <w:p w14:paraId="4CC621CE">
      <w:pPr>
        <w:spacing w:line="430" w:lineRule="exact"/>
        <w:rPr>
          <w:rFonts w:ascii="宋体" w:hAnsi="宋体"/>
          <w:szCs w:val="21"/>
        </w:rPr>
      </w:pPr>
      <w:r>
        <w:rPr>
          <w:rFonts w:hint="eastAsia" w:ascii="宋体" w:hAnsi="宋体"/>
          <w:szCs w:val="21"/>
        </w:rPr>
        <w:t>2.2“供应商”是指响应本文件要求，参加遴选的法人或者其他组织。如果该供应商在本次遴选中成交，即成为“成交供应商”。</w:t>
      </w:r>
    </w:p>
    <w:p w14:paraId="51A47A81">
      <w:pPr>
        <w:spacing w:line="430" w:lineRule="exact"/>
        <w:rPr>
          <w:rFonts w:ascii="宋体" w:hAnsi="宋体"/>
          <w:szCs w:val="21"/>
        </w:rPr>
      </w:pPr>
      <w:r>
        <w:rPr>
          <w:rFonts w:hint="eastAsia" w:ascii="宋体" w:hAnsi="宋体"/>
          <w:szCs w:val="21"/>
        </w:rPr>
        <w:t>2.3“货物”是指各种形态和种类的物品，包括原材料、燃料、设备、产品等。</w:t>
      </w:r>
    </w:p>
    <w:p w14:paraId="53FD0BBD">
      <w:pPr>
        <w:spacing w:line="430" w:lineRule="exact"/>
        <w:rPr>
          <w:rFonts w:ascii="宋体" w:hAnsi="宋体"/>
          <w:szCs w:val="21"/>
        </w:rPr>
      </w:pPr>
      <w:r>
        <w:rPr>
          <w:rFonts w:hint="eastAsia" w:ascii="宋体" w:hAnsi="宋体"/>
          <w:szCs w:val="21"/>
        </w:rPr>
        <w:t>2.4“服务”是指除货物和工程以外的其它采购对象。</w:t>
      </w:r>
    </w:p>
    <w:p w14:paraId="0A08FD5F">
      <w:pPr>
        <w:spacing w:line="430" w:lineRule="exact"/>
        <w:rPr>
          <w:rFonts w:ascii="宋体" w:hAnsi="宋体"/>
          <w:szCs w:val="21"/>
        </w:rPr>
      </w:pPr>
      <w:r>
        <w:rPr>
          <w:rFonts w:hint="eastAsia" w:ascii="宋体" w:hAnsi="宋体"/>
          <w:szCs w:val="21"/>
        </w:rPr>
        <w:t>2.5“响应文件”是指：供应商根据本文件要求，编制包含报价、技术和服务等所有内容的文件。</w:t>
      </w:r>
    </w:p>
    <w:p w14:paraId="7D37D17D">
      <w:pPr>
        <w:spacing w:line="430" w:lineRule="exact"/>
        <w:rPr>
          <w:rFonts w:ascii="宋体" w:hAnsi="宋体"/>
          <w:szCs w:val="21"/>
        </w:rPr>
      </w:pPr>
      <w:r>
        <w:rPr>
          <w:rFonts w:hint="eastAsia" w:ascii="宋体" w:hAnsi="宋体"/>
          <w:szCs w:val="21"/>
        </w:rPr>
        <w:t>2.6“★”系指实质性要求条款。与标“★”的技术指标、主要功能、商务要求发生实质性负偏离的，视为无效响应。</w:t>
      </w:r>
    </w:p>
    <w:p w14:paraId="7890E891">
      <w:pPr>
        <w:spacing w:line="430" w:lineRule="exact"/>
        <w:rPr>
          <w:rFonts w:ascii="宋体" w:hAnsi="宋体"/>
          <w:szCs w:val="21"/>
        </w:rPr>
      </w:pPr>
      <w:r>
        <w:rPr>
          <w:rFonts w:hint="eastAsia" w:ascii="宋体" w:hAnsi="宋体"/>
          <w:szCs w:val="21"/>
        </w:rPr>
        <w:t>3.遴选供应商的基本条件：</w:t>
      </w:r>
    </w:p>
    <w:p w14:paraId="5147504F">
      <w:pPr>
        <w:spacing w:line="380" w:lineRule="exact"/>
        <w:rPr>
          <w:rFonts w:ascii="宋体" w:hAnsi="宋体"/>
          <w:szCs w:val="32"/>
        </w:rPr>
      </w:pPr>
      <w:r>
        <w:rPr>
          <w:rFonts w:hint="eastAsia" w:ascii="宋体" w:hAnsi="宋体"/>
          <w:szCs w:val="21"/>
        </w:rPr>
        <w:t>3.1供应商资格：</w:t>
      </w:r>
    </w:p>
    <w:p w14:paraId="3933D759">
      <w:pPr>
        <w:spacing w:line="420" w:lineRule="exact"/>
        <w:ind w:firstLine="450"/>
        <w:rPr>
          <w:rFonts w:ascii="宋体" w:hAnsi="宋体" w:cs="Arial"/>
          <w:szCs w:val="20"/>
        </w:rPr>
      </w:pPr>
      <w:r>
        <w:rPr>
          <w:rFonts w:hint="eastAsia" w:ascii="宋体" w:hAnsi="宋体" w:cs="Arial"/>
          <w:szCs w:val="20"/>
        </w:rPr>
        <w:t>（1）未被列入失信被执行人、重大税收违法案件当事人名单、政府采购严重违法失信行为记录名单，且符合《中华人民共和国政府采购法》第二十二条规定的资格条件。</w:t>
      </w:r>
    </w:p>
    <w:p w14:paraId="2F6789B8">
      <w:pPr>
        <w:widowControl/>
        <w:spacing w:line="440" w:lineRule="exact"/>
        <w:ind w:firstLine="420" w:firstLineChars="200"/>
        <w:jc w:val="left"/>
        <w:rPr>
          <w:rFonts w:ascii="宋体" w:hAnsi="宋体" w:cs="宋体"/>
          <w:szCs w:val="21"/>
        </w:rPr>
      </w:pPr>
      <w:r>
        <w:rPr>
          <w:rFonts w:hint="eastAsia" w:ascii="宋体" w:hAnsi="宋体" w:cs="Arial"/>
          <w:kern w:val="0"/>
          <w:szCs w:val="21"/>
        </w:rPr>
        <w:t>（2）本项目的特定资格要求：A分标供应商应具备《工程设计资质证书》电子通信广电行业（通信工程类或电子系统工程）专业乙级及以上资质；B分标供应商应通过全国投资项目在线审批监管平台备案（备案专业：电子、信息工程（含通信、广电、信息化）；工程咨询服务范围：项目咨询）。</w:t>
      </w:r>
    </w:p>
    <w:p w14:paraId="755D8FFE">
      <w:pPr>
        <w:spacing w:line="360" w:lineRule="auto"/>
        <w:ind w:firstLine="420" w:firstLineChars="200"/>
        <w:rPr>
          <w:rFonts w:ascii="宋体" w:hAnsi="宋体" w:cs="宋体"/>
          <w:szCs w:val="21"/>
        </w:rPr>
      </w:pPr>
      <w:r>
        <w:rPr>
          <w:rFonts w:hint="eastAsia" w:ascii="宋体" w:hAnsi="宋体" w:cs="宋体"/>
          <w:szCs w:val="21"/>
        </w:rPr>
        <w:t>（3）对在“信用中国”网站(www.creditchina.gov.cn)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本项目采购活动。</w:t>
      </w:r>
    </w:p>
    <w:p w14:paraId="46A2E203">
      <w:pPr>
        <w:widowControl/>
        <w:spacing w:line="400" w:lineRule="exact"/>
        <w:ind w:firstLine="420" w:firstLineChars="200"/>
        <w:rPr>
          <w:rFonts w:hAnsi="宋体" w:cs="仿宋_GB2312"/>
          <w:bCs/>
          <w:szCs w:val="21"/>
        </w:rPr>
      </w:pPr>
      <w:r>
        <w:rPr>
          <w:rFonts w:hint="eastAsia" w:hAnsi="宋体" w:cs="仿宋_GB2312"/>
          <w:bCs/>
          <w:szCs w:val="21"/>
        </w:rPr>
        <w:t>（4）本项目不接受联合体投标。</w:t>
      </w:r>
    </w:p>
    <w:p w14:paraId="2D089E1E">
      <w:pPr>
        <w:spacing w:line="380" w:lineRule="exact"/>
        <w:rPr>
          <w:rFonts w:ascii="宋体" w:hAnsi="宋体"/>
        </w:rPr>
      </w:pPr>
      <w:r>
        <w:rPr>
          <w:rFonts w:hint="eastAsia" w:ascii="宋体" w:hAnsi="宋体"/>
        </w:rPr>
        <w:t>3.2符合供应商资格的供应商应承担遴选及履约中应承担的全部责任与义务。</w:t>
      </w:r>
    </w:p>
    <w:p w14:paraId="0E2692B0">
      <w:pPr>
        <w:spacing w:line="430" w:lineRule="exact"/>
        <w:rPr>
          <w:rFonts w:ascii="宋体" w:hAnsi="宋体"/>
          <w:bCs/>
          <w:spacing w:val="-2"/>
          <w:szCs w:val="21"/>
        </w:rPr>
      </w:pPr>
      <w:r>
        <w:rPr>
          <w:rFonts w:hint="eastAsia" w:ascii="宋体" w:hAnsi="宋体"/>
          <w:szCs w:val="20"/>
        </w:rPr>
        <w:t>3.3项目如有开展</w:t>
      </w:r>
      <w:r>
        <w:rPr>
          <w:rFonts w:hint="eastAsia" w:ascii="宋体" w:hAnsi="宋体"/>
          <w:szCs w:val="21"/>
        </w:rPr>
        <w:t>现场踏勘</w:t>
      </w:r>
      <w:r>
        <w:rPr>
          <w:rFonts w:hint="eastAsia" w:ascii="宋体" w:hAnsi="宋体"/>
          <w:szCs w:val="20"/>
        </w:rPr>
        <w:t>工作，具体要求详见供应商须知前附表。</w:t>
      </w:r>
    </w:p>
    <w:p w14:paraId="1D14272E">
      <w:pPr>
        <w:spacing w:line="430" w:lineRule="exact"/>
        <w:rPr>
          <w:rFonts w:ascii="宋体" w:hAnsi="宋体"/>
          <w:szCs w:val="21"/>
        </w:rPr>
      </w:pPr>
      <w:r>
        <w:rPr>
          <w:rFonts w:hint="eastAsia" w:ascii="宋体" w:hAnsi="宋体"/>
          <w:szCs w:val="21"/>
        </w:rPr>
        <w:t>4.遴选费用、遴选文件的澄清和修改</w:t>
      </w:r>
    </w:p>
    <w:p w14:paraId="62F2A64D">
      <w:pPr>
        <w:spacing w:line="430" w:lineRule="exact"/>
        <w:rPr>
          <w:rFonts w:ascii="宋体" w:hAnsi="宋体"/>
          <w:szCs w:val="21"/>
        </w:rPr>
      </w:pPr>
      <w:r>
        <w:rPr>
          <w:rFonts w:hint="eastAsia" w:ascii="宋体" w:hAnsi="宋体"/>
          <w:szCs w:val="21"/>
        </w:rPr>
        <w:t>4.1遴选供应商应自行承担所有与编写和提交遴选响应文件有关的费用，不论遴选结果如何，采购人在任何情况下无义务和责任承担此类费用。</w:t>
      </w:r>
    </w:p>
    <w:p w14:paraId="09E27F9F">
      <w:pPr>
        <w:spacing w:line="430" w:lineRule="exact"/>
        <w:rPr>
          <w:rFonts w:ascii="宋体" w:hAnsi="宋体"/>
          <w:szCs w:val="21"/>
        </w:rPr>
      </w:pPr>
      <w:r>
        <w:rPr>
          <w:rFonts w:hint="eastAsia" w:ascii="宋体" w:hAnsi="宋体"/>
          <w:szCs w:val="21"/>
        </w:rPr>
        <w:t>4.2遴选文件的澄清和修改：</w:t>
      </w:r>
    </w:p>
    <w:p w14:paraId="28439AEA">
      <w:pPr>
        <w:spacing w:line="430" w:lineRule="exact"/>
        <w:rPr>
          <w:rFonts w:ascii="宋体" w:hAnsi="宋体"/>
          <w:szCs w:val="21"/>
        </w:rPr>
      </w:pPr>
      <w:r>
        <w:rPr>
          <w:rFonts w:hint="eastAsia" w:ascii="宋体" w:hAnsi="宋体"/>
          <w:szCs w:val="21"/>
        </w:rPr>
        <w:t>4.2.1供应商应认真审核《项目需求和说明》中的技术参数、配置及要求，如发现表中技术参数、配置有误或要求不合理的，供应商必须在规定的时间前要求澄清，否则，由此产生的后果由供应商负责。</w:t>
      </w:r>
    </w:p>
    <w:p w14:paraId="32A77897">
      <w:pPr>
        <w:spacing w:line="430" w:lineRule="exact"/>
        <w:rPr>
          <w:rFonts w:ascii="宋体" w:hAnsi="宋体"/>
          <w:szCs w:val="21"/>
        </w:rPr>
      </w:pPr>
      <w:r>
        <w:rPr>
          <w:rFonts w:hint="eastAsia" w:ascii="宋体" w:hAnsi="宋体"/>
          <w:szCs w:val="21"/>
        </w:rPr>
        <w:t>4.2.2采购人对已发出的遴选文件进行必要澄清或者修改的，澄清或者修改的内容可能影响响应文件编制的，在遴选文件要求提交响应文件截止时间1日前（不足1日顺延），通知遴选文件收受人进行更正。该澄清或者修改的内容为遴选文件的组成部分。</w:t>
      </w:r>
    </w:p>
    <w:p w14:paraId="1DCC1296">
      <w:pPr>
        <w:spacing w:line="430" w:lineRule="exact"/>
        <w:rPr>
          <w:rFonts w:ascii="宋体" w:hAnsi="宋体"/>
          <w:szCs w:val="21"/>
        </w:rPr>
      </w:pPr>
      <w:r>
        <w:rPr>
          <w:rFonts w:hint="eastAsia" w:ascii="宋体" w:hAnsi="宋体"/>
          <w:szCs w:val="21"/>
        </w:rPr>
        <w:t>4.2.3采购人可视具体情况，延长响应文件递交截止时间和遴选时间。采购人至少在遴选文件要求提交响应文件的截止时间前，将变更时间通知所有遴选文件收受人。</w:t>
      </w:r>
    </w:p>
    <w:p w14:paraId="2A2A9827">
      <w:pPr>
        <w:spacing w:line="430" w:lineRule="exact"/>
        <w:rPr>
          <w:rFonts w:ascii="宋体" w:hAnsi="宋体"/>
          <w:b/>
          <w:szCs w:val="21"/>
        </w:rPr>
      </w:pPr>
      <w:r>
        <w:rPr>
          <w:rFonts w:hint="eastAsia" w:ascii="宋体" w:hAnsi="宋体"/>
          <w:b/>
          <w:szCs w:val="21"/>
        </w:rPr>
        <w:t>二、响应文件的编制</w:t>
      </w:r>
    </w:p>
    <w:p w14:paraId="6B1112F9">
      <w:pPr>
        <w:spacing w:line="430" w:lineRule="exact"/>
        <w:rPr>
          <w:rFonts w:ascii="宋体" w:hAnsi="宋体"/>
          <w:szCs w:val="21"/>
        </w:rPr>
      </w:pPr>
      <w:r>
        <w:rPr>
          <w:rFonts w:hint="eastAsia" w:ascii="宋体" w:hAnsi="宋体"/>
          <w:szCs w:val="21"/>
        </w:rPr>
        <w:t>5.响应文件编制基本要求</w:t>
      </w:r>
    </w:p>
    <w:p w14:paraId="78FBAB04">
      <w:pPr>
        <w:spacing w:line="430" w:lineRule="exact"/>
        <w:rPr>
          <w:rFonts w:ascii="宋体" w:hAnsi="宋体"/>
          <w:szCs w:val="21"/>
        </w:rPr>
      </w:pPr>
      <w:r>
        <w:rPr>
          <w:rFonts w:hint="eastAsia" w:ascii="宋体" w:hAnsi="宋体"/>
          <w:szCs w:val="21"/>
        </w:rPr>
        <w:t>5.1供应商对响应文件的编制应按要求装订和封装。</w:t>
      </w:r>
    </w:p>
    <w:p w14:paraId="1D443809">
      <w:pPr>
        <w:spacing w:line="430" w:lineRule="exact"/>
        <w:rPr>
          <w:rFonts w:ascii="宋体" w:hAnsi="宋体"/>
          <w:szCs w:val="21"/>
        </w:rPr>
      </w:pPr>
      <w:r>
        <w:rPr>
          <w:rFonts w:hint="eastAsia" w:ascii="宋体" w:hAnsi="宋体"/>
          <w:szCs w:val="21"/>
        </w:rPr>
        <w:t>5.2供应商提交的响应文件以及供应商与采购人就遴选的所有来往函电均应使用中文。供应商提交的支持文件和印刷的文献可以使用别的语言，但其相应内容必须附有中文翻译文本，在解释响应文件时以翻译文本为主。</w:t>
      </w:r>
    </w:p>
    <w:p w14:paraId="644696FE">
      <w:pPr>
        <w:spacing w:line="430" w:lineRule="exact"/>
        <w:rPr>
          <w:rFonts w:ascii="宋体" w:hAnsi="宋体"/>
          <w:szCs w:val="21"/>
        </w:rPr>
      </w:pPr>
      <w:r>
        <w:rPr>
          <w:rFonts w:hint="eastAsia" w:ascii="宋体" w:hAnsi="宋体"/>
          <w:szCs w:val="21"/>
        </w:rPr>
        <w:t>5.3供应商应认真阅读、并充分理解本文件的全部内容（包括所有的补充、修改内容），承诺并履行本文件中各项条款规定及要求。</w:t>
      </w:r>
    </w:p>
    <w:p w14:paraId="59A6C24F">
      <w:pPr>
        <w:spacing w:line="430" w:lineRule="exact"/>
        <w:rPr>
          <w:rFonts w:ascii="宋体" w:hAnsi="宋体"/>
          <w:szCs w:val="21"/>
        </w:rPr>
      </w:pPr>
      <w:r>
        <w:rPr>
          <w:rFonts w:hint="eastAsia" w:ascii="宋体" w:hAnsi="宋体"/>
          <w:szCs w:val="21"/>
        </w:rPr>
        <w:t>5.4响应文件必须按本文件全部内容，包括所有的补充通知及附件进行编制。</w:t>
      </w:r>
    </w:p>
    <w:p w14:paraId="65B83D83">
      <w:pPr>
        <w:spacing w:line="430" w:lineRule="exact"/>
        <w:rPr>
          <w:rFonts w:ascii="宋体" w:hAnsi="宋体"/>
          <w:szCs w:val="21"/>
        </w:rPr>
      </w:pPr>
      <w:r>
        <w:rPr>
          <w:rFonts w:hint="eastAsia" w:ascii="宋体" w:hAnsi="宋体"/>
          <w:szCs w:val="21"/>
        </w:rPr>
        <w:t>5.5如因供应商只填写和提供了本文件要求的部分内容和附件，而给评审造成困难，其可能导致的结果和责任由供应商自行承担。</w:t>
      </w:r>
    </w:p>
    <w:p w14:paraId="711C85F0">
      <w:pPr>
        <w:spacing w:line="430" w:lineRule="exact"/>
        <w:rPr>
          <w:rFonts w:ascii="宋体" w:hAnsi="宋体"/>
          <w:szCs w:val="21"/>
        </w:rPr>
      </w:pPr>
      <w:r>
        <w:rPr>
          <w:rFonts w:hint="eastAsia" w:ascii="宋体" w:hAnsi="宋体"/>
          <w:szCs w:val="21"/>
        </w:rPr>
        <w:t>5.6响应文件的组成。</w:t>
      </w:r>
    </w:p>
    <w:p w14:paraId="7A014C96">
      <w:pPr>
        <w:spacing w:line="430" w:lineRule="exact"/>
        <w:rPr>
          <w:rFonts w:ascii="宋体" w:hAnsi="宋体"/>
          <w:szCs w:val="21"/>
        </w:rPr>
      </w:pPr>
      <w:r>
        <w:rPr>
          <w:rFonts w:hint="eastAsia" w:ascii="宋体" w:hAnsi="宋体"/>
          <w:szCs w:val="21"/>
        </w:rPr>
        <w:t>5.6.1价格文件</w:t>
      </w:r>
    </w:p>
    <w:p w14:paraId="3F1E84D7">
      <w:pPr>
        <w:spacing w:line="430" w:lineRule="exact"/>
        <w:rPr>
          <w:rFonts w:ascii="宋体" w:hAnsi="宋体"/>
          <w:szCs w:val="21"/>
        </w:rPr>
      </w:pPr>
      <w:r>
        <w:rPr>
          <w:rFonts w:hint="eastAsia" w:ascii="宋体" w:hAnsi="宋体"/>
          <w:szCs w:val="21"/>
        </w:rPr>
        <w:t>★1）报价表；</w:t>
      </w:r>
    </w:p>
    <w:p w14:paraId="2EEC5B79">
      <w:pPr>
        <w:spacing w:line="430" w:lineRule="exact"/>
        <w:rPr>
          <w:rFonts w:ascii="宋体" w:hAnsi="宋体"/>
          <w:szCs w:val="21"/>
        </w:rPr>
      </w:pPr>
      <w:r>
        <w:rPr>
          <w:rFonts w:hint="eastAsia" w:ascii="宋体" w:hAnsi="宋体"/>
          <w:szCs w:val="21"/>
        </w:rPr>
        <w:t>5.6.2资格和商务技术文件</w:t>
      </w:r>
    </w:p>
    <w:p w14:paraId="3F1833CF">
      <w:pPr>
        <w:spacing w:line="460" w:lineRule="exact"/>
        <w:rPr>
          <w:rFonts w:ascii="宋体" w:hAnsi="宋体"/>
          <w:b/>
          <w:szCs w:val="21"/>
        </w:rPr>
      </w:pPr>
      <w:r>
        <w:rPr>
          <w:rFonts w:hint="eastAsia" w:ascii="宋体" w:hAnsi="宋体"/>
          <w:b/>
          <w:szCs w:val="21"/>
        </w:rPr>
        <w:t>资格证明文件</w:t>
      </w:r>
    </w:p>
    <w:p w14:paraId="5700C8E5">
      <w:pPr>
        <w:spacing w:line="430" w:lineRule="exact"/>
        <w:rPr>
          <w:rFonts w:ascii="宋体" w:hAnsi="宋体"/>
          <w:szCs w:val="21"/>
        </w:rPr>
      </w:pPr>
      <w:r>
        <w:rPr>
          <w:rFonts w:hint="eastAsia" w:ascii="宋体" w:hAnsi="宋体"/>
          <w:szCs w:val="21"/>
        </w:rPr>
        <w:t>★1）声明书；（详见</w:t>
      </w:r>
      <w:r>
        <w:rPr>
          <w:rFonts w:hint="eastAsia" w:ascii="宋体" w:hAnsi="宋体"/>
          <w:b/>
        </w:rPr>
        <w:t>第四章</w:t>
      </w:r>
      <w:r>
        <w:rPr>
          <w:rFonts w:hint="eastAsia" w:ascii="宋体" w:hAnsi="宋体"/>
          <w:szCs w:val="21"/>
        </w:rPr>
        <w:t>）</w:t>
      </w:r>
    </w:p>
    <w:p w14:paraId="70082DB3">
      <w:pPr>
        <w:spacing w:line="430" w:lineRule="exact"/>
        <w:rPr>
          <w:rFonts w:ascii="宋体" w:hAnsi="宋体"/>
          <w:szCs w:val="21"/>
        </w:rPr>
      </w:pPr>
      <w:r>
        <w:rPr>
          <w:rFonts w:hint="eastAsia" w:ascii="宋体" w:hAnsi="宋体"/>
          <w:szCs w:val="21"/>
        </w:rPr>
        <w:t>★2）法定代表人授权书原件，委托代理时必须提供；（详见</w:t>
      </w:r>
      <w:r>
        <w:rPr>
          <w:rFonts w:hint="eastAsia" w:ascii="宋体" w:hAnsi="宋体"/>
          <w:b/>
        </w:rPr>
        <w:t>第四章</w:t>
      </w:r>
      <w:r>
        <w:rPr>
          <w:rFonts w:hint="eastAsia" w:ascii="宋体" w:hAnsi="宋体"/>
          <w:szCs w:val="21"/>
        </w:rPr>
        <w:t>）；</w:t>
      </w:r>
    </w:p>
    <w:p w14:paraId="210BE6EB">
      <w:pPr>
        <w:spacing w:line="430" w:lineRule="exact"/>
        <w:rPr>
          <w:rFonts w:ascii="宋体" w:hAnsi="宋体"/>
          <w:szCs w:val="21"/>
        </w:rPr>
      </w:pPr>
      <w:r>
        <w:rPr>
          <w:rFonts w:hint="eastAsia" w:ascii="宋体" w:hAnsi="宋体"/>
          <w:szCs w:val="21"/>
        </w:rPr>
        <w:t>★3）有效的营业执照副本复印件（加盖单位公章）；</w:t>
      </w:r>
    </w:p>
    <w:p w14:paraId="1596BBEE">
      <w:pPr>
        <w:spacing w:line="430" w:lineRule="exact"/>
        <w:rPr>
          <w:rFonts w:ascii="宋体" w:hAnsi="宋体"/>
          <w:szCs w:val="21"/>
        </w:rPr>
      </w:pPr>
      <w:r>
        <w:rPr>
          <w:rFonts w:hint="eastAsia" w:ascii="宋体" w:hAnsi="宋体"/>
          <w:szCs w:val="21"/>
        </w:rPr>
        <w:t>★4）法定代表人身份证（第二代身份证须提供正反面复印件并加盖单位公章）、被授权人身份证（第二代身份证须提供正反面复印件并加盖单位公章，委托代理时必须提供）；</w:t>
      </w:r>
    </w:p>
    <w:p w14:paraId="1C21D97B">
      <w:pPr>
        <w:spacing w:line="360" w:lineRule="exact"/>
        <w:rPr>
          <w:rFonts w:ascii="宋体" w:hAnsi="宋体"/>
          <w:color w:val="000000"/>
          <w:szCs w:val="21"/>
        </w:rPr>
      </w:pPr>
      <w:r>
        <w:rPr>
          <w:rFonts w:hint="eastAsia" w:ascii="宋体" w:hAnsi="宋体"/>
          <w:color w:val="000000"/>
          <w:szCs w:val="21"/>
        </w:rPr>
        <w:t>5）遴选供应商2025年度的财务报表或审计报告；</w:t>
      </w:r>
    </w:p>
    <w:p w14:paraId="45CEF70E">
      <w:pPr>
        <w:spacing w:line="360" w:lineRule="exact"/>
        <w:rPr>
          <w:rFonts w:ascii="宋体" w:hAnsi="宋体"/>
          <w:szCs w:val="21"/>
        </w:rPr>
      </w:pPr>
      <w:r>
        <w:rPr>
          <w:rFonts w:hint="eastAsia" w:ascii="宋体" w:hAnsi="宋体"/>
          <w:color w:val="000000"/>
          <w:szCs w:val="21"/>
        </w:rPr>
        <w:t>6）2026年1月起至截标时</w:t>
      </w:r>
      <w:r>
        <w:rPr>
          <w:rFonts w:hint="eastAsia" w:ascii="宋体" w:hAnsi="宋体"/>
          <w:szCs w:val="21"/>
        </w:rPr>
        <w:t>间前任意一个月遴选供应商的依法缴纳税费或依法免缴税费的证明材料复印件；无纳税记录的，应提供由遴选供应商所在地主管国税、地税部门出具的《依法纳税或依法免税证明》。</w:t>
      </w:r>
    </w:p>
    <w:p w14:paraId="3A6B7C35">
      <w:pPr>
        <w:spacing w:line="360" w:lineRule="exact"/>
        <w:rPr>
          <w:rFonts w:ascii="宋体" w:hAnsi="宋体"/>
          <w:color w:val="000000"/>
          <w:szCs w:val="21"/>
        </w:rPr>
      </w:pPr>
      <w:r>
        <w:rPr>
          <w:rFonts w:hint="eastAsia" w:ascii="宋体" w:hAnsi="宋体"/>
          <w:szCs w:val="21"/>
        </w:rPr>
        <w:t>7）2026年1月起至截标时间前任意一个月遴选供应商的</w:t>
      </w:r>
      <w:r>
        <w:rPr>
          <w:rFonts w:hint="eastAsia" w:ascii="宋体" w:hAnsi="宋体" w:cs="宋体"/>
          <w:szCs w:val="21"/>
        </w:rPr>
        <w:t>供应商依法缴纳社会保障资金的相关材料复印件；</w:t>
      </w:r>
      <w:r>
        <w:rPr>
          <w:rFonts w:hint="eastAsia" w:ascii="宋体" w:hAnsi="宋体"/>
          <w:szCs w:val="21"/>
        </w:rPr>
        <w:t>依法不需要缴纳社会保障资金的供应商，必须提供相</w:t>
      </w:r>
      <w:r>
        <w:rPr>
          <w:rFonts w:hint="eastAsia" w:ascii="宋体" w:hAnsi="宋体"/>
          <w:color w:val="000000"/>
          <w:szCs w:val="21"/>
        </w:rPr>
        <w:t>应文件证明不需要缴纳社会保障资金。</w:t>
      </w:r>
      <w:r>
        <w:rPr>
          <w:rFonts w:hint="eastAsia" w:ascii="宋体" w:hAnsi="宋体" w:cs="宋体"/>
          <w:color w:val="000000"/>
          <w:szCs w:val="21"/>
        </w:rPr>
        <w:t>从</w:t>
      </w:r>
      <w:r>
        <w:rPr>
          <w:rFonts w:ascii="宋体" w:hAnsi="宋体"/>
          <w:color w:val="000000"/>
          <w:szCs w:val="21"/>
        </w:rPr>
        <w:t>成立</w:t>
      </w:r>
      <w:r>
        <w:rPr>
          <w:rFonts w:hint="eastAsia" w:ascii="宋体" w:hAnsi="宋体"/>
          <w:color w:val="000000"/>
          <w:szCs w:val="21"/>
        </w:rPr>
        <w:t>之日起</w:t>
      </w:r>
      <w:r>
        <w:rPr>
          <w:rFonts w:hint="eastAsia" w:ascii="宋体" w:hAnsi="宋体" w:cs="宋体"/>
          <w:color w:val="000000"/>
          <w:szCs w:val="21"/>
        </w:rPr>
        <w:t>到响应文件提交截止时间止不足要求月数的只需提供从</w:t>
      </w:r>
      <w:r>
        <w:rPr>
          <w:rFonts w:ascii="宋体" w:hAnsi="宋体"/>
          <w:color w:val="000000"/>
          <w:szCs w:val="21"/>
        </w:rPr>
        <w:t>成立</w:t>
      </w:r>
      <w:r>
        <w:rPr>
          <w:rFonts w:hint="eastAsia" w:ascii="宋体" w:hAnsi="宋体"/>
          <w:color w:val="000000"/>
          <w:szCs w:val="21"/>
        </w:rPr>
        <w:t>之日起</w:t>
      </w:r>
      <w:r>
        <w:rPr>
          <w:rFonts w:hint="eastAsia" w:ascii="宋体" w:hAnsi="宋体" w:cs="宋体"/>
          <w:color w:val="000000"/>
          <w:szCs w:val="21"/>
        </w:rPr>
        <w:t>的依法缴纳社会保障资金的</w:t>
      </w:r>
      <w:r>
        <w:rPr>
          <w:rFonts w:hint="eastAsia" w:ascii="宋体" w:hAnsi="宋体"/>
          <w:color w:val="000000"/>
          <w:szCs w:val="21"/>
        </w:rPr>
        <w:t>相应证明文件。</w:t>
      </w:r>
    </w:p>
    <w:p w14:paraId="70172732">
      <w:pPr>
        <w:spacing w:line="430" w:lineRule="exact"/>
        <w:rPr>
          <w:rFonts w:ascii="宋体" w:hAnsi="宋体"/>
          <w:szCs w:val="21"/>
        </w:rPr>
      </w:pPr>
      <w:r>
        <w:rPr>
          <w:rFonts w:hint="eastAsia" w:ascii="宋体" w:hAnsi="宋体"/>
          <w:szCs w:val="21"/>
        </w:rPr>
        <w:t>★8）</w:t>
      </w:r>
      <w:r>
        <w:rPr>
          <w:rFonts w:hint="eastAsia" w:ascii="宋体" w:hAnsi="宋体"/>
          <w:color w:val="000000"/>
          <w:szCs w:val="21"/>
        </w:rPr>
        <w:t>近三年内在经营活动中无重大违法记录的书面声明</w:t>
      </w:r>
      <w:r>
        <w:rPr>
          <w:rFonts w:hint="eastAsia" w:ascii="宋体" w:hAnsi="宋体"/>
          <w:szCs w:val="21"/>
        </w:rPr>
        <w:t>；[格式自拟，必须提供]</w:t>
      </w:r>
    </w:p>
    <w:p w14:paraId="79D88865">
      <w:pPr>
        <w:spacing w:line="430" w:lineRule="exact"/>
        <w:rPr>
          <w:rFonts w:ascii="宋体" w:hAnsi="宋体"/>
          <w:szCs w:val="21"/>
        </w:rPr>
      </w:pPr>
      <w:r>
        <w:rPr>
          <w:rFonts w:hint="eastAsia" w:ascii="宋体" w:hAnsi="宋体"/>
          <w:szCs w:val="21"/>
        </w:rPr>
        <w:t>★9）特定资质要求证明文件；</w:t>
      </w:r>
    </w:p>
    <w:p w14:paraId="6F97C557">
      <w:pPr>
        <w:spacing w:line="430" w:lineRule="exact"/>
        <w:rPr>
          <w:rFonts w:ascii="宋体" w:hAnsi="宋体"/>
          <w:szCs w:val="21"/>
        </w:rPr>
      </w:pPr>
      <w:r>
        <w:rPr>
          <w:rFonts w:hint="eastAsia" w:ascii="宋体" w:hAnsi="宋体"/>
          <w:szCs w:val="21"/>
        </w:rPr>
        <w:t>★10</w:t>
      </w:r>
      <w:r>
        <w:rPr>
          <w:rFonts w:hint="eastAsia" w:ascii="宋体" w:hAnsi="宋体" w:cs="宋体"/>
          <w:szCs w:val="21"/>
        </w:rPr>
        <w:t>）供应商信用记录网站〔“信用中国”网站(www.creditchina.gov.cn)、中国政府采购网(www.ccgp.gov.cn/cr/list)〕查询结果信用声明函。</w:t>
      </w:r>
    </w:p>
    <w:p w14:paraId="455F5986">
      <w:pPr>
        <w:spacing w:line="460" w:lineRule="exact"/>
        <w:rPr>
          <w:rFonts w:ascii="宋体" w:hAnsi="宋体"/>
          <w:b/>
          <w:szCs w:val="21"/>
        </w:rPr>
      </w:pPr>
      <w:r>
        <w:rPr>
          <w:rFonts w:hint="eastAsia" w:ascii="宋体" w:hAnsi="宋体"/>
          <w:b/>
          <w:szCs w:val="21"/>
        </w:rPr>
        <w:t>商务技术文件</w:t>
      </w:r>
    </w:p>
    <w:p w14:paraId="158C3AAC">
      <w:pPr>
        <w:spacing w:line="430" w:lineRule="exact"/>
        <w:rPr>
          <w:rFonts w:ascii="宋体" w:hAnsi="宋体"/>
          <w:szCs w:val="21"/>
        </w:rPr>
      </w:pPr>
      <w:r>
        <w:rPr>
          <w:rFonts w:hint="eastAsia" w:ascii="宋体" w:hAnsi="宋体"/>
          <w:szCs w:val="21"/>
        </w:rPr>
        <w:t>★</w:t>
      </w:r>
      <w:r>
        <w:rPr>
          <w:rFonts w:hint="eastAsia" w:ascii="宋体" w:hAnsi="宋体"/>
          <w:kern w:val="0"/>
          <w:szCs w:val="21"/>
        </w:rPr>
        <w:t>1）</w:t>
      </w:r>
      <w:r>
        <w:rPr>
          <w:rFonts w:hint="eastAsia" w:ascii="宋体" w:hAnsi="宋体"/>
          <w:szCs w:val="21"/>
        </w:rPr>
        <w:t>服务方案[格式自拟，必须提供]</w:t>
      </w:r>
      <w:r>
        <w:rPr>
          <w:rFonts w:hint="eastAsia" w:ascii="宋体" w:hAnsi="宋体"/>
          <w:kern w:val="0"/>
          <w:szCs w:val="21"/>
        </w:rPr>
        <w:t>；</w:t>
      </w:r>
      <w:r>
        <w:rPr>
          <w:rFonts w:ascii="宋体" w:hAnsi="宋体"/>
          <w:kern w:val="0"/>
          <w:szCs w:val="21"/>
        </w:rPr>
        <w:t xml:space="preserve"> </w:t>
      </w:r>
    </w:p>
    <w:p w14:paraId="543210D1">
      <w:pPr>
        <w:spacing w:line="430" w:lineRule="exact"/>
        <w:rPr>
          <w:rFonts w:ascii="宋体" w:hAnsi="宋体"/>
          <w:szCs w:val="21"/>
        </w:rPr>
      </w:pPr>
      <w:r>
        <w:rPr>
          <w:rFonts w:hint="eastAsia" w:ascii="宋体" w:hAnsi="宋体"/>
          <w:szCs w:val="21"/>
        </w:rPr>
        <w:t>★2）拟投入项目人员情况一览表[必须提供]；</w:t>
      </w:r>
    </w:p>
    <w:p w14:paraId="2F09D1D5">
      <w:pPr>
        <w:spacing w:line="430" w:lineRule="exact"/>
        <w:rPr>
          <w:rFonts w:ascii="宋体" w:hAnsi="宋体"/>
          <w:szCs w:val="21"/>
        </w:rPr>
      </w:pPr>
      <w:r>
        <w:rPr>
          <w:rFonts w:hint="eastAsia" w:ascii="宋体" w:hAnsi="宋体"/>
          <w:szCs w:val="21"/>
        </w:rPr>
        <w:t>3）</w:t>
      </w:r>
      <w:r>
        <w:rPr>
          <w:rFonts w:hint="eastAsia" w:ascii="宋体" w:hAnsi="宋体"/>
          <w:bCs/>
          <w:szCs w:val="21"/>
        </w:rPr>
        <w:t>类似项目业绩；</w:t>
      </w:r>
    </w:p>
    <w:p w14:paraId="261024C5">
      <w:pPr>
        <w:spacing w:line="460" w:lineRule="exact"/>
        <w:rPr>
          <w:rFonts w:ascii="宋体" w:hAnsi="宋体"/>
          <w:szCs w:val="21"/>
        </w:rPr>
      </w:pPr>
      <w:r>
        <w:rPr>
          <w:rFonts w:hint="eastAsia" w:ascii="宋体" w:hAnsi="宋体"/>
          <w:szCs w:val="21"/>
        </w:rPr>
        <w:t>4）本遴选文件要求提供的其他资料和需要说明的问题。</w:t>
      </w:r>
    </w:p>
    <w:p w14:paraId="2CFC62C2">
      <w:pPr>
        <w:spacing w:line="430" w:lineRule="exact"/>
        <w:rPr>
          <w:rFonts w:ascii="宋体" w:hAnsi="宋体"/>
          <w:szCs w:val="21"/>
        </w:rPr>
      </w:pPr>
      <w:r>
        <w:rPr>
          <w:rFonts w:hint="eastAsia" w:ascii="宋体" w:hAnsi="宋体"/>
          <w:szCs w:val="21"/>
        </w:rPr>
        <w:t>6.计量单位</w:t>
      </w:r>
    </w:p>
    <w:p w14:paraId="3B6B0886">
      <w:pPr>
        <w:spacing w:line="430" w:lineRule="exact"/>
        <w:rPr>
          <w:rFonts w:ascii="宋体" w:hAnsi="宋体"/>
          <w:szCs w:val="21"/>
        </w:rPr>
      </w:pPr>
      <w:r>
        <w:rPr>
          <w:rFonts w:hint="eastAsia" w:ascii="宋体" w:hAnsi="宋体"/>
          <w:szCs w:val="21"/>
        </w:rPr>
        <w:t>6.1除技术要求中另有规定外，本文件所要求使用的计量单位均应采用国家法定计量单位。</w:t>
      </w:r>
    </w:p>
    <w:p w14:paraId="60504E33">
      <w:pPr>
        <w:spacing w:line="430" w:lineRule="exact"/>
        <w:rPr>
          <w:rFonts w:ascii="宋体" w:hAnsi="宋体"/>
          <w:b/>
          <w:szCs w:val="21"/>
        </w:rPr>
      </w:pPr>
      <w:r>
        <w:rPr>
          <w:rFonts w:hint="eastAsia" w:ascii="宋体" w:hAnsi="宋体"/>
          <w:b/>
          <w:szCs w:val="21"/>
        </w:rPr>
        <w:t>三、报价要求</w:t>
      </w:r>
    </w:p>
    <w:p w14:paraId="10A40EB5">
      <w:pPr>
        <w:spacing w:line="430" w:lineRule="exact"/>
        <w:rPr>
          <w:rFonts w:ascii="宋体" w:hAnsi="宋体"/>
          <w:szCs w:val="21"/>
        </w:rPr>
      </w:pPr>
      <w:r>
        <w:rPr>
          <w:rFonts w:hint="eastAsia" w:ascii="宋体" w:hAnsi="宋体"/>
          <w:szCs w:val="21"/>
        </w:rPr>
        <w:t>7.1对于本文件中未列明，而遴选供应商认为必需的费用也需列入总报价。在合同实施时，采购人将不予支付成交供应商没有列入的项目费用，并认为此项目的费用已包括在总报价中。</w:t>
      </w:r>
    </w:p>
    <w:p w14:paraId="1CE56676">
      <w:pPr>
        <w:spacing w:line="430" w:lineRule="exact"/>
        <w:rPr>
          <w:rFonts w:ascii="宋体" w:hAnsi="宋体"/>
          <w:b/>
          <w:szCs w:val="21"/>
        </w:rPr>
      </w:pPr>
      <w:r>
        <w:rPr>
          <w:rFonts w:hint="eastAsia" w:ascii="宋体" w:hAnsi="宋体"/>
          <w:b/>
          <w:szCs w:val="21"/>
        </w:rPr>
        <w:t>四、响应文件的份数、封装和递交</w:t>
      </w:r>
    </w:p>
    <w:p w14:paraId="73D1A721">
      <w:pPr>
        <w:spacing w:line="430" w:lineRule="exact"/>
        <w:rPr>
          <w:rFonts w:ascii="宋体" w:hAnsi="宋体"/>
          <w:szCs w:val="21"/>
        </w:rPr>
      </w:pPr>
      <w:r>
        <w:rPr>
          <w:rFonts w:hint="eastAsia" w:ascii="宋体" w:hAnsi="宋体"/>
          <w:szCs w:val="21"/>
        </w:rPr>
        <w:t>8.响应文件的份数和封装</w:t>
      </w:r>
    </w:p>
    <w:p w14:paraId="3A50F172">
      <w:pPr>
        <w:spacing w:line="430" w:lineRule="exact"/>
        <w:rPr>
          <w:rFonts w:ascii="宋体" w:hAnsi="宋体"/>
          <w:szCs w:val="21"/>
        </w:rPr>
      </w:pPr>
      <w:r>
        <w:rPr>
          <w:rFonts w:hint="eastAsia" w:ascii="宋体" w:hAnsi="宋体"/>
          <w:szCs w:val="21"/>
        </w:rPr>
        <w:t>8.1供应商应将响应文件正本一份，副本三份。封装在一个信封中。</w:t>
      </w:r>
    </w:p>
    <w:p w14:paraId="3C29C710">
      <w:pPr>
        <w:spacing w:line="430" w:lineRule="exact"/>
        <w:rPr>
          <w:rFonts w:ascii="宋体" w:hAnsi="宋体"/>
          <w:szCs w:val="21"/>
        </w:rPr>
      </w:pPr>
      <w:r>
        <w:rPr>
          <w:rFonts w:hint="eastAsia" w:ascii="宋体" w:hAnsi="宋体"/>
          <w:szCs w:val="21"/>
        </w:rPr>
        <w:t>8.2响应文件的信封上应写明：</w:t>
      </w:r>
    </w:p>
    <w:p w14:paraId="47752719">
      <w:pPr>
        <w:spacing w:line="430" w:lineRule="exact"/>
        <w:rPr>
          <w:rFonts w:ascii="宋体" w:hAnsi="宋体"/>
          <w:szCs w:val="21"/>
        </w:rPr>
      </w:pPr>
      <w:r>
        <w:rPr>
          <w:rFonts w:hint="eastAsia" w:ascii="宋体" w:hAnsi="宋体"/>
          <w:szCs w:val="21"/>
        </w:rPr>
        <w:t>1）项目编号；</w:t>
      </w:r>
    </w:p>
    <w:p w14:paraId="48D756FD">
      <w:pPr>
        <w:spacing w:line="430" w:lineRule="exact"/>
        <w:rPr>
          <w:rFonts w:ascii="宋体" w:hAnsi="宋体"/>
          <w:szCs w:val="21"/>
        </w:rPr>
      </w:pPr>
      <w:r>
        <w:rPr>
          <w:rFonts w:hint="eastAsia" w:ascii="宋体" w:hAnsi="宋体"/>
          <w:szCs w:val="21"/>
        </w:rPr>
        <w:t>2）项目名称；</w:t>
      </w:r>
    </w:p>
    <w:p w14:paraId="132A51A3">
      <w:pPr>
        <w:spacing w:line="430" w:lineRule="exact"/>
        <w:rPr>
          <w:rFonts w:ascii="宋体" w:hAnsi="宋体"/>
          <w:szCs w:val="21"/>
        </w:rPr>
      </w:pPr>
      <w:r>
        <w:rPr>
          <w:rFonts w:hint="eastAsia" w:ascii="宋体" w:hAnsi="宋体"/>
          <w:szCs w:val="21"/>
        </w:rPr>
        <w:t>3）供应商名称。</w:t>
      </w:r>
    </w:p>
    <w:p w14:paraId="100A21F9">
      <w:pPr>
        <w:spacing w:line="430" w:lineRule="exact"/>
        <w:rPr>
          <w:rFonts w:ascii="宋体" w:hAnsi="宋体"/>
          <w:szCs w:val="21"/>
        </w:rPr>
      </w:pPr>
      <w:r>
        <w:rPr>
          <w:rFonts w:hint="eastAsia" w:ascii="宋体" w:hAnsi="宋体"/>
          <w:szCs w:val="21"/>
        </w:rPr>
        <w:t>9.响应文件的递交</w:t>
      </w:r>
    </w:p>
    <w:p w14:paraId="1C19423C">
      <w:pPr>
        <w:spacing w:line="430" w:lineRule="exact"/>
        <w:rPr>
          <w:rFonts w:ascii="宋体" w:hAnsi="宋体"/>
          <w:szCs w:val="21"/>
        </w:rPr>
      </w:pPr>
      <w:r>
        <w:rPr>
          <w:rFonts w:hint="eastAsia" w:ascii="宋体" w:hAnsi="宋体"/>
          <w:szCs w:val="21"/>
        </w:rPr>
        <w:t>9.1所有响应文件应于遴选文件中规定的时间前递交到遴选公告中指定地点。</w:t>
      </w:r>
    </w:p>
    <w:p w14:paraId="5AD03BF9">
      <w:pPr>
        <w:spacing w:line="430" w:lineRule="exact"/>
        <w:rPr>
          <w:rFonts w:ascii="宋体" w:hAnsi="宋体"/>
          <w:szCs w:val="21"/>
        </w:rPr>
      </w:pPr>
      <w:r>
        <w:rPr>
          <w:rFonts w:hint="eastAsia" w:ascii="宋体" w:hAnsi="宋体"/>
          <w:szCs w:val="21"/>
        </w:rPr>
        <w:t>10.迟交的响应文件</w:t>
      </w:r>
    </w:p>
    <w:p w14:paraId="4E8C3E1D">
      <w:pPr>
        <w:spacing w:line="430" w:lineRule="exact"/>
        <w:rPr>
          <w:rFonts w:ascii="宋体" w:hAnsi="宋体"/>
          <w:szCs w:val="21"/>
        </w:rPr>
      </w:pPr>
      <w:r>
        <w:rPr>
          <w:rFonts w:hint="eastAsia" w:ascii="宋体" w:hAnsi="宋体"/>
          <w:szCs w:val="21"/>
        </w:rPr>
        <w:t>采购人将拒绝或原封退回在其规定的递交响应文件截止时间之后收到的响应文件。</w:t>
      </w:r>
    </w:p>
    <w:p w14:paraId="1B38782F">
      <w:pPr>
        <w:numPr>
          <w:ilvl w:val="0"/>
          <w:numId w:val="1"/>
        </w:numPr>
        <w:spacing w:line="430" w:lineRule="exact"/>
        <w:rPr>
          <w:rFonts w:ascii="宋体" w:hAnsi="宋体"/>
          <w:b/>
          <w:szCs w:val="21"/>
        </w:rPr>
      </w:pPr>
      <w:r>
        <w:rPr>
          <w:rFonts w:hint="eastAsia" w:ascii="宋体" w:hAnsi="宋体"/>
          <w:b/>
          <w:szCs w:val="21"/>
        </w:rPr>
        <w:t>遴选</w:t>
      </w:r>
    </w:p>
    <w:p w14:paraId="74BEB86F">
      <w:pPr>
        <w:spacing w:line="430" w:lineRule="exact"/>
        <w:rPr>
          <w:rFonts w:ascii="宋体" w:hAnsi="宋体"/>
          <w:szCs w:val="21"/>
        </w:rPr>
      </w:pPr>
      <w:r>
        <w:rPr>
          <w:rFonts w:hint="eastAsia" w:ascii="宋体" w:hAnsi="宋体"/>
          <w:szCs w:val="21"/>
        </w:rPr>
        <w:t>11.1由学校组成采购工作小组，以参加遴选供应商的响应文件为依据，进行综合评审后确定供应商。</w:t>
      </w:r>
    </w:p>
    <w:p w14:paraId="61F89437">
      <w:pPr>
        <w:spacing w:line="430" w:lineRule="exact"/>
        <w:rPr>
          <w:rFonts w:ascii="宋体" w:hAnsi="宋体"/>
          <w:szCs w:val="21"/>
        </w:rPr>
      </w:pPr>
      <w:r>
        <w:rPr>
          <w:rFonts w:hint="eastAsia" w:ascii="宋体" w:hAnsi="宋体"/>
          <w:szCs w:val="21"/>
        </w:rPr>
        <w:t>11.2有下列情形之一的视为供应商相互串通竞标，响应文件将被视为无效</w:t>
      </w:r>
    </w:p>
    <w:p w14:paraId="1AF590E4">
      <w:pPr>
        <w:spacing w:line="430" w:lineRule="exact"/>
        <w:rPr>
          <w:rFonts w:ascii="宋体" w:hAnsi="宋体"/>
          <w:szCs w:val="21"/>
        </w:rPr>
      </w:pPr>
      <w:r>
        <w:rPr>
          <w:rFonts w:hint="eastAsia" w:ascii="宋体" w:hAnsi="宋体"/>
          <w:szCs w:val="21"/>
        </w:rPr>
        <w:t>(1）不同供应商的响应文件由同一单位或者个人编制；或不同供应商联系电话、地址一致的；</w:t>
      </w:r>
    </w:p>
    <w:p w14:paraId="1357E991">
      <w:pPr>
        <w:spacing w:line="430" w:lineRule="exact"/>
        <w:rPr>
          <w:rFonts w:ascii="宋体" w:hAnsi="宋体"/>
          <w:szCs w:val="21"/>
        </w:rPr>
      </w:pPr>
      <w:r>
        <w:rPr>
          <w:rFonts w:hint="eastAsia" w:ascii="宋体" w:hAnsi="宋体"/>
          <w:szCs w:val="21"/>
        </w:rPr>
        <w:t>(2）不同供应商委托同一单位或者个人办理竞标事宜；</w:t>
      </w:r>
    </w:p>
    <w:p w14:paraId="11BE34DA">
      <w:pPr>
        <w:spacing w:line="430" w:lineRule="exact"/>
        <w:rPr>
          <w:rFonts w:ascii="宋体" w:hAnsi="宋体"/>
          <w:szCs w:val="21"/>
        </w:rPr>
      </w:pPr>
      <w:r>
        <w:rPr>
          <w:rFonts w:hint="eastAsia" w:ascii="宋体" w:hAnsi="宋体"/>
          <w:szCs w:val="21"/>
        </w:rPr>
        <w:t>(3）不同的供应商的响应文件载明的项目管理人为同一个人；</w:t>
      </w:r>
    </w:p>
    <w:p w14:paraId="0D7198D0">
      <w:pPr>
        <w:spacing w:line="430" w:lineRule="exact"/>
        <w:rPr>
          <w:rFonts w:ascii="宋体" w:hAnsi="宋体"/>
          <w:szCs w:val="21"/>
        </w:rPr>
      </w:pPr>
      <w:r>
        <w:rPr>
          <w:rFonts w:hint="eastAsia" w:ascii="宋体" w:hAnsi="宋体"/>
          <w:szCs w:val="21"/>
        </w:rPr>
        <w:t>(4）不同供应商的响应文件异常一致或报价呈规律性差异；</w:t>
      </w:r>
    </w:p>
    <w:p w14:paraId="598FCDF3">
      <w:pPr>
        <w:spacing w:line="430" w:lineRule="exact"/>
        <w:rPr>
          <w:rFonts w:ascii="宋体" w:hAnsi="宋体"/>
          <w:szCs w:val="21"/>
        </w:rPr>
      </w:pPr>
      <w:r>
        <w:rPr>
          <w:rFonts w:hint="eastAsia" w:ascii="宋体" w:hAnsi="宋体"/>
          <w:szCs w:val="21"/>
        </w:rPr>
        <w:t>(5）不同供应商的响应文件相互混装。</w:t>
      </w:r>
    </w:p>
    <w:p w14:paraId="3078802D">
      <w:pPr>
        <w:spacing w:line="430" w:lineRule="exact"/>
        <w:rPr>
          <w:rFonts w:ascii="宋体" w:hAnsi="宋体"/>
          <w:b/>
          <w:szCs w:val="21"/>
        </w:rPr>
      </w:pPr>
      <w:r>
        <w:rPr>
          <w:rFonts w:hint="eastAsia" w:ascii="宋体" w:hAnsi="宋体"/>
          <w:b/>
          <w:szCs w:val="21"/>
        </w:rPr>
        <w:t>六、确定成交供应商办法</w:t>
      </w:r>
    </w:p>
    <w:p w14:paraId="141C10A0">
      <w:pPr>
        <w:spacing w:line="430" w:lineRule="exact"/>
        <w:rPr>
          <w:rFonts w:ascii="宋体" w:hAnsi="宋体"/>
          <w:szCs w:val="21"/>
        </w:rPr>
      </w:pPr>
      <w:r>
        <w:rPr>
          <w:rFonts w:hint="eastAsia" w:ascii="宋体" w:hAnsi="宋体"/>
          <w:szCs w:val="21"/>
        </w:rPr>
        <w:t>12.2根据以下原则推荐和确定成交供应商：</w:t>
      </w:r>
    </w:p>
    <w:p w14:paraId="0BD4365E">
      <w:pPr>
        <w:snapToGrid w:val="0"/>
        <w:spacing w:line="380" w:lineRule="exact"/>
        <w:ind w:firstLine="420" w:firstLineChars="200"/>
        <w:rPr>
          <w:rFonts w:ascii="宋体" w:hAnsi="宋体"/>
          <w:szCs w:val="21"/>
        </w:rPr>
      </w:pPr>
      <w:r>
        <w:rPr>
          <w:rFonts w:hint="eastAsia" w:ascii="宋体" w:hAnsi="宋体"/>
          <w:szCs w:val="21"/>
        </w:rPr>
        <w:t>实质上响应遴选文件要求，具备履行合同能力，</w:t>
      </w:r>
      <w:r>
        <w:rPr>
          <w:rFonts w:hint="eastAsia" w:hAnsi="宋体"/>
        </w:rPr>
        <w:t>评标委员会将根据得分由高到低排列次序（得分相同时，以遴选报价折扣率由低到高顺序排列；得分相同且报价相同的，按技术指标优劣顺序排列）并推荐中标候选人，最多推荐5家中标候选人。</w:t>
      </w:r>
    </w:p>
    <w:p w14:paraId="1453D394">
      <w:pPr>
        <w:spacing w:line="430" w:lineRule="exact"/>
        <w:rPr>
          <w:rFonts w:ascii="宋体" w:hAnsi="宋体"/>
          <w:b/>
          <w:bCs/>
          <w:szCs w:val="21"/>
        </w:rPr>
      </w:pPr>
      <w:r>
        <w:rPr>
          <w:rFonts w:hint="eastAsia" w:ascii="宋体" w:hAnsi="宋体"/>
          <w:b/>
          <w:bCs/>
          <w:szCs w:val="21"/>
        </w:rPr>
        <w:t>七、成交结果</w:t>
      </w:r>
    </w:p>
    <w:p w14:paraId="1116265E">
      <w:pPr>
        <w:spacing w:line="430" w:lineRule="exact"/>
        <w:rPr>
          <w:rFonts w:ascii="宋体" w:hAnsi="宋体"/>
          <w:szCs w:val="21"/>
        </w:rPr>
      </w:pPr>
      <w:r>
        <w:rPr>
          <w:rFonts w:hint="eastAsia" w:ascii="宋体" w:hAnsi="宋体"/>
          <w:szCs w:val="21"/>
        </w:rPr>
        <w:t>13.1成交结果公告</w:t>
      </w:r>
    </w:p>
    <w:p w14:paraId="57A52A39">
      <w:pPr>
        <w:spacing w:line="430" w:lineRule="exact"/>
        <w:rPr>
          <w:rFonts w:ascii="宋体" w:hAnsi="宋体"/>
          <w:szCs w:val="21"/>
        </w:rPr>
      </w:pPr>
      <w:r>
        <w:rPr>
          <w:rFonts w:hint="eastAsia" w:ascii="宋体" w:hAnsi="宋体"/>
          <w:szCs w:val="21"/>
        </w:rPr>
        <w:t>成交结果应当自交供应商确定之日起3个工作日内在学校网站公告，公告期限为1个工作日，</w:t>
      </w:r>
      <w:r>
        <w:rPr>
          <w:rFonts w:hint="eastAsia" w:ascii="宋体" w:hAnsi="宋体"/>
        </w:rPr>
        <w:t>同时向成交供应商发出成交通知书。</w:t>
      </w:r>
    </w:p>
    <w:p w14:paraId="465E30C4">
      <w:pPr>
        <w:spacing w:line="430" w:lineRule="exact"/>
        <w:rPr>
          <w:rFonts w:ascii="宋体" w:hAnsi="宋体"/>
          <w:szCs w:val="21"/>
        </w:rPr>
      </w:pPr>
      <w:r>
        <w:rPr>
          <w:rFonts w:hint="eastAsia" w:ascii="宋体" w:hAnsi="宋体"/>
          <w:szCs w:val="21"/>
        </w:rPr>
        <w:t>13.2供应商认为成交结果使自己的合法权益受到损害的，应当在成交结果公告期限（公告期限为1个工作日）届满之日起3个工作日内，以书面形式向采购人提出质疑。</w:t>
      </w:r>
    </w:p>
    <w:p w14:paraId="1AB55B9A">
      <w:pPr>
        <w:spacing w:line="430" w:lineRule="exact"/>
        <w:rPr>
          <w:rFonts w:ascii="宋体" w:hAnsi="宋体"/>
          <w:szCs w:val="21"/>
        </w:rPr>
      </w:pPr>
      <w:r>
        <w:rPr>
          <w:rFonts w:hint="eastAsia" w:ascii="宋体" w:hAnsi="宋体"/>
          <w:szCs w:val="21"/>
        </w:rPr>
        <w:t>13.3成交供应商在收到成交通知书后，按规定与采购人签订合同。</w:t>
      </w:r>
    </w:p>
    <w:p w14:paraId="4B99B81F">
      <w:pPr>
        <w:spacing w:line="430" w:lineRule="exact"/>
        <w:rPr>
          <w:rFonts w:ascii="宋体" w:hAnsi="宋体"/>
          <w:szCs w:val="21"/>
        </w:rPr>
      </w:pPr>
      <w:r>
        <w:rPr>
          <w:rFonts w:hint="eastAsia" w:ascii="宋体" w:hAnsi="宋体"/>
          <w:szCs w:val="21"/>
        </w:rPr>
        <w:t>13.4履约保证金：无</w:t>
      </w:r>
    </w:p>
    <w:p w14:paraId="0CB91D37">
      <w:pPr>
        <w:spacing w:line="430" w:lineRule="exact"/>
        <w:rPr>
          <w:rFonts w:ascii="宋体" w:hAnsi="宋体"/>
          <w:b/>
          <w:szCs w:val="21"/>
        </w:rPr>
      </w:pPr>
      <w:r>
        <w:rPr>
          <w:rFonts w:hint="eastAsia" w:ascii="宋体" w:hAnsi="宋体"/>
          <w:b/>
          <w:szCs w:val="21"/>
        </w:rPr>
        <w:t>八、适用法律</w:t>
      </w:r>
    </w:p>
    <w:p w14:paraId="08A4239D">
      <w:pPr>
        <w:spacing w:line="430" w:lineRule="exact"/>
        <w:rPr>
          <w:rFonts w:ascii="宋体" w:hAnsi="宋体"/>
          <w:szCs w:val="21"/>
        </w:rPr>
      </w:pPr>
      <w:r>
        <w:rPr>
          <w:rFonts w:hint="eastAsia" w:ascii="宋体" w:hAnsi="宋体"/>
          <w:szCs w:val="21"/>
        </w:rPr>
        <w:t>14.采购当事人的一切活动均适用《中华人民共和国政府采购法》及相关规定。</w:t>
      </w:r>
    </w:p>
    <w:p w14:paraId="4ABA1597">
      <w:pPr>
        <w:rPr>
          <w:rFonts w:ascii="宋体" w:hAnsi="宋体"/>
          <w:sz w:val="24"/>
        </w:rPr>
      </w:pPr>
    </w:p>
    <w:p w14:paraId="311CB58B">
      <w:pPr>
        <w:rPr>
          <w:rFonts w:ascii="宋体" w:hAnsi="宋体"/>
          <w:sz w:val="24"/>
        </w:rPr>
      </w:pPr>
    </w:p>
    <w:p w14:paraId="191B2AB5">
      <w:pPr>
        <w:autoSpaceDE w:val="0"/>
        <w:autoSpaceDN w:val="0"/>
        <w:adjustRightInd w:val="0"/>
        <w:rPr>
          <w:rFonts w:ascii="宋体" w:hAnsi="宋体" w:cs="宋体"/>
          <w:sz w:val="44"/>
          <w:szCs w:val="44"/>
        </w:rPr>
      </w:pPr>
    </w:p>
    <w:p w14:paraId="2697B592">
      <w:pPr>
        <w:autoSpaceDE w:val="0"/>
        <w:autoSpaceDN w:val="0"/>
        <w:adjustRightInd w:val="0"/>
        <w:rPr>
          <w:rFonts w:ascii="宋体" w:hAnsi="宋体" w:cs="宋体"/>
          <w:sz w:val="44"/>
          <w:szCs w:val="44"/>
        </w:rPr>
      </w:pPr>
    </w:p>
    <w:p w14:paraId="07C68474">
      <w:pPr>
        <w:pStyle w:val="2"/>
        <w:rPr>
          <w:rFonts w:hAnsi="宋体"/>
          <w:sz w:val="28"/>
          <w:szCs w:val="28"/>
          <w:u w:val="single"/>
        </w:rPr>
      </w:pPr>
    </w:p>
    <w:p w14:paraId="6D83561A">
      <w:pPr>
        <w:pStyle w:val="2"/>
        <w:rPr>
          <w:rFonts w:hAnsi="宋体"/>
          <w:sz w:val="28"/>
          <w:szCs w:val="28"/>
          <w:u w:val="single"/>
        </w:rPr>
      </w:pPr>
    </w:p>
    <w:p w14:paraId="418538DA">
      <w:pPr>
        <w:pStyle w:val="2"/>
        <w:rPr>
          <w:rFonts w:hAnsi="宋体"/>
          <w:sz w:val="28"/>
          <w:szCs w:val="28"/>
          <w:u w:val="single"/>
        </w:rPr>
      </w:pPr>
    </w:p>
    <w:p w14:paraId="7A1B497C">
      <w:pPr>
        <w:pStyle w:val="3"/>
        <w:ind w:left="1992" w:hanging="1992"/>
        <w:jc w:val="center"/>
        <w:rPr>
          <w:rFonts w:ascii="隶书" w:eastAsia="隶书"/>
        </w:rPr>
      </w:pPr>
      <w:r>
        <w:rPr>
          <w:rFonts w:hint="eastAsia" w:ascii="隶书" w:eastAsia="隶书"/>
        </w:rPr>
        <w:t>第二章 项目需求和说明</w:t>
      </w:r>
    </w:p>
    <w:p w14:paraId="108B388B"/>
    <w:p w14:paraId="6D97CB2D">
      <w:pPr>
        <w:pStyle w:val="2"/>
      </w:pPr>
    </w:p>
    <w:p w14:paraId="216DF0B2">
      <w:pPr>
        <w:pStyle w:val="2"/>
      </w:pPr>
    </w:p>
    <w:p w14:paraId="67159703">
      <w:pPr>
        <w:pStyle w:val="2"/>
      </w:pPr>
    </w:p>
    <w:p w14:paraId="2B80DEAD">
      <w:pPr>
        <w:pStyle w:val="2"/>
      </w:pPr>
    </w:p>
    <w:p w14:paraId="1CBA6B87">
      <w:pPr>
        <w:pStyle w:val="2"/>
      </w:pPr>
    </w:p>
    <w:p w14:paraId="2F0A584F">
      <w:pPr>
        <w:pStyle w:val="2"/>
      </w:pPr>
    </w:p>
    <w:p w14:paraId="43F420E9">
      <w:pPr>
        <w:pStyle w:val="2"/>
      </w:pPr>
    </w:p>
    <w:p w14:paraId="240F6C7B">
      <w:pPr>
        <w:pStyle w:val="2"/>
      </w:pPr>
    </w:p>
    <w:p w14:paraId="2DA4EAD2">
      <w:pPr>
        <w:pStyle w:val="2"/>
      </w:pPr>
    </w:p>
    <w:p w14:paraId="0F55994D">
      <w:pPr>
        <w:pStyle w:val="2"/>
      </w:pPr>
    </w:p>
    <w:p w14:paraId="5A179E13">
      <w:pPr>
        <w:pStyle w:val="2"/>
      </w:pPr>
    </w:p>
    <w:p w14:paraId="0635EF20">
      <w:pPr>
        <w:pStyle w:val="2"/>
      </w:pPr>
    </w:p>
    <w:p w14:paraId="7D6CA85D">
      <w:pPr>
        <w:pStyle w:val="2"/>
      </w:pPr>
    </w:p>
    <w:p w14:paraId="20246441">
      <w:pPr>
        <w:pStyle w:val="2"/>
      </w:pPr>
    </w:p>
    <w:p w14:paraId="0F67A47A">
      <w:pPr>
        <w:pStyle w:val="2"/>
      </w:pPr>
    </w:p>
    <w:p w14:paraId="36A5C71E">
      <w:pPr>
        <w:pStyle w:val="2"/>
      </w:pPr>
    </w:p>
    <w:p w14:paraId="1C5A759A">
      <w:pPr>
        <w:ind w:firstLine="420"/>
        <w:outlineLvl w:val="0"/>
        <w:rPr>
          <w:rFonts w:ascii="宋体" w:hAnsi="宋体" w:cs="宋体"/>
          <w:b/>
          <w:bCs/>
        </w:rPr>
      </w:pPr>
      <w:r>
        <w:rPr>
          <w:rFonts w:hint="eastAsia" w:ascii="宋体" w:hAnsi="宋体" w:cs="宋体"/>
          <w:b/>
          <w:bCs/>
        </w:rPr>
        <w:t>A分标</w:t>
      </w:r>
    </w:p>
    <w:tbl>
      <w:tblPr>
        <w:tblStyle w:val="10"/>
        <w:tblW w:w="9342" w:type="dxa"/>
        <w:jc w:val="center"/>
        <w:tblLayout w:type="fixed"/>
        <w:tblCellMar>
          <w:top w:w="0" w:type="dxa"/>
          <w:left w:w="0" w:type="dxa"/>
          <w:bottom w:w="0" w:type="dxa"/>
          <w:right w:w="0" w:type="dxa"/>
        </w:tblCellMar>
      </w:tblPr>
      <w:tblGrid>
        <w:gridCol w:w="612"/>
        <w:gridCol w:w="943"/>
        <w:gridCol w:w="572"/>
        <w:gridCol w:w="7215"/>
      </w:tblGrid>
      <w:tr w14:paraId="5F5D1EBF">
        <w:tblPrEx>
          <w:tblCellMar>
            <w:top w:w="0" w:type="dxa"/>
            <w:left w:w="0" w:type="dxa"/>
            <w:bottom w:w="0" w:type="dxa"/>
            <w:right w:w="0" w:type="dxa"/>
          </w:tblCellMar>
        </w:tblPrEx>
        <w:trPr>
          <w:trHeight w:val="577"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14:paraId="76CB6F80">
            <w:pPr>
              <w:pStyle w:val="4"/>
              <w:jc w:val="center"/>
              <w:rPr>
                <w:rFonts w:ascii="宋体" w:hAnsi="宋体" w:cs="宋体"/>
                <w:b/>
                <w:bCs/>
                <w:sz w:val="24"/>
              </w:rPr>
            </w:pPr>
            <w:r>
              <w:rPr>
                <w:rFonts w:hint="eastAsia" w:ascii="宋体" w:hAnsi="宋体" w:cs="宋体"/>
                <w:b/>
                <w:bCs/>
                <w:sz w:val="24"/>
              </w:rPr>
              <w:t>序号</w:t>
            </w:r>
          </w:p>
        </w:tc>
        <w:tc>
          <w:tcPr>
            <w:tcW w:w="943" w:type="dxa"/>
            <w:tcBorders>
              <w:top w:val="single" w:color="auto" w:sz="4" w:space="0"/>
              <w:left w:val="nil"/>
              <w:bottom w:val="single" w:color="auto" w:sz="4" w:space="0"/>
              <w:right w:val="single" w:color="auto" w:sz="4" w:space="0"/>
            </w:tcBorders>
            <w:vAlign w:val="center"/>
          </w:tcPr>
          <w:p w14:paraId="5F9EDCA0">
            <w:pPr>
              <w:pStyle w:val="4"/>
              <w:jc w:val="center"/>
              <w:rPr>
                <w:rFonts w:ascii="宋体" w:hAnsi="宋体" w:cs="宋体"/>
                <w:b/>
                <w:bCs/>
                <w:sz w:val="24"/>
              </w:rPr>
            </w:pPr>
            <w:r>
              <w:rPr>
                <w:rFonts w:hint="eastAsia" w:ascii="宋体" w:hAnsi="宋体" w:cs="宋体"/>
                <w:b/>
                <w:bCs/>
                <w:sz w:val="24"/>
              </w:rPr>
              <w:t>服务名称</w:t>
            </w:r>
          </w:p>
        </w:tc>
        <w:tc>
          <w:tcPr>
            <w:tcW w:w="572"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FA92A58">
            <w:pPr>
              <w:pStyle w:val="4"/>
              <w:jc w:val="center"/>
              <w:rPr>
                <w:rFonts w:ascii="宋体" w:hAnsi="宋体" w:cs="宋体"/>
                <w:b/>
                <w:bCs/>
                <w:sz w:val="24"/>
              </w:rPr>
            </w:pPr>
            <w:r>
              <w:rPr>
                <w:rFonts w:hint="eastAsia" w:ascii="宋体" w:hAnsi="宋体" w:cs="宋体"/>
                <w:b/>
                <w:bCs/>
                <w:sz w:val="24"/>
              </w:rPr>
              <w:t>数量</w:t>
            </w:r>
          </w:p>
        </w:tc>
        <w:tc>
          <w:tcPr>
            <w:tcW w:w="72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980BF11">
            <w:pPr>
              <w:spacing w:line="420" w:lineRule="exact"/>
              <w:ind w:firstLine="482" w:firstLineChars="200"/>
              <w:jc w:val="center"/>
              <w:rPr>
                <w:rFonts w:ascii="宋体" w:hAnsi="宋体" w:cs="宋体"/>
                <w:b/>
                <w:bCs/>
                <w:sz w:val="24"/>
              </w:rPr>
            </w:pPr>
            <w:r>
              <w:rPr>
                <w:rFonts w:hint="eastAsia" w:ascii="宋体" w:hAnsi="宋体" w:cs="宋体"/>
                <w:b/>
                <w:sz w:val="24"/>
                <w:lang w:val="zh-CN"/>
              </w:rPr>
              <w:t>服务需求</w:t>
            </w:r>
            <w:r>
              <w:rPr>
                <w:rFonts w:hint="eastAsia" w:ascii="宋体" w:hAnsi="宋体" w:cs="宋体"/>
                <w:b/>
                <w:sz w:val="24"/>
              </w:rPr>
              <w:t>工作内容及要求</w:t>
            </w:r>
          </w:p>
        </w:tc>
      </w:tr>
      <w:tr w14:paraId="27A46DBB">
        <w:tblPrEx>
          <w:tblCellMar>
            <w:top w:w="0" w:type="dxa"/>
            <w:left w:w="0" w:type="dxa"/>
            <w:bottom w:w="0" w:type="dxa"/>
            <w:right w:w="0" w:type="dxa"/>
          </w:tblCellMar>
        </w:tblPrEx>
        <w:trPr>
          <w:trHeight w:val="577"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14:paraId="245D575E">
            <w:pPr>
              <w:snapToGrid w:val="0"/>
              <w:jc w:val="center"/>
              <w:rPr>
                <w:rFonts w:ascii="宋体" w:hAnsi="宋体" w:cs="宋体"/>
                <w:sz w:val="24"/>
              </w:rPr>
            </w:pPr>
            <w:r>
              <w:rPr>
                <w:rFonts w:hint="eastAsia" w:ascii="宋体" w:hAnsi="宋体" w:cs="宋体"/>
                <w:sz w:val="24"/>
              </w:rPr>
              <w:t>1</w:t>
            </w:r>
          </w:p>
        </w:tc>
        <w:tc>
          <w:tcPr>
            <w:tcW w:w="943" w:type="dxa"/>
            <w:tcBorders>
              <w:top w:val="single" w:color="auto" w:sz="4" w:space="0"/>
              <w:left w:val="nil"/>
              <w:bottom w:val="single" w:color="auto" w:sz="4" w:space="0"/>
              <w:right w:val="single" w:color="auto" w:sz="4" w:space="0"/>
            </w:tcBorders>
            <w:vAlign w:val="center"/>
          </w:tcPr>
          <w:p w14:paraId="67E207E7">
            <w:pPr>
              <w:snapToGrid w:val="0"/>
              <w:spacing w:line="360" w:lineRule="auto"/>
              <w:jc w:val="center"/>
              <w:rPr>
                <w:rFonts w:ascii="宋体" w:hAnsi="宋体" w:cs="宋体"/>
                <w:sz w:val="24"/>
              </w:rPr>
            </w:pPr>
            <w:r>
              <w:rPr>
                <w:rFonts w:hint="eastAsia" w:hAnsi="宋体"/>
                <w:sz w:val="24"/>
              </w:rPr>
              <w:t>2026-2027年信息化建设项目第三方设计服务</w:t>
            </w:r>
          </w:p>
        </w:tc>
        <w:tc>
          <w:tcPr>
            <w:tcW w:w="572"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B07870E">
            <w:pPr>
              <w:snapToGrid w:val="0"/>
              <w:jc w:val="center"/>
              <w:rPr>
                <w:rFonts w:ascii="宋体" w:hAnsi="宋体" w:cs="宋体"/>
                <w:sz w:val="24"/>
              </w:rPr>
            </w:pPr>
            <w:r>
              <w:rPr>
                <w:rFonts w:hint="eastAsia" w:ascii="宋体" w:hAnsi="宋体" w:cs="宋体"/>
                <w:sz w:val="24"/>
              </w:rPr>
              <w:t>1项</w:t>
            </w:r>
          </w:p>
        </w:tc>
        <w:tc>
          <w:tcPr>
            <w:tcW w:w="72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A113983">
            <w:pPr>
              <w:pStyle w:val="15"/>
              <w:spacing w:before="181" w:line="220" w:lineRule="auto"/>
              <w:ind w:firstLine="470" w:firstLineChars="200"/>
              <w:jc w:val="left"/>
              <w:rPr>
                <w:spacing w:val="-3"/>
                <w:sz w:val="24"/>
                <w:szCs w:val="24"/>
                <w:lang w:eastAsia="zh-CN"/>
              </w:rPr>
            </w:pPr>
            <w:r>
              <w:rPr>
                <w:rFonts w:hint="eastAsia"/>
                <w:b/>
                <w:bCs/>
                <w:spacing w:val="-3"/>
                <w:sz w:val="24"/>
                <w:szCs w:val="24"/>
                <w:lang w:eastAsia="zh-CN"/>
              </w:rPr>
              <w:t>一、</w:t>
            </w:r>
            <w:r>
              <w:rPr>
                <w:b/>
                <w:bCs/>
                <w:spacing w:val="-3"/>
                <w:sz w:val="24"/>
                <w:szCs w:val="24"/>
                <w:lang w:eastAsia="zh-CN"/>
              </w:rPr>
              <w:t>项目概况</w:t>
            </w:r>
          </w:p>
          <w:p w14:paraId="5AC7A6BB">
            <w:pPr>
              <w:pStyle w:val="15"/>
              <w:spacing w:line="360" w:lineRule="auto"/>
              <w:ind w:firstLine="468" w:firstLineChars="200"/>
              <w:jc w:val="left"/>
              <w:rPr>
                <w:spacing w:val="-3"/>
                <w:sz w:val="24"/>
                <w:szCs w:val="24"/>
                <w:lang w:eastAsia="zh-CN"/>
              </w:rPr>
            </w:pPr>
            <w:r>
              <w:rPr>
                <w:spacing w:val="-3"/>
                <w:sz w:val="24"/>
                <w:szCs w:val="24"/>
                <w:lang w:eastAsia="zh-CN"/>
              </w:rPr>
              <w:t>为科学、系统地推进</w:t>
            </w:r>
            <w:r>
              <w:rPr>
                <w:rFonts w:hint="eastAsia"/>
                <w:spacing w:val="-3"/>
                <w:sz w:val="24"/>
                <w:szCs w:val="24"/>
                <w:lang w:eastAsia="zh-CN"/>
              </w:rPr>
              <w:t>学校</w:t>
            </w:r>
            <w:r>
              <w:rPr>
                <w:spacing w:val="-3"/>
                <w:sz w:val="24"/>
                <w:szCs w:val="24"/>
                <w:lang w:eastAsia="zh-CN"/>
              </w:rPr>
              <w:t>信息化建设，现公开采购2026</w:t>
            </w:r>
            <w:r>
              <w:rPr>
                <w:rFonts w:hint="eastAsia"/>
                <w:spacing w:val="-3"/>
                <w:sz w:val="24"/>
                <w:szCs w:val="24"/>
                <w:lang w:eastAsia="zh-CN"/>
              </w:rPr>
              <w:t>-2027</w:t>
            </w:r>
            <w:r>
              <w:rPr>
                <w:spacing w:val="-3"/>
                <w:sz w:val="24"/>
                <w:szCs w:val="24"/>
                <w:lang w:eastAsia="zh-CN"/>
              </w:rPr>
              <w:t>年信息化建设项目第三方设计咨询服务。服务商将负责为计划于2026</w:t>
            </w:r>
            <w:r>
              <w:rPr>
                <w:rFonts w:hint="eastAsia"/>
                <w:spacing w:val="-3"/>
                <w:sz w:val="24"/>
                <w:szCs w:val="24"/>
                <w:lang w:eastAsia="zh-CN"/>
              </w:rPr>
              <w:t>-2027</w:t>
            </w:r>
            <w:r>
              <w:rPr>
                <w:spacing w:val="-3"/>
                <w:sz w:val="24"/>
                <w:szCs w:val="24"/>
                <w:lang w:eastAsia="zh-CN"/>
              </w:rPr>
              <w:t>年立项实施的信息化项目提供设计咨询服务。</w:t>
            </w:r>
          </w:p>
          <w:p w14:paraId="761D637C">
            <w:pPr>
              <w:pStyle w:val="15"/>
              <w:spacing w:line="360" w:lineRule="auto"/>
              <w:ind w:firstLine="468" w:firstLineChars="200"/>
              <w:jc w:val="left"/>
              <w:rPr>
                <w:color w:val="FF0000"/>
                <w:spacing w:val="-3"/>
                <w:sz w:val="24"/>
                <w:szCs w:val="24"/>
                <w:lang w:eastAsia="zh-CN"/>
              </w:rPr>
            </w:pPr>
            <w:r>
              <w:rPr>
                <w:rFonts w:hint="eastAsia"/>
                <w:spacing w:val="-3"/>
                <w:sz w:val="24"/>
                <w:szCs w:val="24"/>
                <w:lang w:eastAsia="zh-CN"/>
              </w:rPr>
              <w:t>服务供应商数量：3-5家（3家及3家以上，且不足5家报名的，按照实际符合要求的供应商数量遴选；超过5家报名的，按5家遴选），具体项目以实际分配为准，采购人不保证业务平均量。</w:t>
            </w:r>
            <w:bookmarkStart w:id="0" w:name="auto_fouce_5"/>
          </w:p>
          <w:p w14:paraId="40CABB41">
            <w:pPr>
              <w:pStyle w:val="15"/>
              <w:spacing w:line="360" w:lineRule="auto"/>
              <w:ind w:firstLine="468" w:firstLineChars="200"/>
              <w:jc w:val="left"/>
              <w:rPr>
                <w:spacing w:val="-3"/>
                <w:sz w:val="24"/>
                <w:szCs w:val="24"/>
                <w:lang w:eastAsia="zh-CN"/>
              </w:rPr>
            </w:pPr>
            <w:r>
              <w:rPr>
                <w:rFonts w:hint="eastAsia"/>
                <w:spacing w:val="-3"/>
                <w:sz w:val="24"/>
                <w:szCs w:val="24"/>
                <w:lang w:eastAsia="zh-CN"/>
              </w:rPr>
              <w:t>采购人有权根据项目实际情况、供应商的服务能力、履约质量及响应效率等因素，确定并动态调整分配给各供应商的项目数量，无需就未分配或实际分配较少的项目向供应商承担任何责任。</w:t>
            </w:r>
            <w:bookmarkEnd w:id="0"/>
          </w:p>
          <w:p w14:paraId="53088C91">
            <w:pPr>
              <w:pStyle w:val="15"/>
              <w:spacing w:line="360" w:lineRule="auto"/>
              <w:ind w:firstLine="468" w:firstLineChars="200"/>
              <w:jc w:val="left"/>
              <w:rPr>
                <w:spacing w:val="-3"/>
                <w:sz w:val="24"/>
                <w:szCs w:val="24"/>
                <w:lang w:eastAsia="zh-CN"/>
              </w:rPr>
            </w:pPr>
            <w:bookmarkStart w:id="1" w:name="tip_risk_bookmark_7"/>
            <w:r>
              <w:rPr>
                <w:spacing w:val="-3"/>
                <w:sz w:val="24"/>
                <w:szCs w:val="24"/>
                <w:lang w:eastAsia="zh-CN"/>
              </w:rPr>
              <w:t>服务期限：自合同签订之日起</w:t>
            </w:r>
            <w:r>
              <w:rPr>
                <w:rFonts w:hint="eastAsia"/>
                <w:spacing w:val="-3"/>
                <w:sz w:val="24"/>
                <w:szCs w:val="24"/>
                <w:lang w:eastAsia="zh-CN"/>
              </w:rPr>
              <w:t>至服务项目竣工验收</w:t>
            </w:r>
            <w:r>
              <w:rPr>
                <w:spacing w:val="-3"/>
                <w:sz w:val="24"/>
                <w:szCs w:val="24"/>
                <w:lang w:eastAsia="zh-CN"/>
              </w:rPr>
              <w:t>。</w:t>
            </w:r>
            <w:bookmarkEnd w:id="1"/>
          </w:p>
          <w:p w14:paraId="63F7CEA5">
            <w:pPr>
              <w:spacing w:line="360" w:lineRule="auto"/>
              <w:ind w:firstLine="482" w:firstLineChars="200"/>
              <w:outlineLvl w:val="1"/>
              <w:rPr>
                <w:rFonts w:ascii="宋体" w:hAnsi="宋体" w:cs="宋体"/>
                <w:color w:val="000000"/>
                <w:sz w:val="24"/>
              </w:rPr>
            </w:pPr>
            <w:r>
              <w:rPr>
                <w:rFonts w:hint="eastAsia" w:ascii="宋体" w:hAnsi="宋体" w:cs="宋体"/>
                <w:b/>
                <w:bCs/>
                <w:color w:val="000000"/>
                <w:sz w:val="24"/>
                <w:lang w:bidi="ar"/>
              </w:rPr>
              <w:t>二、服务内容</w:t>
            </w:r>
          </w:p>
          <w:p w14:paraId="05F95634">
            <w:pPr>
              <w:spacing w:line="360" w:lineRule="auto"/>
              <w:ind w:firstLine="482" w:firstLineChars="200"/>
              <w:outlineLvl w:val="2"/>
              <w:rPr>
                <w:rFonts w:ascii="宋体" w:hAnsi="宋体" w:cs="宋体"/>
                <w:b/>
                <w:bCs/>
                <w:color w:val="000000"/>
                <w:sz w:val="24"/>
                <w:lang w:bidi="ar"/>
              </w:rPr>
            </w:pPr>
            <w:r>
              <w:rPr>
                <w:rFonts w:hint="eastAsia" w:ascii="宋体" w:hAnsi="宋体" w:cs="宋体"/>
                <w:b/>
                <w:bCs/>
                <w:color w:val="000000"/>
                <w:sz w:val="24"/>
                <w:lang w:bidi="ar"/>
              </w:rPr>
              <w:t>（一）设计（咨询）服务内容及要求</w:t>
            </w:r>
          </w:p>
          <w:p w14:paraId="0F21A0BF">
            <w:pPr>
              <w:pStyle w:val="2"/>
              <w:spacing w:after="0" w:line="360" w:lineRule="auto"/>
              <w:ind w:left="0" w:leftChars="0" w:firstLine="480" w:firstLineChars="200"/>
              <w:rPr>
                <w:rFonts w:ascii="宋体" w:hAnsi="宋体" w:cs="宋体"/>
                <w:color w:val="000000"/>
                <w:sz w:val="24"/>
                <w:lang w:bidi="ar"/>
              </w:rPr>
            </w:pPr>
            <w:r>
              <w:rPr>
                <w:rFonts w:hint="eastAsia" w:ascii="宋体" w:hAnsi="宋体" w:cs="宋体"/>
                <w:color w:val="000000"/>
                <w:sz w:val="24"/>
                <w:lang w:bidi="ar"/>
              </w:rPr>
              <w:t>供应商根据采购人分派的设计（咨询）服务项目任务，开展项目设计（咨询）服务工作，具体工作内容及要求包括但不限于以下：</w:t>
            </w:r>
          </w:p>
          <w:p w14:paraId="7D78074B">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1.项目需求分析</w:t>
            </w:r>
          </w:p>
          <w:p w14:paraId="1CADAE94">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供应商根据接收到的工作任务，分析项目涉及的使用部门，协助采购人组织开展该项目需求调研及现有信息化建设情况，组织开展项目现场实际勘察及设计工作，</w:t>
            </w:r>
            <w:r>
              <w:rPr>
                <w:rFonts w:ascii="宋体" w:hAnsi="宋体" w:cs="宋体"/>
                <w:kern w:val="0"/>
                <w:sz w:val="24"/>
                <w:lang w:bidi="ar"/>
              </w:rPr>
              <w:t>全面梳理学校现有信息化基础设施（网络、硬件、系统）、应用系统、数据资源、运维体系</w:t>
            </w:r>
            <w:r>
              <w:rPr>
                <w:rFonts w:hint="eastAsia" w:ascii="宋体" w:hAnsi="宋体" w:cs="宋体"/>
                <w:color w:val="000000"/>
                <w:sz w:val="24"/>
                <w:lang w:bidi="ar"/>
              </w:rPr>
              <w:t>，总结采购人现有信息化现状。</w:t>
            </w:r>
          </w:p>
          <w:p w14:paraId="14915571">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根据前期调研情况，调研及学习其它地区同类信息化项目建设经验，分析采购人在该项目中业务、数据、设施、应用等需求，并与各个使用部门开展深入讨论和交流，汇总编制成业务与信息化建设现状说明并与相关部门进行需求确认，并形成初步需求分析报告。</w:t>
            </w:r>
          </w:p>
          <w:p w14:paraId="79C00468">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2.方案编制服务</w:t>
            </w:r>
          </w:p>
          <w:p w14:paraId="2C5F62B1">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1）项目建设方案编制：供应商根据调研成果及需求分析结果，梳理规划采购人具体建设方案，包括但不限于总体框架、逻辑架构、安全体系、数据架构、应用功能等。按照国家、自治区以及相关审批部门最新规定的文档格式和编制要求，编制项目前建设方案等。</w:t>
            </w:r>
          </w:p>
          <w:p w14:paraId="5586A316">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2）按照自治区住房城乡建设厅关于颁发2018年《广西壮族自治区工程建设其他费用定额》的通知（桂建标〔2018〕37号）、《广西壮族自治区本级政务信息化建设和运维项目预算支出标准》的通知（桂财建〔2023〕102号）规定的概算格式和编制要求编制投资概算书、设备清单、软件开发工作量表等，并根据采购人的要求，完善相关内容。</w:t>
            </w:r>
          </w:p>
          <w:p w14:paraId="0546F18E">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（3）供应商提供的项目建设方案以及其他成果文件应满足采购人和项目审批部门的相关审查要求。</w:t>
            </w:r>
          </w:p>
          <w:p w14:paraId="44EC9DFD">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3.投资评审申报服务</w:t>
            </w:r>
          </w:p>
          <w:p w14:paraId="1E1C2380">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针对于由自治区财政主管部门负责财政投资评审的项目，供应商应按照自治区财政主管部门有关要求完成所负责项目的财政投资评审材料编写，并根据采购人要求协同开展项目申报、答疑、申诉等工作。</w:t>
            </w:r>
          </w:p>
          <w:p w14:paraId="638BB55A">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针对于由第三方机构负责财政投资评审的项目，供应商应按采购人要求完成项目评审材料的编写，并根据采购人要求协同开展项目申报、对数、材料完善等工作。</w:t>
            </w:r>
          </w:p>
          <w:p w14:paraId="2BC24E3C">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4.外部申报服务</w:t>
            </w:r>
          </w:p>
          <w:p w14:paraId="4D04F7EB">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根据不同类型项目，协同采购人向自治区审批部门申报项目立项审批、备案等工作。其中：</w:t>
            </w:r>
          </w:p>
          <w:p w14:paraId="4935954A">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（1）审批类项目还应包括：</w:t>
            </w:r>
          </w:p>
          <w:p w14:paraId="1024581D">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网络安全等级保护预定级申报服务。需根据《信息安全等级保护管理办法》（公通字</w:t>
            </w:r>
            <w:bookmarkStart w:id="2" w:name="OLE_LINK1"/>
            <w:r>
              <w:rPr>
                <w:rFonts w:hint="eastAsia" w:ascii="宋体" w:hAnsi="宋体" w:cs="宋体"/>
                <w:color w:val="000000"/>
                <w:sz w:val="24"/>
                <w:lang w:bidi="ar"/>
              </w:rPr>
              <w:t>〔</w:t>
            </w:r>
            <w:bookmarkEnd w:id="2"/>
            <w:r>
              <w:rPr>
                <w:rFonts w:hint="eastAsia" w:ascii="宋体" w:hAnsi="宋体" w:cs="宋体"/>
                <w:color w:val="000000"/>
                <w:sz w:val="24"/>
                <w:lang w:bidi="ar"/>
              </w:rPr>
              <w:t>2007</w:t>
            </w:r>
            <w:bookmarkStart w:id="3" w:name="OLE_LINK2"/>
            <w:r>
              <w:rPr>
                <w:rFonts w:hint="eastAsia" w:ascii="宋体" w:hAnsi="宋体" w:cs="宋体"/>
                <w:color w:val="000000"/>
                <w:sz w:val="24"/>
                <w:lang w:bidi="ar"/>
              </w:rPr>
              <w:t>〕</w:t>
            </w:r>
            <w:bookmarkEnd w:id="3"/>
            <w:r>
              <w:rPr>
                <w:rFonts w:hint="eastAsia" w:ascii="宋体" w:hAnsi="宋体" w:cs="宋体"/>
                <w:color w:val="000000"/>
                <w:sz w:val="24"/>
                <w:lang w:bidi="ar"/>
              </w:rPr>
              <w:t>43号）、《关于开展全国重要信息系统安全等级保护定级工作的通知》（公信安</w:t>
            </w:r>
            <w:r>
              <w:rPr>
                <w:rFonts w:ascii="宋体" w:hAnsi="宋体" w:cs="宋体"/>
                <w:color w:val="000000"/>
                <w:sz w:val="24"/>
                <w:lang w:bidi="ar"/>
              </w:rPr>
              <w:t>〔</w:t>
            </w:r>
            <w:r>
              <w:rPr>
                <w:rFonts w:hint="eastAsia" w:ascii="宋体" w:hAnsi="宋体" w:cs="宋体"/>
                <w:color w:val="000000"/>
                <w:sz w:val="24"/>
                <w:lang w:bidi="ar"/>
              </w:rPr>
              <w:t>2007</w:t>
            </w:r>
            <w:r>
              <w:rPr>
                <w:rFonts w:ascii="宋体" w:hAnsi="宋体" w:cs="宋体"/>
                <w:color w:val="000000"/>
                <w:sz w:val="24"/>
                <w:lang w:bidi="ar"/>
              </w:rPr>
              <w:t>〕</w:t>
            </w:r>
            <w:r>
              <w:rPr>
                <w:rFonts w:hint="eastAsia" w:ascii="宋体" w:hAnsi="宋体" w:cs="宋体"/>
                <w:color w:val="000000"/>
                <w:sz w:val="24"/>
                <w:lang w:bidi="ar"/>
              </w:rPr>
              <w:t>861号）和《信息系统安全保护等级定级指南》（GB/T22240-2020）等文件规定，结合项目建设情况编写网络安全等级保护预定级报告及申请文件，完成项目网络安全等级保护预定级申报工作。</w:t>
            </w:r>
          </w:p>
          <w:p w14:paraId="316C478A">
            <w:pPr>
              <w:spacing w:line="360" w:lineRule="auto"/>
              <w:ind w:firstLine="480" w:firstLineChars="200"/>
              <w:rPr>
                <w:rFonts w:ascii="宋体" w:hAnsi="宋体" w:cs="宋体"/>
                <w:color w:val="000000"/>
                <w:kern w:val="0"/>
                <w:sz w:val="24"/>
              </w:rPr>
            </w:pPr>
            <w:r>
              <w:rPr>
                <w:rFonts w:hint="eastAsia" w:ascii="宋体" w:hAnsi="宋体" w:cs="宋体"/>
                <w:color w:val="000000"/>
                <w:sz w:val="24"/>
                <w:lang w:bidi="ar"/>
              </w:rPr>
              <w:t>商用密码应用方案编制服务。</w:t>
            </w:r>
            <w:r>
              <w:rPr>
                <w:rFonts w:hint="eastAsia" w:ascii="宋体" w:hAnsi="宋体" w:cs="宋体"/>
                <w:color w:val="000000"/>
                <w:kern w:val="0"/>
                <w:sz w:val="24"/>
              </w:rPr>
              <w:t>按照《信息安全技术信息系统密码应用基本要求》（GB/T39786—2021）、《政务信息系统密码应用与安全性评估工作指南（2020版）》等文件要求</w:t>
            </w:r>
            <w:r>
              <w:rPr>
                <w:rFonts w:hint="eastAsia" w:ascii="宋体" w:hAnsi="宋体" w:cs="宋体"/>
                <w:color w:val="000000"/>
                <w:sz w:val="24"/>
                <w:lang w:bidi="ar"/>
              </w:rPr>
              <w:t>结合项目建设情况编写商用密码应用方案。并根据第三方对商用密码应用方案给出的评估意见完成答复修改。</w:t>
            </w:r>
          </w:p>
          <w:p w14:paraId="40C9EADD">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项目评估汇报服务。编制评估汇报PPT，协助采购人开展专家评估工作；根据项目建设方案评估要求，进行现场汇报、答疑。根据评估专家意见，修改项目建设方案；根据修改成果，形成评估专家意见执行情况说明。</w:t>
            </w:r>
          </w:p>
          <w:p w14:paraId="252AAB93">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（2）备案类项目还应包括：</w:t>
            </w:r>
          </w:p>
          <w:p w14:paraId="56F4BBF1">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根据审批部门要求完成所有备案所需材料的编制以及报审工作。</w:t>
            </w:r>
          </w:p>
          <w:p w14:paraId="576E775F">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5.采购需求编制服务</w:t>
            </w:r>
          </w:p>
          <w:p w14:paraId="006F253F">
            <w:pPr>
              <w:spacing w:line="360" w:lineRule="auto"/>
              <w:ind w:firstLine="480" w:firstLineChars="200"/>
              <w:rPr>
                <w:rFonts w:ascii="宋体" w:hAnsi="宋体" w:cs="宋体"/>
                <w:color w:val="000000"/>
                <w:sz w:val="24"/>
                <w:lang w:bidi="ar"/>
              </w:rPr>
            </w:pPr>
            <w:r>
              <w:rPr>
                <w:rFonts w:hint="eastAsia" w:ascii="宋体" w:hAnsi="宋体" w:cs="宋体"/>
                <w:color w:val="000000"/>
                <w:sz w:val="24"/>
                <w:lang w:bidi="ar"/>
              </w:rPr>
              <w:t>供应商应协助采购人按照最终审批的建设方案编制项目采购需求，包括项目资格条款、具体采购参数、数量、预算等内容。</w:t>
            </w:r>
          </w:p>
          <w:p w14:paraId="56D4ABE7">
            <w:pPr>
              <w:pStyle w:val="2"/>
              <w:spacing w:after="0" w:line="360" w:lineRule="auto"/>
              <w:rPr>
                <w:rFonts w:ascii="宋体" w:hAnsi="宋体" w:cs="宋体"/>
                <w:color w:val="000000"/>
                <w:sz w:val="24"/>
                <w:lang w:bidi="ar"/>
              </w:rPr>
            </w:pPr>
            <w:r>
              <w:rPr>
                <w:rFonts w:hint="eastAsia" w:ascii="宋体" w:hAnsi="宋体" w:cs="宋体"/>
                <w:color w:val="000000"/>
                <w:sz w:val="24"/>
                <w:lang w:bidi="ar"/>
              </w:rPr>
              <w:t>6.服务成果要求</w:t>
            </w:r>
          </w:p>
          <w:p w14:paraId="1102622D">
            <w:pPr>
              <w:pStyle w:val="2"/>
              <w:spacing w:after="0" w:line="360" w:lineRule="auto"/>
              <w:ind w:left="0" w:leftChars="0" w:firstLine="480" w:firstLineChars="200"/>
              <w:rPr>
                <w:rFonts w:ascii="宋体" w:hAnsi="宋体" w:cs="宋体"/>
                <w:color w:val="000000"/>
                <w:sz w:val="24"/>
                <w:lang w:bidi="ar"/>
              </w:rPr>
            </w:pPr>
            <w:r>
              <w:rPr>
                <w:rFonts w:hint="eastAsia" w:ascii="宋体" w:hAnsi="宋体" w:cs="宋体"/>
                <w:color w:val="000000"/>
                <w:sz w:val="24"/>
                <w:lang w:bidi="ar"/>
              </w:rPr>
              <w:t>按照国家、自治区要求，结合项目具体投资规模编制项目设计方案，包括但不限于项目建议书、可行性研究报告、初步设计方案和投资概算，或项目建设方案，以审批部门最新要求提供服务成果。</w:t>
            </w:r>
          </w:p>
          <w:p w14:paraId="700E7613">
            <w:pPr>
              <w:spacing w:line="360" w:lineRule="auto"/>
              <w:ind w:firstLine="482" w:firstLineChars="200"/>
              <w:outlineLvl w:val="2"/>
              <w:rPr>
                <w:rFonts w:ascii="宋体" w:hAnsi="宋体" w:cs="宋体"/>
                <w:b/>
                <w:bCs/>
                <w:sz w:val="24"/>
                <w:lang w:bidi="ar"/>
              </w:rPr>
            </w:pPr>
            <w:r>
              <w:rPr>
                <w:rFonts w:hint="eastAsia" w:ascii="宋体" w:hAnsi="宋体" w:cs="宋体"/>
                <w:b/>
                <w:bCs/>
                <w:sz w:val="24"/>
                <w:lang w:bidi="ar"/>
              </w:rPr>
              <w:t>（二）项目建设方案评审服务内容及要求</w:t>
            </w:r>
          </w:p>
          <w:p w14:paraId="6452A44C">
            <w:pPr>
              <w:pStyle w:val="2"/>
              <w:spacing w:after="0" w:line="360" w:lineRule="auto"/>
              <w:ind w:left="0" w:leftChars="0" w:firstLine="480" w:firstLineChars="200"/>
              <w:rPr>
                <w:rFonts w:ascii="宋体" w:hAnsi="宋体" w:cs="宋体"/>
                <w:sz w:val="24"/>
                <w:lang w:bidi="ar"/>
              </w:rPr>
            </w:pPr>
            <w:r>
              <w:rPr>
                <w:rFonts w:hint="eastAsia" w:ascii="宋体" w:hAnsi="宋体" w:cs="宋体"/>
                <w:sz w:val="24"/>
                <w:lang w:bidi="ar"/>
              </w:rPr>
              <w:t>负责对采购人分派的项目方案进行评审，评审范围包括但不限于：</w:t>
            </w:r>
          </w:p>
          <w:p w14:paraId="6D31E9F1">
            <w:pPr>
              <w:pStyle w:val="2"/>
              <w:tabs>
                <w:tab w:val="left" w:pos="312"/>
              </w:tabs>
              <w:spacing w:after="0" w:line="360" w:lineRule="auto"/>
              <w:ind w:left="480" w:leftChars="0"/>
              <w:rPr>
                <w:rFonts w:ascii="宋体" w:hAnsi="宋体" w:cs="宋体"/>
                <w:sz w:val="24"/>
                <w:lang w:bidi="ar"/>
              </w:rPr>
            </w:pPr>
            <w:r>
              <w:rPr>
                <w:rFonts w:hint="eastAsia" w:ascii="宋体" w:hAnsi="宋体" w:cs="宋体"/>
                <w:sz w:val="24"/>
                <w:lang w:bidi="ar"/>
              </w:rPr>
              <w:t>1.业务需求</w:t>
            </w:r>
          </w:p>
          <w:p w14:paraId="2F545916">
            <w:pPr>
              <w:pStyle w:val="2"/>
              <w:spacing w:after="0" w:line="360" w:lineRule="auto"/>
              <w:ind w:left="0" w:leftChars="0" w:firstLine="480" w:firstLineChars="200"/>
              <w:rPr>
                <w:rFonts w:ascii="宋体" w:hAnsi="宋体" w:cs="宋体"/>
                <w:sz w:val="24"/>
                <w:lang w:bidi="ar"/>
              </w:rPr>
            </w:pPr>
            <w:r>
              <w:rPr>
                <w:rFonts w:hint="eastAsia" w:ascii="宋体" w:hAnsi="宋体" w:cs="宋体"/>
                <w:sz w:val="24"/>
                <w:lang w:bidi="ar"/>
              </w:rPr>
              <w:t>是否提出明确的业务需求，包括业务内容、业务流程等，重点审核与其他相关单位的业务关系，项⽬所采⽤的技术路径及功能实现⽅式是否符合业务需求。</w:t>
            </w:r>
          </w:p>
          <w:p w14:paraId="1C4A53AA">
            <w:pPr>
              <w:pStyle w:val="2"/>
              <w:tabs>
                <w:tab w:val="left" w:pos="312"/>
              </w:tabs>
              <w:spacing w:after="0" w:line="360" w:lineRule="auto"/>
              <w:ind w:left="480" w:leftChars="0"/>
              <w:rPr>
                <w:rFonts w:ascii="宋体" w:hAnsi="宋体" w:cs="宋体"/>
                <w:sz w:val="24"/>
                <w:lang w:bidi="ar"/>
              </w:rPr>
            </w:pPr>
            <w:r>
              <w:rPr>
                <w:rFonts w:hint="eastAsia" w:ascii="宋体" w:hAnsi="宋体" w:cs="宋体"/>
                <w:sz w:val="24"/>
                <w:lang w:bidi="ar"/>
              </w:rPr>
              <w:t>2.功能需求</w:t>
            </w:r>
          </w:p>
          <w:p w14:paraId="4EC1CDDE">
            <w:pPr>
              <w:pStyle w:val="2"/>
              <w:spacing w:after="0" w:line="360" w:lineRule="auto"/>
              <w:ind w:leftChars="0"/>
              <w:rPr>
                <w:rFonts w:ascii="宋体" w:hAnsi="宋体" w:cs="宋体"/>
                <w:sz w:val="24"/>
                <w:lang w:bidi="ar"/>
              </w:rPr>
            </w:pPr>
            <w:r>
              <w:rPr>
                <w:rFonts w:hint="eastAsia" w:ascii="宋体" w:hAnsi="宋体" w:cs="宋体"/>
                <w:sz w:val="24"/>
                <w:lang w:bidi="ar"/>
              </w:rPr>
              <w:t>（1）功能需求的范围与业务需求范围是否⼀致。</w:t>
            </w:r>
          </w:p>
          <w:p w14:paraId="337A7ACF">
            <w:pPr>
              <w:pStyle w:val="2"/>
              <w:spacing w:after="0" w:line="360" w:lineRule="auto"/>
              <w:ind w:leftChars="0"/>
              <w:rPr>
                <w:rFonts w:ascii="宋体" w:hAnsi="宋体" w:cs="宋体"/>
                <w:sz w:val="24"/>
                <w:lang w:bidi="ar"/>
              </w:rPr>
            </w:pPr>
            <w:r>
              <w:rPr>
                <w:rFonts w:hint="eastAsia" w:ascii="宋体" w:hAnsi="宋体" w:cs="宋体"/>
                <w:sz w:val="24"/>
                <w:lang w:bidi="ar"/>
              </w:rPr>
              <w:t>（2）功能需求的定义和划分是否清晰、合理。</w:t>
            </w:r>
          </w:p>
          <w:p w14:paraId="5F455421">
            <w:pPr>
              <w:pStyle w:val="2"/>
              <w:spacing w:after="0" w:line="360" w:lineRule="auto"/>
              <w:ind w:leftChars="0"/>
              <w:rPr>
                <w:rFonts w:ascii="宋体" w:hAnsi="宋体" w:cs="宋体"/>
                <w:sz w:val="24"/>
                <w:lang w:bidi="ar"/>
              </w:rPr>
            </w:pPr>
            <w:r>
              <w:rPr>
                <w:rFonts w:hint="eastAsia" w:ascii="宋体" w:hAnsi="宋体" w:cs="宋体"/>
                <w:sz w:val="24"/>
                <w:lang w:bidi="ar"/>
              </w:rPr>
              <w:t>（3）功能需求的内容能否⽀撑业务应⽤。</w:t>
            </w:r>
          </w:p>
          <w:p w14:paraId="08B9E9BA">
            <w:pPr>
              <w:pStyle w:val="2"/>
              <w:tabs>
                <w:tab w:val="left" w:pos="312"/>
              </w:tabs>
              <w:spacing w:after="0" w:line="360" w:lineRule="auto"/>
              <w:ind w:left="480" w:leftChars="0"/>
              <w:rPr>
                <w:rFonts w:ascii="宋体" w:hAnsi="宋体" w:cs="宋体"/>
                <w:sz w:val="24"/>
                <w:lang w:bidi="ar"/>
              </w:rPr>
            </w:pPr>
            <w:r>
              <w:rPr>
                <w:rFonts w:hint="eastAsia" w:ascii="宋体" w:hAnsi="宋体" w:cs="宋体"/>
                <w:sz w:val="24"/>
                <w:lang w:bidi="ar"/>
              </w:rPr>
              <w:t>3.性能需求</w:t>
            </w:r>
          </w:p>
          <w:p w14:paraId="4061CF0B">
            <w:pPr>
              <w:pStyle w:val="2"/>
              <w:spacing w:after="0" w:line="360" w:lineRule="auto"/>
              <w:ind w:leftChars="0"/>
              <w:rPr>
                <w:rFonts w:ascii="宋体" w:hAnsi="宋体" w:cs="宋体"/>
                <w:sz w:val="24"/>
                <w:lang w:bidi="ar"/>
              </w:rPr>
            </w:pPr>
            <w:r>
              <w:rPr>
                <w:rFonts w:hint="eastAsia" w:ascii="宋体" w:hAnsi="宋体" w:cs="宋体"/>
                <w:sz w:val="24"/>
                <w:lang w:bidi="ar"/>
              </w:rPr>
              <w:t>（1）性能需求是否有量化指标，指标数据是否具备可获得性。</w:t>
            </w:r>
          </w:p>
          <w:p w14:paraId="664E6605">
            <w:pPr>
              <w:pStyle w:val="2"/>
              <w:spacing w:after="0" w:line="360" w:lineRule="auto"/>
              <w:ind w:leftChars="0"/>
              <w:rPr>
                <w:rFonts w:ascii="宋体" w:hAnsi="宋体" w:cs="宋体"/>
                <w:sz w:val="24"/>
                <w:lang w:bidi="ar"/>
              </w:rPr>
            </w:pPr>
            <w:r>
              <w:rPr>
                <w:rFonts w:hint="eastAsia" w:ascii="宋体" w:hAnsi="宋体" w:cs="宋体"/>
                <w:sz w:val="24"/>
                <w:lang w:bidi="ar"/>
              </w:rPr>
              <w:t>（2）性能需求分析与量化指标是否合理。</w:t>
            </w:r>
          </w:p>
          <w:p w14:paraId="71E83EC7">
            <w:pPr>
              <w:pStyle w:val="2"/>
              <w:spacing w:after="0" w:line="360" w:lineRule="auto"/>
              <w:ind w:leftChars="0"/>
              <w:rPr>
                <w:rFonts w:ascii="宋体" w:hAnsi="宋体" w:cs="宋体"/>
                <w:sz w:val="24"/>
                <w:lang w:bidi="ar"/>
              </w:rPr>
            </w:pPr>
            <w:r>
              <w:rPr>
                <w:rFonts w:hint="eastAsia" w:ascii="宋体" w:hAnsi="宋体" w:cs="宋体"/>
                <w:sz w:val="24"/>
                <w:lang w:bidi="ar"/>
              </w:rPr>
              <w:t>（3）是否提出安全可靠的技术和软硬件产品应⽤需求。</w:t>
            </w:r>
          </w:p>
          <w:p w14:paraId="0AB1E811">
            <w:pPr>
              <w:pStyle w:val="2"/>
              <w:tabs>
                <w:tab w:val="left" w:pos="312"/>
              </w:tabs>
              <w:spacing w:after="0" w:line="360" w:lineRule="auto"/>
              <w:ind w:left="480" w:leftChars="0"/>
              <w:rPr>
                <w:rFonts w:ascii="宋体" w:hAnsi="宋体" w:cs="宋体"/>
                <w:sz w:val="24"/>
                <w:lang w:bidi="ar"/>
              </w:rPr>
            </w:pPr>
            <w:r>
              <w:rPr>
                <w:rFonts w:hint="eastAsia" w:ascii="宋体" w:hAnsi="宋体" w:cs="宋体"/>
                <w:sz w:val="24"/>
                <w:lang w:bidi="ar"/>
              </w:rPr>
              <w:t>4.技术路线</w:t>
            </w:r>
          </w:p>
          <w:p w14:paraId="1CBA6342">
            <w:pPr>
              <w:pStyle w:val="2"/>
              <w:spacing w:after="0" w:line="360" w:lineRule="auto"/>
              <w:rPr>
                <w:rFonts w:ascii="宋体" w:hAnsi="宋体" w:cs="宋体"/>
                <w:sz w:val="24"/>
                <w:lang w:bidi="ar"/>
              </w:rPr>
            </w:pPr>
            <w:r>
              <w:rPr>
                <w:rFonts w:hint="eastAsia" w:ascii="宋体" w:hAnsi="宋体" w:cs="宋体"/>
                <w:sz w:val="24"/>
                <w:lang w:bidi="ar"/>
              </w:rPr>
              <w:t>（1）审核⽅案选择的技术路线是否合理。</w:t>
            </w:r>
          </w:p>
          <w:p w14:paraId="4E36B0D8">
            <w:pPr>
              <w:pStyle w:val="2"/>
              <w:spacing w:after="0" w:line="360" w:lineRule="auto"/>
              <w:rPr>
                <w:rFonts w:ascii="宋体" w:hAnsi="宋体" w:cs="宋体"/>
                <w:sz w:val="24"/>
                <w:lang w:bidi="ar"/>
              </w:rPr>
            </w:pPr>
            <w:r>
              <w:rPr>
                <w:rFonts w:hint="eastAsia" w:ascii="宋体" w:hAnsi="宋体" w:cs="宋体"/>
                <w:sz w:val="24"/>
                <w:lang w:bidi="ar"/>
              </w:rPr>
              <w:t>（2）是否包含与本项⽬内容相关的具体技术实现⽅案、技术架构等要素。</w:t>
            </w:r>
          </w:p>
          <w:p w14:paraId="1654FDB1">
            <w:pPr>
              <w:pStyle w:val="2"/>
              <w:tabs>
                <w:tab w:val="left" w:pos="312"/>
              </w:tabs>
              <w:spacing w:after="0" w:line="360" w:lineRule="auto"/>
              <w:ind w:left="480" w:leftChars="0"/>
              <w:rPr>
                <w:rFonts w:ascii="宋体" w:hAnsi="宋体" w:cs="宋体"/>
                <w:sz w:val="24"/>
                <w:lang w:bidi="ar"/>
              </w:rPr>
            </w:pPr>
            <w:r>
              <w:rPr>
                <w:rFonts w:hint="eastAsia" w:ascii="宋体" w:hAnsi="宋体" w:cs="宋体"/>
                <w:sz w:val="24"/>
                <w:lang w:bidi="ar"/>
              </w:rPr>
              <w:t>5.主要软硬件选型原则和详细软硬件配置清单</w:t>
            </w:r>
          </w:p>
          <w:p w14:paraId="6A82DDCF">
            <w:pPr>
              <w:pStyle w:val="2"/>
              <w:spacing w:after="0" w:line="360" w:lineRule="auto"/>
              <w:ind w:left="0" w:leftChars="0" w:firstLine="480" w:firstLineChars="200"/>
              <w:rPr>
                <w:rFonts w:ascii="宋体" w:hAnsi="宋体" w:cs="宋体"/>
                <w:sz w:val="24"/>
                <w:lang w:bidi="ar"/>
              </w:rPr>
            </w:pPr>
            <w:r>
              <w:rPr>
                <w:rFonts w:hint="eastAsia" w:ascii="宋体" w:hAnsi="宋体" w:cs="宋体"/>
                <w:sz w:val="24"/>
                <w:lang w:bidi="ar"/>
              </w:rPr>
              <w:t>评估系统软硬件配置清单是否满⾜业务需要；是否有超出业务需要的基本范畴。</w:t>
            </w:r>
          </w:p>
          <w:p w14:paraId="1B4E9590">
            <w:pPr>
              <w:pStyle w:val="2"/>
              <w:spacing w:after="0" w:line="360" w:lineRule="auto"/>
              <w:ind w:left="0" w:leftChars="0" w:firstLine="480" w:firstLineChars="200"/>
              <w:rPr>
                <w:rFonts w:ascii="宋体" w:hAnsi="宋体" w:cs="宋体"/>
                <w:sz w:val="24"/>
                <w:lang w:bidi="ar"/>
              </w:rPr>
            </w:pPr>
            <w:r>
              <w:rPr>
                <w:rFonts w:hint="eastAsia" w:ascii="宋体" w:hAnsi="宋体" w:cs="宋体"/>
                <w:sz w:val="24"/>
                <w:lang w:bidi="ar"/>
              </w:rPr>
              <w:t>服务成果要求：针对上述主要审核内容出具评审意见，并督促编制单位修改完善项目方案。供应商应在评审工作结束后，向采购人提交完整的评审意见及编制单位修改情况说明。</w:t>
            </w:r>
          </w:p>
          <w:p w14:paraId="56F44AD2">
            <w:pPr>
              <w:pStyle w:val="14"/>
              <w:adjustRightInd/>
              <w:spacing w:line="360" w:lineRule="auto"/>
              <w:ind w:firstLine="482" w:firstLineChars="200"/>
              <w:rPr>
                <w:rFonts w:hAnsi="宋体"/>
                <w:b/>
                <w:bCs/>
                <w:color w:val="auto"/>
              </w:rPr>
            </w:pPr>
            <w:r>
              <w:rPr>
                <w:rFonts w:hint="eastAsia" w:hAnsi="宋体"/>
                <w:b/>
                <w:bCs/>
                <w:color w:val="auto"/>
                <w:lang w:bidi="ar"/>
              </w:rPr>
              <w:t>四、报价要求</w:t>
            </w:r>
          </w:p>
          <w:p w14:paraId="018C0760">
            <w:pPr>
              <w:pStyle w:val="9"/>
              <w:spacing w:before="0" w:beforeAutospacing="0" w:after="0" w:afterAutospacing="0" w:line="360" w:lineRule="auto"/>
              <w:ind w:firstLine="480" w:firstLineChars="200"/>
              <w:rPr>
                <w:rStyle w:val="12"/>
                <w:rFonts w:cs="宋体"/>
                <w:b w:val="0"/>
                <w:bCs/>
                <w:color w:val="000000"/>
              </w:rPr>
            </w:pPr>
            <w:r>
              <w:rPr>
                <w:rStyle w:val="12"/>
                <w:rFonts w:hint="eastAsia" w:cs="宋体"/>
                <w:b w:val="0"/>
                <w:bCs/>
                <w:color w:val="000000"/>
              </w:rPr>
              <w:t>1.供应商的响应报价已包括项目方案编制费用所需的劳务费、技术服务费、通讯、办公场地、管理费、税费和利润等费用和政策性文件规定及合同包含的所有风险、责任等各项应有的一切费用，除非上述费用在合同中另有说明，合同期内，费率不再调整。</w:t>
            </w:r>
          </w:p>
          <w:p w14:paraId="574B4D0C">
            <w:pPr>
              <w:widowControl/>
              <w:spacing w:line="360" w:lineRule="auto"/>
              <w:ind w:firstLine="480" w:firstLineChars="200"/>
              <w:rPr>
                <w:rFonts w:ascii="宋体" w:hAnsi="宋体" w:cs="宋体"/>
                <w:sz w:val="24"/>
                <w:lang w:bidi="ar"/>
              </w:rPr>
            </w:pPr>
            <w:r>
              <w:rPr>
                <w:rStyle w:val="12"/>
                <w:rFonts w:hint="eastAsia" w:cs="宋体"/>
                <w:b w:val="0"/>
                <w:bCs/>
                <w:sz w:val="24"/>
              </w:rPr>
              <w:t>2.供应商对设计（咨询）服务进行唯一的折扣率报价：（1）实际的设计服务费=供应商所报折扣率×相对应的设计服务费收费基价，设计咨询服务费收费基价按《关于印发广西壮族自治区本级政务信息化建设和运维项目预算支出标准的通知》（桂财建</w:t>
            </w:r>
            <w:bookmarkStart w:id="4" w:name="OLE_LINK3"/>
            <w:r>
              <w:rPr>
                <w:rStyle w:val="12"/>
                <w:rFonts w:hint="eastAsia" w:cs="宋体"/>
                <w:b w:val="0"/>
                <w:bCs/>
                <w:sz w:val="24"/>
              </w:rPr>
              <w:t>〔</w:t>
            </w:r>
            <w:bookmarkEnd w:id="4"/>
            <w:r>
              <w:rPr>
                <w:rStyle w:val="12"/>
                <w:rFonts w:hint="eastAsia" w:cs="宋体"/>
                <w:b w:val="0"/>
                <w:bCs/>
                <w:sz w:val="24"/>
              </w:rPr>
              <w:t>2023〕102号）标准执行；（2）实际的评审费=供应商所报折扣率×相对应的评审费收费基价，评审费收费基价按《广西壮族自治区工程建设其他费用定额》（桂建标</w:t>
            </w:r>
            <w:r>
              <w:rPr>
                <w:rFonts w:cs="宋体"/>
                <w:bCs/>
                <w:sz w:val="24"/>
              </w:rPr>
              <w:t>〔</w:t>
            </w:r>
            <w:r>
              <w:rPr>
                <w:rStyle w:val="12"/>
                <w:rFonts w:hint="eastAsia" w:cs="宋体"/>
                <w:b w:val="0"/>
                <w:bCs/>
                <w:sz w:val="24"/>
              </w:rPr>
              <w:t>2018〕37号）标准执行；（3）</w:t>
            </w:r>
            <w:r>
              <w:rPr>
                <w:rFonts w:hint="eastAsia"/>
                <w:sz w:val="24"/>
              </w:rPr>
              <w:t>最终</w:t>
            </w:r>
            <w:r>
              <w:rPr>
                <w:sz w:val="24"/>
              </w:rPr>
              <w:t>服务费收费基价</w:t>
            </w:r>
            <w:r>
              <w:rPr>
                <w:rFonts w:hint="eastAsia"/>
                <w:sz w:val="24"/>
              </w:rPr>
              <w:t>以财政投资评审结果为准，如项目不需财政投评，则以单位预算批复金额为计算基价。</w:t>
            </w:r>
          </w:p>
          <w:p w14:paraId="189A96DC">
            <w:pPr>
              <w:widowControl/>
              <w:spacing w:line="360" w:lineRule="auto"/>
              <w:ind w:firstLine="480" w:firstLineChars="200"/>
              <w:rPr>
                <w:rFonts w:ascii="宋体" w:hAnsi="宋体" w:cs="宋体"/>
                <w:color w:val="000000"/>
                <w:sz w:val="24"/>
                <w:lang w:bidi="ar"/>
              </w:rPr>
            </w:pPr>
            <w:bookmarkStart w:id="5" w:name="auto_fouce_9"/>
            <w:r>
              <w:rPr>
                <w:rFonts w:hint="eastAsia" w:ascii="宋体" w:hAnsi="宋体" w:cs="宋体"/>
                <w:color w:val="000000"/>
                <w:sz w:val="24"/>
                <w:lang w:bidi="ar"/>
              </w:rPr>
              <w:t>3.服务期内，入围供应商无偿对服务内容范围出现的各类问题进行修改、完善，安排专人提供项目设计咨询服务。但属于甲方提出的超出原服务范围的新增需求的，双方应另行协商费用及交付周期。</w:t>
            </w:r>
            <w:bookmarkEnd w:id="5"/>
          </w:p>
          <w:p w14:paraId="021396AE">
            <w:pPr>
              <w:widowControl/>
              <w:spacing w:line="360" w:lineRule="auto"/>
              <w:ind w:firstLine="480" w:firstLineChars="200"/>
              <w:rPr>
                <w:rFonts w:ascii="宋体" w:hAnsi="宋体" w:cs="宋体"/>
                <w:b/>
                <w:bCs/>
                <w:sz w:val="24"/>
                <w:lang w:bidi="ar"/>
              </w:rPr>
            </w:pPr>
            <w:r>
              <w:rPr>
                <w:rFonts w:hint="eastAsia" w:ascii="宋体" w:hAnsi="宋体" w:cs="宋体"/>
                <w:color w:val="000000"/>
                <w:sz w:val="24"/>
                <w:lang w:bidi="ar"/>
              </w:rPr>
              <w:t>4.本项目实行费用包干制，投标报价包含完成上述服务内容所需的一切费用。如提供服务过程中产生额外费用，由供应商自行负责。</w:t>
            </w:r>
          </w:p>
          <w:p w14:paraId="0BE02017">
            <w:pPr>
              <w:spacing w:line="360" w:lineRule="auto"/>
              <w:ind w:firstLine="482" w:firstLineChars="200"/>
              <w:outlineLvl w:val="1"/>
              <w:rPr>
                <w:rFonts w:ascii="宋体" w:hAnsi="宋体" w:cs="宋体"/>
                <w:b/>
                <w:bCs/>
                <w:sz w:val="24"/>
              </w:rPr>
            </w:pPr>
            <w:r>
              <w:rPr>
                <w:rFonts w:hint="eastAsia" w:ascii="宋体" w:hAnsi="宋体" w:cs="宋体"/>
                <w:b/>
                <w:bCs/>
                <w:sz w:val="24"/>
                <w:lang w:bidi="ar"/>
              </w:rPr>
              <w:t>五、服务质量要求</w:t>
            </w:r>
          </w:p>
          <w:p w14:paraId="1E40399D">
            <w:pPr>
              <w:widowControl/>
              <w:spacing w:line="360" w:lineRule="auto"/>
              <w:ind w:firstLine="480" w:firstLineChars="200"/>
              <w:jc w:val="left"/>
              <w:rPr>
                <w:rFonts w:ascii="宋体" w:hAnsi="宋体" w:cs="宋体"/>
                <w:sz w:val="24"/>
              </w:rPr>
            </w:pPr>
            <w:r>
              <w:rPr>
                <w:rFonts w:hint="eastAsia" w:ascii="宋体" w:hAnsi="宋体" w:cs="宋体"/>
                <w:sz w:val="24"/>
                <w:lang w:bidi="ar"/>
              </w:rPr>
              <w:t>入围供应商要严格遵守国家的法律、法规和有关规章制度，严格遵守广西壮族自治区人民政府办公厅关于印发《广西政务信息化项目建设管理办法》的通知桂政办发[2024]59号、广西壮族自治区财政厅关于印发《广西壮族自治区本级政务信息化建设和运维项目预算支出标准》的通知（桂财建〔2023〕102号）、《广西政务信息化项目技术审查管理工作实施细则（试行）》（桂数广办发〔2024〕4号）等，若自治区有新的政策要求，应按照最新要求提供服务。</w:t>
            </w:r>
          </w:p>
          <w:p w14:paraId="60948465">
            <w:pPr>
              <w:widowControl/>
              <w:spacing w:line="360" w:lineRule="auto"/>
              <w:ind w:firstLine="480" w:firstLineChars="200"/>
              <w:jc w:val="left"/>
              <w:rPr>
                <w:rFonts w:ascii="宋体" w:hAnsi="宋体" w:cs="宋体"/>
                <w:sz w:val="24"/>
                <w:lang w:bidi="ar"/>
              </w:rPr>
            </w:pPr>
            <w:r>
              <w:rPr>
                <w:rFonts w:hint="eastAsia" w:ascii="宋体" w:hAnsi="宋体" w:cs="宋体"/>
                <w:sz w:val="24"/>
                <w:lang w:bidi="ar"/>
              </w:rPr>
              <w:t>2.入围供应商须按采购人要求，到达指定地点完成项目工作。</w:t>
            </w:r>
          </w:p>
          <w:p w14:paraId="4A079A09">
            <w:pPr>
              <w:spacing w:line="360" w:lineRule="auto"/>
              <w:ind w:firstLine="482" w:firstLineChars="200"/>
              <w:outlineLvl w:val="1"/>
              <w:rPr>
                <w:rFonts w:ascii="宋体" w:hAnsi="宋体" w:cs="宋体"/>
                <w:b/>
                <w:bCs/>
                <w:sz w:val="24"/>
              </w:rPr>
            </w:pPr>
            <w:r>
              <w:rPr>
                <w:rFonts w:hint="eastAsia" w:ascii="宋体" w:hAnsi="宋体" w:cs="宋体"/>
                <w:b/>
                <w:bCs/>
                <w:sz w:val="24"/>
                <w:lang w:bidi="ar"/>
              </w:rPr>
              <w:t>六、服务保密要求</w:t>
            </w:r>
          </w:p>
          <w:p w14:paraId="6C90E476">
            <w:pPr>
              <w:widowControl/>
              <w:spacing w:line="360" w:lineRule="auto"/>
              <w:ind w:firstLine="480" w:firstLineChars="200"/>
              <w:jc w:val="left"/>
              <w:rPr>
                <w:rFonts w:ascii="宋体" w:hAnsi="宋体" w:cs="宋体"/>
                <w:sz w:val="24"/>
              </w:rPr>
            </w:pPr>
            <w:r>
              <w:rPr>
                <w:rFonts w:hint="eastAsia" w:ascii="宋体" w:hAnsi="宋体" w:cs="宋体"/>
                <w:color w:val="000000"/>
                <w:sz w:val="24"/>
                <w:lang w:bidi="ar"/>
              </w:rPr>
              <w:t>供应商应在入围后与采购人签订保密协议，承诺不将任何涉及本项目的信息向外界泄露，该保密义务在合同终止后继续有效。</w:t>
            </w:r>
          </w:p>
        </w:tc>
      </w:tr>
      <w:tr w14:paraId="0A074563">
        <w:tblPrEx>
          <w:tblCellMar>
            <w:top w:w="0" w:type="dxa"/>
            <w:left w:w="0" w:type="dxa"/>
            <w:bottom w:w="0" w:type="dxa"/>
            <w:right w:w="0" w:type="dxa"/>
          </w:tblCellMar>
        </w:tblPrEx>
        <w:trPr>
          <w:trHeight w:val="577"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14:paraId="425F2310">
            <w:pPr>
              <w:snapToGrid w:val="0"/>
              <w:spacing w:line="360" w:lineRule="auto"/>
              <w:jc w:val="left"/>
              <w:rPr>
                <w:rFonts w:ascii="宋体" w:hAnsi="宋体" w:cs="宋体"/>
                <w:sz w:val="24"/>
              </w:rPr>
            </w:pPr>
            <w:r>
              <w:rPr>
                <w:rFonts w:hint="eastAsia" w:ascii="宋体" w:hAnsi="宋体" w:cs="宋体"/>
                <w:sz w:val="24"/>
              </w:rPr>
              <w:t>商务条款</w:t>
            </w:r>
          </w:p>
        </w:tc>
        <w:tc>
          <w:tcPr>
            <w:tcW w:w="8730" w:type="dxa"/>
            <w:gridSpan w:val="3"/>
            <w:tcBorders>
              <w:top w:val="single" w:color="auto" w:sz="4" w:space="0"/>
              <w:left w:val="nil"/>
              <w:bottom w:val="single" w:color="auto" w:sz="4" w:space="0"/>
              <w:right w:val="single" w:color="auto" w:sz="4" w:space="0"/>
            </w:tcBorders>
            <w:vAlign w:val="center"/>
          </w:tcPr>
          <w:p w14:paraId="66F3D5D7">
            <w:pPr>
              <w:widowControl/>
              <w:spacing w:line="420" w:lineRule="exact"/>
              <w:jc w:val="left"/>
              <w:rPr>
                <w:rFonts w:ascii="宋体" w:hAnsi="宋体" w:cs="宋体"/>
                <w:sz w:val="24"/>
              </w:rPr>
            </w:pPr>
            <w:r>
              <w:rPr>
                <w:rFonts w:hint="eastAsia" w:ascii="宋体" w:hAnsi="宋体" w:cs="宋体"/>
                <w:sz w:val="24"/>
                <w:lang w:bidi="ar"/>
              </w:rPr>
              <w:t>（一）合同签订期：采购人自成交通知书发出之日起 30 日内与入围供应商签订合同。</w:t>
            </w:r>
          </w:p>
          <w:p w14:paraId="0FBB44E4">
            <w:pPr>
              <w:widowControl/>
              <w:spacing w:line="420" w:lineRule="exact"/>
              <w:jc w:val="left"/>
              <w:rPr>
                <w:rFonts w:ascii="宋体" w:hAnsi="宋体" w:cs="宋体"/>
                <w:sz w:val="24"/>
                <w:lang w:bidi="ar"/>
              </w:rPr>
            </w:pPr>
            <w:r>
              <w:rPr>
                <w:rFonts w:hint="eastAsia" w:ascii="宋体" w:hAnsi="宋体" w:cs="宋体"/>
                <w:sz w:val="24"/>
                <w:lang w:bidi="ar"/>
              </w:rPr>
              <w:t>（二）项目服务期：</w:t>
            </w:r>
            <w:r>
              <w:rPr>
                <w:spacing w:val="-3"/>
                <w:sz w:val="24"/>
              </w:rPr>
              <w:t>自合同签订之日起</w:t>
            </w:r>
            <w:r>
              <w:rPr>
                <w:rFonts w:hint="eastAsia"/>
                <w:spacing w:val="-3"/>
                <w:sz w:val="24"/>
              </w:rPr>
              <w:t>至服务项目竣工验收</w:t>
            </w:r>
            <w:r>
              <w:rPr>
                <w:rFonts w:hint="eastAsia" w:ascii="宋体" w:hAnsi="宋体" w:cs="宋体"/>
                <w:sz w:val="24"/>
                <w:lang w:bidi="ar"/>
              </w:rPr>
              <w:t>。</w:t>
            </w:r>
          </w:p>
          <w:p w14:paraId="08D3A136">
            <w:pPr>
              <w:widowControl/>
              <w:spacing w:line="420" w:lineRule="exact"/>
              <w:rPr>
                <w:rFonts w:ascii="宋体" w:hAnsi="宋体" w:cs="宋体"/>
                <w:sz w:val="24"/>
                <w:highlight w:val="yellow"/>
                <w:lang w:bidi="ar"/>
              </w:rPr>
            </w:pPr>
            <w:bookmarkStart w:id="6" w:name="auto_fouce_11"/>
            <w:r>
              <w:rPr>
                <w:rFonts w:hint="eastAsia" w:ascii="宋体" w:hAnsi="宋体" w:cs="宋体"/>
                <w:sz w:val="24"/>
                <w:lang w:bidi="ar"/>
              </w:rPr>
              <w:t>（三）付款方式：</w:t>
            </w:r>
            <w:r>
              <w:rPr>
                <w:rFonts w:hint="eastAsia" w:ascii="宋体" w:hAnsi="宋体" w:cs="宋体"/>
                <w:sz w:val="24"/>
              </w:rPr>
              <w:t>本项目无预付款。各子项目分别独立结算，每个子项目的付款条件为：该子项目成果文件通过采购人书面验收合格，且供应商已按采购人要求提交全部交付资料。服务费结算前，供应商应提交符合采购人财务要求的等额发票，否则采购人有权顺延付款且不承担任何违约责任。计算方式：项目设计咨询费=财政投资评审审定设计费金额*折扣率，如项目不需财政投评，则以单位预算批复金额为计算基价。</w:t>
            </w:r>
            <w:bookmarkEnd w:id="6"/>
          </w:p>
          <w:p w14:paraId="23FEE5AF">
            <w:pPr>
              <w:spacing w:line="420" w:lineRule="exact"/>
              <w:rPr>
                <w:rFonts w:ascii="宋体" w:hAnsi="宋体" w:cs="宋体"/>
                <w:b/>
                <w:bCs/>
                <w:sz w:val="24"/>
              </w:rPr>
            </w:pPr>
            <w:r>
              <w:rPr>
                <w:rFonts w:hint="eastAsia" w:ascii="宋体" w:hAnsi="宋体" w:cs="宋体"/>
                <w:sz w:val="24"/>
                <w:lang w:bidi="ar"/>
              </w:rPr>
              <w:t>（四）本项目成果及其相关知识产权权利归采购人所有。</w:t>
            </w:r>
          </w:p>
        </w:tc>
      </w:tr>
    </w:tbl>
    <w:p w14:paraId="09D2241B">
      <w:pPr>
        <w:pStyle w:val="14"/>
        <w:outlineLvl w:val="0"/>
        <w:rPr>
          <w:b/>
          <w:bCs/>
          <w:color w:val="auto"/>
        </w:rPr>
        <w:sectPr>
          <w:footerReference r:id="rId3" w:type="default"/>
          <w:pgSz w:w="11906" w:h="16838"/>
          <w:pgMar w:top="1440" w:right="1800" w:bottom="1440" w:left="1800" w:header="851" w:footer="992" w:gutter="0"/>
          <w:cols w:space="425" w:num="1"/>
          <w:docGrid w:type="lines" w:linePitch="312" w:charSpace="0"/>
        </w:sectPr>
      </w:pPr>
    </w:p>
    <w:p w14:paraId="733B8396">
      <w:pPr>
        <w:pStyle w:val="14"/>
        <w:outlineLvl w:val="0"/>
        <w:rPr>
          <w:color w:val="auto"/>
        </w:rPr>
      </w:pPr>
      <w:r>
        <w:rPr>
          <w:rFonts w:hint="eastAsia"/>
          <w:b/>
          <w:bCs/>
          <w:color w:val="auto"/>
        </w:rPr>
        <w:t>B分标</w:t>
      </w:r>
    </w:p>
    <w:tbl>
      <w:tblPr>
        <w:tblStyle w:val="10"/>
        <w:tblW w:w="9342" w:type="dxa"/>
        <w:jc w:val="center"/>
        <w:tblLayout w:type="fixed"/>
        <w:tblCellMar>
          <w:top w:w="0" w:type="dxa"/>
          <w:left w:w="0" w:type="dxa"/>
          <w:bottom w:w="0" w:type="dxa"/>
          <w:right w:w="0" w:type="dxa"/>
        </w:tblCellMar>
      </w:tblPr>
      <w:tblGrid>
        <w:gridCol w:w="612"/>
        <w:gridCol w:w="803"/>
        <w:gridCol w:w="712"/>
        <w:gridCol w:w="7215"/>
      </w:tblGrid>
      <w:tr w14:paraId="6484D924">
        <w:tblPrEx>
          <w:tblCellMar>
            <w:top w:w="0" w:type="dxa"/>
            <w:left w:w="0" w:type="dxa"/>
            <w:bottom w:w="0" w:type="dxa"/>
            <w:right w:w="0" w:type="dxa"/>
          </w:tblCellMar>
        </w:tblPrEx>
        <w:trPr>
          <w:trHeight w:val="577"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14:paraId="53B9BAAD">
            <w:pPr>
              <w:pStyle w:val="4"/>
              <w:jc w:val="center"/>
              <w:rPr>
                <w:rFonts w:ascii="宋体" w:hAnsi="宋体" w:cs="宋体"/>
                <w:b/>
                <w:bCs/>
                <w:sz w:val="24"/>
              </w:rPr>
            </w:pPr>
            <w:r>
              <w:rPr>
                <w:rFonts w:hint="eastAsia" w:ascii="宋体" w:hAnsi="宋体" w:cs="宋体"/>
                <w:b/>
                <w:bCs/>
                <w:sz w:val="24"/>
              </w:rPr>
              <w:t>序号</w:t>
            </w:r>
          </w:p>
        </w:tc>
        <w:tc>
          <w:tcPr>
            <w:tcW w:w="803" w:type="dxa"/>
            <w:tcBorders>
              <w:top w:val="single" w:color="auto" w:sz="4" w:space="0"/>
              <w:left w:val="nil"/>
              <w:bottom w:val="single" w:color="auto" w:sz="4" w:space="0"/>
              <w:right w:val="single" w:color="auto" w:sz="4" w:space="0"/>
            </w:tcBorders>
            <w:vAlign w:val="center"/>
          </w:tcPr>
          <w:p w14:paraId="6192134D">
            <w:pPr>
              <w:pStyle w:val="4"/>
              <w:jc w:val="center"/>
              <w:rPr>
                <w:rFonts w:ascii="宋体" w:hAnsi="宋体" w:cs="宋体"/>
                <w:b/>
                <w:bCs/>
                <w:sz w:val="24"/>
              </w:rPr>
            </w:pPr>
            <w:r>
              <w:rPr>
                <w:rFonts w:hint="eastAsia" w:ascii="宋体" w:hAnsi="宋体" w:cs="宋体"/>
                <w:b/>
                <w:bCs/>
                <w:sz w:val="24"/>
              </w:rPr>
              <w:t>服务名称</w:t>
            </w:r>
          </w:p>
        </w:tc>
        <w:tc>
          <w:tcPr>
            <w:tcW w:w="712"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3E9CB13">
            <w:pPr>
              <w:pStyle w:val="4"/>
              <w:jc w:val="center"/>
              <w:rPr>
                <w:rFonts w:ascii="宋体" w:hAnsi="宋体" w:cs="宋体"/>
                <w:b/>
                <w:bCs/>
                <w:sz w:val="24"/>
              </w:rPr>
            </w:pPr>
            <w:r>
              <w:rPr>
                <w:rFonts w:hint="eastAsia" w:ascii="宋体" w:hAnsi="宋体" w:cs="宋体"/>
                <w:b/>
                <w:bCs/>
                <w:sz w:val="24"/>
              </w:rPr>
              <w:t>数量</w:t>
            </w:r>
          </w:p>
        </w:tc>
        <w:tc>
          <w:tcPr>
            <w:tcW w:w="72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617B353">
            <w:pPr>
              <w:spacing w:line="420" w:lineRule="exact"/>
              <w:ind w:firstLine="482"/>
              <w:jc w:val="center"/>
              <w:rPr>
                <w:rFonts w:ascii="宋体" w:hAnsi="宋体" w:cs="宋体"/>
                <w:b/>
                <w:bCs/>
                <w:sz w:val="24"/>
              </w:rPr>
            </w:pPr>
            <w:r>
              <w:rPr>
                <w:rFonts w:hint="eastAsia" w:ascii="宋体" w:hAnsi="宋体" w:cs="宋体"/>
                <w:b/>
                <w:sz w:val="24"/>
                <w:lang w:val="zh-CN"/>
              </w:rPr>
              <w:t>服务需求</w:t>
            </w:r>
            <w:r>
              <w:rPr>
                <w:rFonts w:hint="eastAsia" w:ascii="宋体" w:hAnsi="宋体" w:cs="宋体"/>
                <w:b/>
                <w:sz w:val="24"/>
              </w:rPr>
              <w:t>工作内容及要求</w:t>
            </w:r>
          </w:p>
        </w:tc>
      </w:tr>
      <w:tr w14:paraId="1CC3348B">
        <w:tblPrEx>
          <w:tblCellMar>
            <w:top w:w="0" w:type="dxa"/>
            <w:left w:w="0" w:type="dxa"/>
            <w:bottom w:w="0" w:type="dxa"/>
            <w:right w:w="0" w:type="dxa"/>
          </w:tblCellMar>
        </w:tblPrEx>
        <w:trPr>
          <w:trHeight w:val="577"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14:paraId="3F2E290A">
            <w:pPr>
              <w:snapToGrid w:val="0"/>
              <w:jc w:val="center"/>
              <w:rPr>
                <w:rFonts w:ascii="宋体" w:hAnsi="宋体" w:cs="宋体"/>
                <w:sz w:val="24"/>
              </w:rPr>
            </w:pPr>
            <w:r>
              <w:rPr>
                <w:rFonts w:hint="eastAsia" w:ascii="宋体" w:hAnsi="宋体" w:cs="宋体"/>
                <w:sz w:val="24"/>
              </w:rPr>
              <w:t>1</w:t>
            </w:r>
          </w:p>
        </w:tc>
        <w:tc>
          <w:tcPr>
            <w:tcW w:w="803" w:type="dxa"/>
            <w:tcBorders>
              <w:top w:val="single" w:color="auto" w:sz="4" w:space="0"/>
              <w:left w:val="nil"/>
              <w:bottom w:val="single" w:color="auto" w:sz="4" w:space="0"/>
              <w:right w:val="single" w:color="auto" w:sz="4" w:space="0"/>
            </w:tcBorders>
            <w:vAlign w:val="center"/>
          </w:tcPr>
          <w:p w14:paraId="35BA77DD">
            <w:pPr>
              <w:snapToGrid w:val="0"/>
              <w:spacing w:line="360" w:lineRule="auto"/>
              <w:jc w:val="center"/>
              <w:rPr>
                <w:rFonts w:ascii="宋体" w:hAnsi="宋体" w:cs="宋体"/>
                <w:sz w:val="24"/>
              </w:rPr>
            </w:pPr>
            <w:r>
              <w:rPr>
                <w:rFonts w:hint="eastAsia" w:hAnsi="宋体"/>
                <w:sz w:val="24"/>
              </w:rPr>
              <w:t>2026-2027年信息化建设项目第三方全过程咨询服务</w:t>
            </w:r>
          </w:p>
        </w:tc>
        <w:tc>
          <w:tcPr>
            <w:tcW w:w="712"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6C33DA8">
            <w:pPr>
              <w:snapToGrid w:val="0"/>
              <w:jc w:val="center"/>
              <w:rPr>
                <w:rFonts w:ascii="宋体" w:hAnsi="宋体" w:cs="宋体"/>
                <w:sz w:val="24"/>
              </w:rPr>
            </w:pPr>
            <w:r>
              <w:rPr>
                <w:rFonts w:hint="eastAsia" w:ascii="宋体" w:hAnsi="宋体" w:cs="宋体"/>
                <w:sz w:val="24"/>
              </w:rPr>
              <w:t>1项</w:t>
            </w:r>
          </w:p>
        </w:tc>
        <w:tc>
          <w:tcPr>
            <w:tcW w:w="72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6550D17">
            <w:pPr>
              <w:numPr>
                <w:ilvl w:val="0"/>
                <w:numId w:val="2"/>
              </w:numPr>
              <w:spacing w:line="360" w:lineRule="auto"/>
              <w:ind w:left="420" w:leftChars="200"/>
              <w:rPr>
                <w:rFonts w:ascii="宋体" w:hAnsi="宋体" w:cs="宋体"/>
                <w:b/>
                <w:bCs/>
                <w:sz w:val="24"/>
              </w:rPr>
            </w:pPr>
            <w:r>
              <w:rPr>
                <w:rFonts w:hint="eastAsia" w:ascii="宋体" w:hAnsi="宋体" w:cs="宋体"/>
                <w:b/>
                <w:bCs/>
                <w:sz w:val="24"/>
              </w:rPr>
              <w:t>项目概况</w:t>
            </w:r>
          </w:p>
          <w:p w14:paraId="13FA2497">
            <w:pPr>
              <w:pStyle w:val="15"/>
              <w:snapToGrid w:val="0"/>
              <w:spacing w:line="360" w:lineRule="auto"/>
              <w:ind w:firstLine="480" w:firstLineChars="200"/>
              <w:jc w:val="left"/>
              <w:rPr>
                <w:spacing w:val="-3"/>
                <w:sz w:val="24"/>
                <w:szCs w:val="24"/>
                <w:lang w:eastAsia="zh-CN"/>
              </w:rPr>
            </w:pPr>
            <w:r>
              <w:rPr>
                <w:rFonts w:hint="eastAsia"/>
                <w:sz w:val="24"/>
                <w:szCs w:val="24"/>
                <w:lang w:eastAsia="zh-CN"/>
              </w:rPr>
              <w:t>为提升我校信息化建设项目的实施效率与建设质量，</w:t>
            </w:r>
            <w:r>
              <w:rPr>
                <w:spacing w:val="-3"/>
                <w:sz w:val="24"/>
                <w:szCs w:val="24"/>
                <w:lang w:eastAsia="zh-CN"/>
              </w:rPr>
              <w:t>现公开采购2026</w:t>
            </w:r>
            <w:r>
              <w:rPr>
                <w:rFonts w:hint="eastAsia"/>
                <w:spacing w:val="-3"/>
                <w:sz w:val="24"/>
                <w:szCs w:val="24"/>
                <w:lang w:eastAsia="zh-CN"/>
              </w:rPr>
              <w:t>-2027</w:t>
            </w:r>
            <w:r>
              <w:rPr>
                <w:spacing w:val="-3"/>
                <w:sz w:val="24"/>
                <w:szCs w:val="24"/>
                <w:lang w:eastAsia="zh-CN"/>
              </w:rPr>
              <w:t>年信息化建设项目第三方</w:t>
            </w:r>
            <w:r>
              <w:rPr>
                <w:rFonts w:hint="eastAsia"/>
                <w:spacing w:val="-3"/>
                <w:sz w:val="24"/>
                <w:szCs w:val="24"/>
                <w:lang w:eastAsia="zh-CN"/>
              </w:rPr>
              <w:t>全过程</w:t>
            </w:r>
            <w:r>
              <w:rPr>
                <w:spacing w:val="-3"/>
                <w:sz w:val="24"/>
                <w:szCs w:val="24"/>
                <w:lang w:eastAsia="zh-CN"/>
              </w:rPr>
              <w:t>咨询服务。服务商将负责为计划于2026</w:t>
            </w:r>
            <w:r>
              <w:rPr>
                <w:rFonts w:hint="eastAsia"/>
                <w:spacing w:val="-3"/>
                <w:sz w:val="24"/>
                <w:szCs w:val="24"/>
                <w:lang w:eastAsia="zh-CN"/>
              </w:rPr>
              <w:t>-2027</w:t>
            </w:r>
            <w:r>
              <w:rPr>
                <w:spacing w:val="-3"/>
                <w:sz w:val="24"/>
                <w:szCs w:val="24"/>
                <w:lang w:eastAsia="zh-CN"/>
              </w:rPr>
              <w:t>年立项实施的信息化项目提供</w:t>
            </w:r>
            <w:r>
              <w:rPr>
                <w:rFonts w:hint="eastAsia"/>
                <w:spacing w:val="-3"/>
                <w:sz w:val="24"/>
                <w:szCs w:val="24"/>
                <w:lang w:eastAsia="zh-CN"/>
              </w:rPr>
              <w:t>全过程</w:t>
            </w:r>
            <w:r>
              <w:rPr>
                <w:spacing w:val="-3"/>
                <w:sz w:val="24"/>
                <w:szCs w:val="24"/>
                <w:lang w:eastAsia="zh-CN"/>
              </w:rPr>
              <w:t>咨询服务。</w:t>
            </w:r>
          </w:p>
          <w:p w14:paraId="39761AB9">
            <w:pPr>
              <w:pStyle w:val="15"/>
              <w:snapToGrid w:val="0"/>
              <w:spacing w:line="360" w:lineRule="auto"/>
              <w:ind w:firstLine="468" w:firstLineChars="200"/>
              <w:jc w:val="left"/>
              <w:rPr>
                <w:color w:val="FF0000"/>
                <w:spacing w:val="-3"/>
                <w:sz w:val="24"/>
                <w:szCs w:val="24"/>
                <w:lang w:eastAsia="zh-CN"/>
              </w:rPr>
            </w:pPr>
            <w:r>
              <w:rPr>
                <w:rFonts w:hint="eastAsia"/>
                <w:spacing w:val="-3"/>
                <w:sz w:val="24"/>
                <w:szCs w:val="24"/>
                <w:lang w:eastAsia="zh-CN"/>
              </w:rPr>
              <w:t>服务供应商数量：3-5家（3家及3家以上，且不足5家报名的，按照实际符合要求的供应商数量遴选；超过5家报名的，按5家遴选），具体项目以实际分配为准，采购人不保证业务平均量。</w:t>
            </w:r>
            <w:bookmarkStart w:id="7" w:name="auto_fouce_6"/>
          </w:p>
          <w:p w14:paraId="3F8F7D56">
            <w:pPr>
              <w:pStyle w:val="15"/>
              <w:snapToGrid w:val="0"/>
              <w:spacing w:line="360" w:lineRule="auto"/>
              <w:ind w:firstLine="468" w:firstLineChars="200"/>
              <w:jc w:val="left"/>
              <w:rPr>
                <w:spacing w:val="-3"/>
                <w:sz w:val="24"/>
                <w:szCs w:val="24"/>
                <w:lang w:eastAsia="zh-CN"/>
              </w:rPr>
            </w:pPr>
            <w:r>
              <w:rPr>
                <w:rFonts w:hint="eastAsia"/>
                <w:spacing w:val="-3"/>
                <w:sz w:val="24"/>
                <w:szCs w:val="24"/>
                <w:lang w:eastAsia="zh-CN"/>
              </w:rPr>
              <w:t>采购人有权根据项目实际需求、供应商资质匹配度、历史服务质量、响应速度、成果通过率及其他履约情况，确定并动态调整各供应商承接项目的数量及分派优先级。对连续两个项目成果不合格或服务不达标的供应商，采购人有权暂停向其分派新的项目，直至其整改合格；情节严重的，采购人有权解除合同。采购人无需就未分配或减少分配的项目向供应商承担责任。</w:t>
            </w:r>
            <w:bookmarkEnd w:id="7"/>
          </w:p>
          <w:p w14:paraId="01A5635F">
            <w:pPr>
              <w:pStyle w:val="15"/>
              <w:snapToGrid w:val="0"/>
              <w:spacing w:line="360" w:lineRule="auto"/>
              <w:ind w:firstLine="468" w:firstLineChars="200"/>
              <w:jc w:val="left"/>
              <w:rPr>
                <w:sz w:val="24"/>
                <w:szCs w:val="24"/>
                <w:lang w:eastAsia="zh-CN"/>
              </w:rPr>
            </w:pPr>
            <w:bookmarkStart w:id="8" w:name="tip_risk_bookmark_8"/>
            <w:r>
              <w:rPr>
                <w:spacing w:val="-3"/>
                <w:sz w:val="24"/>
                <w:szCs w:val="24"/>
                <w:lang w:eastAsia="zh-CN"/>
              </w:rPr>
              <w:t>服务期限：自合同签订之日起</w:t>
            </w:r>
            <w:r>
              <w:rPr>
                <w:rFonts w:hint="eastAsia"/>
                <w:spacing w:val="-3"/>
                <w:sz w:val="24"/>
                <w:szCs w:val="24"/>
                <w:lang w:eastAsia="zh-CN"/>
              </w:rPr>
              <w:t>至服务项目竣工验收</w:t>
            </w:r>
            <w:r>
              <w:rPr>
                <w:spacing w:val="-3"/>
                <w:sz w:val="24"/>
                <w:szCs w:val="24"/>
                <w:lang w:eastAsia="zh-CN"/>
              </w:rPr>
              <w:t>。</w:t>
            </w:r>
            <w:bookmarkEnd w:id="8"/>
          </w:p>
          <w:p w14:paraId="7F5FF0D0">
            <w:pPr>
              <w:spacing w:line="360" w:lineRule="auto"/>
              <w:ind w:left="420" w:leftChars="200"/>
              <w:rPr>
                <w:rFonts w:ascii="宋体" w:hAnsi="宋体" w:cs="宋体"/>
                <w:b/>
                <w:bCs/>
                <w:sz w:val="24"/>
              </w:rPr>
            </w:pPr>
            <w:r>
              <w:rPr>
                <w:rFonts w:hint="eastAsia" w:ascii="宋体" w:hAnsi="宋体" w:cs="宋体"/>
                <w:b/>
                <w:bCs/>
                <w:sz w:val="24"/>
              </w:rPr>
              <w:t>二、服务内容及要求</w:t>
            </w:r>
          </w:p>
          <w:p w14:paraId="0F2A876D">
            <w:pPr>
              <w:spacing w:line="360" w:lineRule="auto"/>
              <w:ind w:firstLine="482" w:firstLineChars="200"/>
              <w:rPr>
                <w:rFonts w:ascii="宋体" w:hAnsi="宋体" w:cs="宋体"/>
                <w:b/>
                <w:bCs/>
                <w:sz w:val="24"/>
              </w:rPr>
            </w:pPr>
            <w:r>
              <w:rPr>
                <w:rFonts w:hint="eastAsia" w:ascii="宋体" w:hAnsi="宋体" w:cs="宋体"/>
                <w:b/>
                <w:bCs/>
                <w:sz w:val="24"/>
              </w:rPr>
              <w:t>（一）造价咨询服务（含招标控制价编制、过程造价咨询、结算审核）</w:t>
            </w:r>
          </w:p>
          <w:p w14:paraId="50843A64">
            <w:pPr>
              <w:spacing w:line="360" w:lineRule="auto"/>
              <w:ind w:firstLine="480" w:firstLineChars="200"/>
              <w:rPr>
                <w:rFonts w:ascii="宋体" w:hAnsi="宋体" w:cs="宋体"/>
                <w:sz w:val="24"/>
              </w:rPr>
            </w:pPr>
            <w:r>
              <w:rPr>
                <w:rFonts w:hint="eastAsia" w:ascii="宋体" w:hAnsi="宋体" w:cs="宋体"/>
                <w:sz w:val="24"/>
              </w:rPr>
              <w:t>在项目实施招标阶段，审核项目招标控制价、项目预算等；在项目实施完成后对建设项目的结算申报材料进行审核，并出具相关评审报告。</w:t>
            </w:r>
          </w:p>
          <w:p w14:paraId="0D2BD1FC">
            <w:pPr>
              <w:pStyle w:val="14"/>
              <w:spacing w:line="360" w:lineRule="auto"/>
              <w:ind w:firstLine="480" w:firstLineChars="200"/>
              <w:rPr>
                <w:color w:val="auto"/>
              </w:rPr>
            </w:pPr>
            <w:r>
              <w:rPr>
                <w:rFonts w:hint="eastAsia"/>
                <w:color w:val="auto"/>
              </w:rPr>
              <w:t>1.</w:t>
            </w:r>
            <w:r>
              <w:rPr>
                <w:color w:val="auto"/>
              </w:rPr>
              <w:t>服务标准</w:t>
            </w:r>
          </w:p>
          <w:p w14:paraId="1D6889DE">
            <w:pPr>
              <w:pStyle w:val="14"/>
              <w:spacing w:line="360" w:lineRule="auto"/>
              <w:ind w:firstLine="480" w:firstLineChars="200"/>
              <w:rPr>
                <w:color w:val="auto"/>
              </w:rPr>
            </w:pPr>
            <w:r>
              <w:rPr>
                <w:rFonts w:hint="eastAsia"/>
                <w:color w:val="auto"/>
              </w:rPr>
              <w:t>（1）</w:t>
            </w:r>
            <w:r>
              <w:rPr>
                <w:color w:val="auto"/>
              </w:rPr>
              <w:t>要严格遵守国家的法律、法规和有关规章制度，严格遵守行为准则和职业道德，按现行的财政投资项目评审操作规程及质量控制办法规定执行。</w:t>
            </w:r>
          </w:p>
          <w:p w14:paraId="744FEF2B">
            <w:pPr>
              <w:pStyle w:val="14"/>
              <w:spacing w:line="360" w:lineRule="auto"/>
              <w:ind w:firstLine="480" w:firstLineChars="200"/>
              <w:rPr>
                <w:color w:val="auto"/>
              </w:rPr>
            </w:pPr>
            <w:r>
              <w:rPr>
                <w:rFonts w:hint="eastAsia"/>
                <w:color w:val="auto"/>
              </w:rPr>
              <w:t>（2）</w:t>
            </w:r>
            <w:r>
              <w:rPr>
                <w:color w:val="auto"/>
              </w:rPr>
              <w:t>严格按照国家和自治区现行的工程造价管理办法、工程预算审核规程等文件要求进行评审工作，依照相关依据发表专业意见出具成果文件，并对成果的真实性、完整性、准确性负责。</w:t>
            </w:r>
          </w:p>
          <w:p w14:paraId="25F17043">
            <w:pPr>
              <w:pStyle w:val="14"/>
              <w:spacing w:line="360" w:lineRule="auto"/>
              <w:ind w:firstLine="480" w:firstLineChars="200"/>
              <w:rPr>
                <w:color w:val="auto"/>
              </w:rPr>
            </w:pPr>
            <w:r>
              <w:rPr>
                <w:rFonts w:hint="eastAsia"/>
                <w:color w:val="auto"/>
              </w:rPr>
              <w:t>（3）</w:t>
            </w:r>
            <w:r>
              <w:rPr>
                <w:color w:val="auto"/>
              </w:rPr>
              <w:t>评审人员在项目评审</w:t>
            </w:r>
            <w:r>
              <w:rPr>
                <w:rFonts w:hint="eastAsia"/>
                <w:color w:val="auto"/>
              </w:rPr>
              <w:t>过</w:t>
            </w:r>
            <w:r>
              <w:rPr>
                <w:color w:val="auto"/>
              </w:rPr>
              <w:t>程中，应该恪守客观公正、实事求是的原则，确保评审工作的真实完整和准确，保证评审质量。</w:t>
            </w:r>
          </w:p>
          <w:p w14:paraId="2B69EEA1">
            <w:pPr>
              <w:pStyle w:val="14"/>
              <w:spacing w:line="360" w:lineRule="auto"/>
              <w:ind w:firstLine="480" w:firstLineChars="200"/>
              <w:rPr>
                <w:color w:val="auto"/>
              </w:rPr>
            </w:pPr>
            <w:r>
              <w:rPr>
                <w:rFonts w:hint="eastAsia"/>
                <w:color w:val="auto"/>
              </w:rPr>
              <w:t>（4）</w:t>
            </w:r>
            <w:r>
              <w:rPr>
                <w:color w:val="auto"/>
              </w:rPr>
              <w:t>评审报告编制标准</w:t>
            </w:r>
          </w:p>
          <w:p w14:paraId="2DE4FA34">
            <w:pPr>
              <w:pStyle w:val="14"/>
              <w:spacing w:line="360" w:lineRule="auto"/>
              <w:ind w:firstLine="480" w:firstLineChars="200"/>
              <w:rPr>
                <w:color w:val="auto"/>
              </w:rPr>
            </w:pPr>
            <w:r>
              <w:rPr>
                <w:color w:val="auto"/>
              </w:rPr>
              <w:t>评审内容完整、数据准确、依据充分，评审结论定性客观、定量准确、依据充分，核增核减原因定性准确、条理清晰，披露评审问题有理有据、分析透彻提出评审建议措施具体、针对性强。</w:t>
            </w:r>
          </w:p>
          <w:p w14:paraId="5BC85125">
            <w:pPr>
              <w:pStyle w:val="14"/>
              <w:spacing w:line="360" w:lineRule="auto"/>
              <w:ind w:firstLine="480" w:firstLineChars="200"/>
              <w:rPr>
                <w:color w:val="auto"/>
              </w:rPr>
            </w:pPr>
            <w:r>
              <w:rPr>
                <w:rFonts w:hint="eastAsia"/>
                <w:color w:val="auto"/>
              </w:rPr>
              <w:t>（5）</w:t>
            </w:r>
            <w:r>
              <w:rPr>
                <w:color w:val="auto"/>
              </w:rPr>
              <w:t>不得泄露采购人及所承接项目的任何商业机密，不得未经采购人同意擅自对外公开评审结论</w:t>
            </w:r>
            <w:r>
              <w:rPr>
                <w:rFonts w:hint="eastAsia"/>
                <w:color w:val="auto"/>
              </w:rPr>
              <w:t>。</w:t>
            </w:r>
          </w:p>
          <w:p w14:paraId="6E2DA438">
            <w:pPr>
              <w:pStyle w:val="14"/>
              <w:spacing w:line="360" w:lineRule="auto"/>
              <w:ind w:firstLine="480" w:firstLineChars="200"/>
              <w:rPr>
                <w:color w:val="auto"/>
              </w:rPr>
            </w:pPr>
            <w:r>
              <w:rPr>
                <w:rFonts w:hint="eastAsia"/>
                <w:color w:val="auto"/>
              </w:rPr>
              <w:t>（6）</w:t>
            </w:r>
            <w:r>
              <w:rPr>
                <w:color w:val="auto"/>
              </w:rPr>
              <w:t>评审人员应严格遵守廉洁自律的有关规定，坚决抵制各种可能影响客观公正评审的商业贿赂，坚决不搞人情评审，避免和杜绝吃拿卡要的不良行为。如因评审人员原因出现违规违纪行为，应及时处理并承担相应法律责任，采购人有权追究其相关责任。</w:t>
            </w:r>
          </w:p>
          <w:p w14:paraId="0D561D71">
            <w:pPr>
              <w:pStyle w:val="14"/>
              <w:spacing w:line="360" w:lineRule="auto"/>
              <w:ind w:firstLine="480" w:firstLineChars="200"/>
              <w:rPr>
                <w:color w:val="auto"/>
              </w:rPr>
            </w:pPr>
            <w:r>
              <w:rPr>
                <w:rFonts w:hint="eastAsia"/>
                <w:color w:val="auto"/>
              </w:rPr>
              <w:t>2.</w:t>
            </w:r>
            <w:r>
              <w:rPr>
                <w:color w:val="auto"/>
              </w:rPr>
              <w:t>服务内容</w:t>
            </w:r>
          </w:p>
          <w:p w14:paraId="6D3A04F8">
            <w:pPr>
              <w:pStyle w:val="14"/>
              <w:spacing w:line="360" w:lineRule="auto"/>
              <w:ind w:firstLine="480" w:firstLineChars="200"/>
              <w:rPr>
                <w:color w:val="auto"/>
              </w:rPr>
            </w:pPr>
            <w:r>
              <w:rPr>
                <w:rFonts w:hint="eastAsia"/>
                <w:color w:val="auto"/>
              </w:rPr>
              <w:t>项</w:t>
            </w:r>
            <w:r>
              <w:rPr>
                <w:color w:val="auto"/>
              </w:rPr>
              <w:t>目</w:t>
            </w:r>
            <w:r>
              <w:rPr>
                <w:rFonts w:hint="eastAsia"/>
                <w:color w:val="auto"/>
              </w:rPr>
              <w:t>招标</w:t>
            </w:r>
            <w:r>
              <w:rPr>
                <w:color w:val="auto"/>
              </w:rPr>
              <w:t>准备阶段，对项目建设内容、必备材料进行审核，并提交完整性审核意见。审核主要内容包括：</w:t>
            </w:r>
          </w:p>
          <w:p w14:paraId="1227F710">
            <w:pPr>
              <w:pStyle w:val="14"/>
              <w:spacing w:line="360" w:lineRule="auto"/>
              <w:ind w:firstLine="480" w:firstLineChars="200"/>
              <w:rPr>
                <w:color w:val="auto"/>
              </w:rPr>
            </w:pPr>
            <w:r>
              <w:rPr>
                <w:rFonts w:hint="eastAsia"/>
                <w:color w:val="auto"/>
              </w:rPr>
              <w:t>（1）</w:t>
            </w:r>
            <w:r>
              <w:rPr>
                <w:color w:val="auto"/>
              </w:rPr>
              <w:t>项目是否符合评审的范围；</w:t>
            </w:r>
          </w:p>
          <w:p w14:paraId="0D53C1F1">
            <w:pPr>
              <w:pStyle w:val="14"/>
              <w:spacing w:line="360" w:lineRule="auto"/>
              <w:ind w:firstLine="480" w:firstLineChars="200"/>
              <w:rPr>
                <w:color w:val="auto"/>
              </w:rPr>
            </w:pPr>
            <w:r>
              <w:rPr>
                <w:rFonts w:hint="eastAsia"/>
                <w:color w:val="auto"/>
              </w:rPr>
              <w:t>（2）</w:t>
            </w:r>
            <w:r>
              <w:rPr>
                <w:color w:val="auto"/>
              </w:rPr>
              <w:t>项目内容是否完整；</w:t>
            </w:r>
          </w:p>
          <w:p w14:paraId="202D54EB">
            <w:pPr>
              <w:pStyle w:val="14"/>
              <w:spacing w:line="360" w:lineRule="auto"/>
              <w:ind w:firstLine="480" w:firstLineChars="200"/>
              <w:rPr>
                <w:color w:val="auto"/>
              </w:rPr>
            </w:pPr>
            <w:r>
              <w:rPr>
                <w:rFonts w:hint="eastAsia"/>
                <w:color w:val="auto"/>
              </w:rPr>
              <w:t>（3）</w:t>
            </w:r>
            <w:r>
              <w:rPr>
                <w:color w:val="auto"/>
              </w:rPr>
              <w:t>项目相关材料是否齐全；</w:t>
            </w:r>
          </w:p>
          <w:p w14:paraId="13685CA5">
            <w:pPr>
              <w:pStyle w:val="14"/>
              <w:spacing w:line="360" w:lineRule="auto"/>
              <w:ind w:firstLine="480" w:firstLineChars="200"/>
              <w:rPr>
                <w:color w:val="auto"/>
              </w:rPr>
            </w:pPr>
            <w:r>
              <w:rPr>
                <w:rFonts w:hint="eastAsia"/>
                <w:color w:val="auto"/>
              </w:rPr>
              <w:t>（4）</w:t>
            </w:r>
            <w:r>
              <w:rPr>
                <w:color w:val="auto"/>
              </w:rPr>
              <w:t>项目是否符合评审要求等。</w:t>
            </w:r>
          </w:p>
          <w:p w14:paraId="0788AF6B">
            <w:pPr>
              <w:pStyle w:val="14"/>
              <w:spacing w:line="360" w:lineRule="auto"/>
              <w:ind w:firstLine="480" w:firstLineChars="200"/>
              <w:rPr>
                <w:color w:val="auto"/>
              </w:rPr>
            </w:pPr>
            <w:r>
              <w:rPr>
                <w:color w:val="auto"/>
              </w:rPr>
              <w:t>依据相关评审依据，对项目</w:t>
            </w:r>
            <w:r>
              <w:rPr>
                <w:rFonts w:hint="eastAsia"/>
                <w:color w:val="auto"/>
              </w:rPr>
              <w:t>招标控制价</w:t>
            </w:r>
            <w:r>
              <w:rPr>
                <w:color w:val="auto"/>
              </w:rPr>
              <w:t>的合理性和准确性进行评审，并向采购人提交评审报告。采购人有反馈意见的，另行出具完结的评审报告。评审主要内容包括：</w:t>
            </w:r>
          </w:p>
          <w:p w14:paraId="47562572">
            <w:pPr>
              <w:pStyle w:val="14"/>
              <w:spacing w:line="360" w:lineRule="auto"/>
              <w:ind w:firstLine="480" w:firstLineChars="200"/>
              <w:rPr>
                <w:color w:val="auto"/>
              </w:rPr>
            </w:pPr>
            <w:r>
              <w:rPr>
                <w:rFonts w:hint="eastAsia"/>
                <w:color w:val="auto"/>
              </w:rPr>
              <w:t>（1）</w:t>
            </w:r>
            <w:r>
              <w:rPr>
                <w:color w:val="auto"/>
              </w:rPr>
              <w:t>实施方案是否符合国家相关政策规定；</w:t>
            </w:r>
          </w:p>
          <w:p w14:paraId="5971E040">
            <w:pPr>
              <w:pStyle w:val="14"/>
              <w:spacing w:line="360" w:lineRule="auto"/>
              <w:ind w:firstLine="480" w:firstLineChars="200"/>
              <w:rPr>
                <w:color w:val="auto"/>
              </w:rPr>
            </w:pPr>
            <w:r>
              <w:rPr>
                <w:rFonts w:hint="eastAsia"/>
                <w:color w:val="auto"/>
              </w:rPr>
              <w:t>（2）</w:t>
            </w:r>
            <w:r>
              <w:rPr>
                <w:color w:val="auto"/>
              </w:rPr>
              <w:t>项目的建设内容、预算是否合理；</w:t>
            </w:r>
          </w:p>
          <w:p w14:paraId="0B35865B">
            <w:pPr>
              <w:pStyle w:val="14"/>
              <w:spacing w:line="360" w:lineRule="auto"/>
              <w:ind w:firstLine="480" w:firstLineChars="200"/>
              <w:rPr>
                <w:color w:val="auto"/>
              </w:rPr>
            </w:pPr>
            <w:r>
              <w:rPr>
                <w:rFonts w:hint="eastAsia"/>
                <w:color w:val="auto"/>
              </w:rPr>
              <w:t>（3）</w:t>
            </w:r>
            <w:r>
              <w:rPr>
                <w:color w:val="auto"/>
              </w:rPr>
              <w:t>项目明细子项、计量单位等是否准确等。</w:t>
            </w:r>
          </w:p>
          <w:p w14:paraId="078B27FB">
            <w:pPr>
              <w:spacing w:line="360" w:lineRule="auto"/>
              <w:ind w:firstLine="480" w:firstLineChars="200"/>
              <w:rPr>
                <w:sz w:val="24"/>
              </w:rPr>
            </w:pPr>
            <w:r>
              <w:rPr>
                <w:rFonts w:hint="eastAsia"/>
                <w:sz w:val="24"/>
              </w:rPr>
              <w:t>项目竣工阶段，对项目的结算申报材料进行审核，包括各类结算报表、工程量清单、签证变更资料、合同条款等，核实其真实性、合法性和合理性；审核工程量清单是否与施工实际情况相符，计算是否准确；审核工程价格是否符合合同约定，是否符合市场价格水平，包括材料价格、人工费用、机械设备费用等。</w:t>
            </w:r>
          </w:p>
          <w:p w14:paraId="4679C9C8">
            <w:pPr>
              <w:pStyle w:val="14"/>
              <w:spacing w:line="360" w:lineRule="auto"/>
              <w:ind w:left="420" w:leftChars="200"/>
              <w:rPr>
                <w:color w:val="auto"/>
              </w:rPr>
            </w:pPr>
            <w:r>
              <w:rPr>
                <w:rFonts w:hint="eastAsia"/>
                <w:color w:val="auto"/>
              </w:rPr>
              <w:t>3.</w:t>
            </w:r>
            <w:r>
              <w:rPr>
                <w:color w:val="auto"/>
              </w:rPr>
              <w:t>服务</w:t>
            </w:r>
            <w:r>
              <w:rPr>
                <w:rFonts w:hint="eastAsia"/>
                <w:color w:val="auto"/>
              </w:rPr>
              <w:t>成果</w:t>
            </w:r>
          </w:p>
          <w:p w14:paraId="766766B7">
            <w:pPr>
              <w:pStyle w:val="14"/>
              <w:spacing w:line="360" w:lineRule="auto"/>
              <w:ind w:firstLine="480" w:firstLineChars="200"/>
              <w:rPr>
                <w:color w:val="auto"/>
              </w:rPr>
            </w:pPr>
            <w:r>
              <w:rPr>
                <w:rFonts w:hint="eastAsia"/>
                <w:color w:val="auto"/>
              </w:rPr>
              <w:t>项</w:t>
            </w:r>
            <w:r>
              <w:rPr>
                <w:color w:val="auto"/>
              </w:rPr>
              <w:t>目</w:t>
            </w:r>
            <w:r>
              <w:rPr>
                <w:rFonts w:hint="eastAsia"/>
                <w:color w:val="auto"/>
              </w:rPr>
              <w:t>招标</w:t>
            </w:r>
            <w:r>
              <w:rPr>
                <w:color w:val="auto"/>
              </w:rPr>
              <w:t>准备阶段，</w:t>
            </w:r>
            <w:r>
              <w:rPr>
                <w:rFonts w:hint="eastAsia"/>
                <w:color w:val="auto"/>
              </w:rPr>
              <w:t>出具招标控制价评审报告；项目竣工阶段，出具结算审核报告。</w:t>
            </w:r>
          </w:p>
          <w:p w14:paraId="0C26DCD8">
            <w:pPr>
              <w:spacing w:line="360" w:lineRule="auto"/>
              <w:ind w:left="420" w:leftChars="200"/>
              <w:rPr>
                <w:rFonts w:ascii="宋体" w:hAnsi="宋体" w:cs="宋体"/>
                <w:b/>
                <w:bCs/>
                <w:sz w:val="24"/>
              </w:rPr>
            </w:pPr>
            <w:r>
              <w:rPr>
                <w:rFonts w:hint="eastAsia" w:ascii="宋体" w:hAnsi="宋体" w:cs="宋体"/>
                <w:b/>
                <w:bCs/>
                <w:sz w:val="24"/>
              </w:rPr>
              <w:t>（二）工程监理服务</w:t>
            </w:r>
          </w:p>
          <w:p w14:paraId="1C7F7B61">
            <w:pPr>
              <w:pStyle w:val="14"/>
              <w:spacing w:line="360" w:lineRule="auto"/>
              <w:ind w:firstLine="480" w:firstLineChars="200"/>
              <w:rPr>
                <w:rFonts w:hAnsi="宋体"/>
                <w:color w:val="auto"/>
              </w:rPr>
            </w:pPr>
            <w:r>
              <w:rPr>
                <w:rFonts w:hint="eastAsia" w:hAnsi="宋体"/>
                <w:color w:val="auto"/>
              </w:rPr>
              <w:t>1.工作内容及要求</w:t>
            </w:r>
          </w:p>
          <w:p w14:paraId="3E791EF8">
            <w:pPr>
              <w:pStyle w:val="14"/>
              <w:spacing w:line="360" w:lineRule="auto"/>
              <w:ind w:firstLine="480" w:firstLineChars="200"/>
              <w:rPr>
                <w:rFonts w:hAnsi="宋体"/>
                <w:color w:val="auto"/>
              </w:rPr>
            </w:pPr>
            <w:r>
              <w:rPr>
                <w:rFonts w:hint="eastAsia" w:hAnsi="宋体"/>
                <w:color w:val="auto"/>
              </w:rPr>
              <w:t>（1）项目实施情况检查</w:t>
            </w:r>
          </w:p>
          <w:p w14:paraId="2BAF0E8E">
            <w:pPr>
              <w:pStyle w:val="14"/>
              <w:spacing w:line="360" w:lineRule="auto"/>
              <w:ind w:firstLine="480" w:firstLineChars="200"/>
              <w:rPr>
                <w:rFonts w:hAnsi="宋体"/>
                <w:color w:val="auto"/>
              </w:rPr>
            </w:pPr>
            <w:r>
              <w:rPr>
                <w:rFonts w:hint="eastAsia" w:hAnsi="宋体"/>
                <w:color w:val="auto"/>
              </w:rPr>
              <w:t>①按照通过审核的实施方案/计划，检查承建单位的实施准备情况、人员投入情况。如果存在问题，及时督促承建单位进行整改。</w:t>
            </w:r>
          </w:p>
          <w:p w14:paraId="2693531D">
            <w:pPr>
              <w:pStyle w:val="14"/>
              <w:spacing w:line="360" w:lineRule="auto"/>
              <w:ind w:firstLine="480" w:firstLineChars="200"/>
              <w:rPr>
                <w:rFonts w:hAnsi="宋体"/>
                <w:color w:val="auto"/>
              </w:rPr>
            </w:pPr>
            <w:r>
              <w:rPr>
                <w:rFonts w:hint="eastAsia" w:hAnsi="宋体"/>
                <w:color w:val="auto"/>
              </w:rPr>
              <w:t>②督促承建单位提交到货计划，审核承建单位的到货计划，到货计划必须符合合同要求的时间节点，跟进承建单位的到货工作，发现进度滞后或者实际进度可能影响总体进度时，及时在项目例会上提出预警和监理的建议。</w:t>
            </w:r>
          </w:p>
          <w:p w14:paraId="285FEBDC">
            <w:pPr>
              <w:pStyle w:val="14"/>
              <w:spacing w:line="360" w:lineRule="auto"/>
              <w:ind w:firstLine="480" w:firstLineChars="200"/>
              <w:rPr>
                <w:rFonts w:hAnsi="宋体"/>
                <w:color w:val="auto"/>
              </w:rPr>
            </w:pPr>
            <w:r>
              <w:rPr>
                <w:rFonts w:hint="eastAsia" w:hAnsi="宋体"/>
                <w:color w:val="auto"/>
              </w:rPr>
              <w:t>③依据项目方案、招标文件、投标文件和合同对本项目采购的自助终端、安全、服务器、存储、网络等硬件设备的数量、规格型号、参数配置、功能、性能进行检查、核对与验收。</w:t>
            </w:r>
          </w:p>
          <w:p w14:paraId="46156935">
            <w:pPr>
              <w:pStyle w:val="14"/>
              <w:spacing w:line="360" w:lineRule="auto"/>
              <w:ind w:firstLine="480" w:firstLineChars="200"/>
              <w:rPr>
                <w:rFonts w:hAnsi="宋体"/>
                <w:color w:val="auto"/>
              </w:rPr>
            </w:pPr>
            <w:r>
              <w:rPr>
                <w:rFonts w:hint="eastAsia" w:hAnsi="宋体"/>
                <w:color w:val="auto"/>
              </w:rPr>
              <w:t>④依据项目承建合同所约定的工期目标，在确保工程质量和安全的原则下，采用动态的控制方法，对工程进度进行主动控制，确保工程按规定的工期完工。并且定期检查承建单位按照进度计划的项目建设情况，促使计划与实际建设的进度保持一致，发现偏差及时纠正，使项目能够按照计划完成，对项目出现的调整进行严格的程序控制。</w:t>
            </w:r>
          </w:p>
          <w:p w14:paraId="52AA6D50">
            <w:pPr>
              <w:pStyle w:val="14"/>
              <w:spacing w:line="360" w:lineRule="auto"/>
              <w:ind w:firstLine="480" w:firstLineChars="200"/>
              <w:rPr>
                <w:rFonts w:hAnsi="宋体"/>
                <w:color w:val="auto"/>
              </w:rPr>
            </w:pPr>
            <w:r>
              <w:rPr>
                <w:rFonts w:hint="eastAsia" w:hAnsi="宋体"/>
                <w:color w:val="auto"/>
              </w:rPr>
              <w:t>⑤协助项目采购人做好项目支付，将付款进度与项目质量和进度结合起来，当发现资金使用严重偏离计划时，及时指出并提出对策建议，同时督促承建单位尽快采取措施。</w:t>
            </w:r>
          </w:p>
          <w:p w14:paraId="64B9E7B1">
            <w:pPr>
              <w:pStyle w:val="14"/>
              <w:spacing w:line="360" w:lineRule="auto"/>
              <w:ind w:firstLine="480" w:firstLineChars="200"/>
              <w:rPr>
                <w:rFonts w:hAnsi="宋体"/>
                <w:color w:val="auto"/>
              </w:rPr>
            </w:pPr>
            <w:r>
              <w:rPr>
                <w:rFonts w:hint="eastAsia" w:hAnsi="宋体"/>
                <w:color w:val="auto"/>
              </w:rPr>
              <w:t>⑥协助采购人、承建单位做好需求调研和分析，并依据项目招标文件、投标文件、需求规格说明书和详细设计方案对软件平台的功能、性能、接口等内容进行检查、核对与验收。</w:t>
            </w:r>
          </w:p>
          <w:p w14:paraId="29F3FAA2">
            <w:pPr>
              <w:pStyle w:val="14"/>
              <w:spacing w:line="360" w:lineRule="auto"/>
              <w:ind w:firstLine="480" w:firstLineChars="200"/>
              <w:rPr>
                <w:rFonts w:hAnsi="宋体"/>
                <w:color w:val="auto"/>
              </w:rPr>
            </w:pPr>
            <w:r>
              <w:rPr>
                <w:rFonts w:hint="eastAsia" w:hAnsi="宋体"/>
                <w:color w:val="auto"/>
              </w:rPr>
              <w:t>⑦建立完善的信息与文档管理机制，按照文档管理要求，在建设过程中确保承建单位的文档随工，并对承建单位输出的文档进行审核，及时提出相应的监理意见指导承建单位修改。</w:t>
            </w:r>
          </w:p>
          <w:p w14:paraId="420E54B8">
            <w:pPr>
              <w:pStyle w:val="14"/>
              <w:spacing w:line="360" w:lineRule="auto"/>
              <w:ind w:firstLine="480" w:firstLineChars="200"/>
              <w:rPr>
                <w:rFonts w:hAnsi="宋体"/>
                <w:color w:val="auto"/>
              </w:rPr>
            </w:pPr>
            <w:r>
              <w:rPr>
                <w:rFonts w:hint="eastAsia" w:hAnsi="宋体"/>
                <w:color w:val="auto"/>
              </w:rPr>
              <w:t>（2）文档审核</w:t>
            </w:r>
          </w:p>
          <w:p w14:paraId="60828CB3">
            <w:pPr>
              <w:pStyle w:val="14"/>
              <w:spacing w:line="360" w:lineRule="auto"/>
              <w:ind w:firstLine="480" w:firstLineChars="200"/>
              <w:rPr>
                <w:rFonts w:hAnsi="宋体"/>
                <w:color w:val="auto"/>
              </w:rPr>
            </w:pPr>
            <w:r>
              <w:rPr>
                <w:rFonts w:hint="eastAsia" w:hAnsi="宋体"/>
                <w:color w:val="auto"/>
              </w:rPr>
              <w:t>①审核承建单位提交的实施方案/计划，确认无误后，受理承建单位的开工申请，签署监理审核意见，签发开工令。</w:t>
            </w:r>
          </w:p>
          <w:p w14:paraId="53E4BF8F">
            <w:pPr>
              <w:pStyle w:val="14"/>
              <w:spacing w:line="360" w:lineRule="auto"/>
              <w:ind w:firstLine="480" w:firstLineChars="200"/>
              <w:rPr>
                <w:rFonts w:hAnsi="宋体"/>
                <w:color w:val="auto"/>
              </w:rPr>
            </w:pPr>
            <w:r>
              <w:rPr>
                <w:rFonts w:hint="eastAsia" w:hAnsi="宋体"/>
                <w:color w:val="auto"/>
              </w:rPr>
              <w:t>②需求调研结束后，督促承建单位整理相应的用户需求，并形成需求规格说明书，由监理单位审核完成后，提出监理意见（抄送采购人负责人），监督承建单位进行完善并复核，在需求规格说明书报审表上签署监理意见。</w:t>
            </w:r>
          </w:p>
          <w:p w14:paraId="69A69D96">
            <w:pPr>
              <w:pStyle w:val="14"/>
              <w:spacing w:line="360" w:lineRule="auto"/>
              <w:ind w:firstLine="480" w:firstLineChars="200"/>
              <w:rPr>
                <w:rFonts w:hAnsi="宋体"/>
                <w:color w:val="auto"/>
              </w:rPr>
            </w:pPr>
            <w:r>
              <w:rPr>
                <w:rFonts w:hint="eastAsia" w:hAnsi="宋体"/>
                <w:color w:val="auto"/>
              </w:rPr>
              <w:t>③审核承建单位提交的测试方案，并与采购人、承建单位对系统平台进行测试，监督承建单位对测试发现的BUG进行整改，并进行复测；审核承建单位编制的测试报告，并提出监理意见。</w:t>
            </w:r>
          </w:p>
          <w:p w14:paraId="51DA5A98">
            <w:pPr>
              <w:pStyle w:val="14"/>
              <w:spacing w:line="360" w:lineRule="auto"/>
              <w:ind w:firstLine="480" w:firstLineChars="200"/>
              <w:rPr>
                <w:rFonts w:hAnsi="宋体"/>
                <w:color w:val="auto"/>
              </w:rPr>
            </w:pPr>
            <w:r>
              <w:rPr>
                <w:rFonts w:hint="eastAsia" w:hAnsi="宋体"/>
                <w:color w:val="auto"/>
              </w:rPr>
              <w:t>④审核承建单位编制的培训方案，检查承建单位培训准备工作（包括培训教材、操作手册、培训签到表、培训记录等），并抽查承建单位的培训工作，督促承建单位编制培训总结报告。</w:t>
            </w:r>
          </w:p>
          <w:p w14:paraId="001B8272">
            <w:pPr>
              <w:pStyle w:val="14"/>
              <w:spacing w:line="360" w:lineRule="auto"/>
              <w:ind w:firstLine="480" w:firstLineChars="200"/>
              <w:rPr>
                <w:rFonts w:hAnsi="宋体"/>
                <w:color w:val="auto"/>
              </w:rPr>
            </w:pPr>
            <w:r>
              <w:rPr>
                <w:rFonts w:hint="eastAsia" w:hAnsi="宋体"/>
                <w:color w:val="auto"/>
              </w:rPr>
              <w:t>⑤如遇项目延期，审核承建单位提出的延期申请，并督促承建单位对延期内的项目情况进行说明，制定相应的延期计划，保证项目能够在延期的期限内完成建设。</w:t>
            </w:r>
          </w:p>
          <w:p w14:paraId="72463C3D">
            <w:pPr>
              <w:pStyle w:val="14"/>
              <w:spacing w:line="360" w:lineRule="auto"/>
              <w:ind w:firstLine="480" w:firstLineChars="200"/>
              <w:rPr>
                <w:rFonts w:hAnsi="宋体"/>
                <w:color w:val="auto"/>
              </w:rPr>
            </w:pPr>
            <w:r>
              <w:rPr>
                <w:rFonts w:hint="eastAsia" w:hAnsi="宋体"/>
                <w:color w:val="auto"/>
              </w:rPr>
              <w:t>⑥审核承建单位提交的项目验收申请，督促承建单位制定相应的验收方案，并检查承建单位的验收文档准备情况，做好文档审核工作。</w:t>
            </w:r>
          </w:p>
          <w:p w14:paraId="4D3DE7E6">
            <w:pPr>
              <w:pStyle w:val="14"/>
              <w:spacing w:line="360" w:lineRule="auto"/>
              <w:ind w:firstLine="480" w:firstLineChars="200"/>
              <w:rPr>
                <w:rFonts w:hAnsi="宋体"/>
                <w:color w:val="auto"/>
              </w:rPr>
            </w:pPr>
            <w:r>
              <w:rPr>
                <w:rFonts w:hint="eastAsia" w:hAnsi="宋体"/>
                <w:color w:val="auto"/>
              </w:rPr>
              <w:t>（3）变更控制</w:t>
            </w:r>
          </w:p>
          <w:p w14:paraId="57486595">
            <w:pPr>
              <w:pStyle w:val="14"/>
              <w:spacing w:line="360" w:lineRule="auto"/>
              <w:ind w:firstLine="480" w:firstLineChars="200"/>
              <w:rPr>
                <w:rFonts w:hAnsi="宋体"/>
                <w:color w:val="auto"/>
              </w:rPr>
            </w:pPr>
            <w:r>
              <w:rPr>
                <w:rFonts w:hint="eastAsia" w:hAnsi="宋体"/>
                <w:color w:val="auto"/>
              </w:rPr>
              <w:t>①受理变更单位提出的项目变更，对内容进行审核，确认变更流程，督促变更单位完善变更材料并进行复核。</w:t>
            </w:r>
          </w:p>
          <w:p w14:paraId="59625FB1">
            <w:pPr>
              <w:pStyle w:val="14"/>
              <w:spacing w:line="360" w:lineRule="auto"/>
              <w:ind w:firstLine="480" w:firstLineChars="200"/>
              <w:rPr>
                <w:rFonts w:hAnsi="宋体"/>
                <w:color w:val="auto"/>
              </w:rPr>
            </w:pPr>
            <w:r>
              <w:rPr>
                <w:rFonts w:hint="eastAsia" w:hAnsi="宋体"/>
                <w:color w:val="auto"/>
              </w:rPr>
              <w:t>②对项目变更进行确认，跟进项目变更后的产生的影响，做好变更结果记录。</w:t>
            </w:r>
          </w:p>
          <w:p w14:paraId="3598A812">
            <w:pPr>
              <w:pStyle w:val="14"/>
              <w:spacing w:line="360" w:lineRule="auto"/>
              <w:ind w:firstLine="480" w:firstLineChars="200"/>
              <w:rPr>
                <w:rFonts w:hAnsi="宋体"/>
                <w:color w:val="auto"/>
              </w:rPr>
            </w:pPr>
            <w:r>
              <w:rPr>
                <w:rFonts w:hint="eastAsia" w:hAnsi="宋体"/>
                <w:color w:val="auto"/>
              </w:rPr>
              <w:t>（4）投资控制</w:t>
            </w:r>
          </w:p>
          <w:p w14:paraId="0D9CACDB">
            <w:pPr>
              <w:pStyle w:val="14"/>
              <w:spacing w:line="360" w:lineRule="auto"/>
              <w:ind w:firstLine="480" w:firstLineChars="200"/>
              <w:rPr>
                <w:rFonts w:hAnsi="宋体"/>
                <w:color w:val="auto"/>
              </w:rPr>
            </w:pPr>
            <w:r>
              <w:rPr>
                <w:rFonts w:hint="eastAsia" w:hAnsi="宋体"/>
                <w:color w:val="auto"/>
              </w:rPr>
              <w:t>①核实承建单位的工程实际完成情况和工程量，确保工程实施情况的真实性。</w:t>
            </w:r>
          </w:p>
          <w:p w14:paraId="53938C6F">
            <w:pPr>
              <w:pStyle w:val="14"/>
              <w:spacing w:line="360" w:lineRule="auto"/>
              <w:ind w:firstLine="480" w:firstLineChars="200"/>
              <w:rPr>
                <w:rFonts w:hAnsi="宋体"/>
                <w:color w:val="auto"/>
              </w:rPr>
            </w:pPr>
            <w:r>
              <w:rPr>
                <w:rFonts w:hint="eastAsia" w:hAnsi="宋体"/>
                <w:color w:val="auto"/>
              </w:rPr>
              <w:t>②审核承建单位的项目款支付申请，配合采购人依据工程质量与进度签发项目款项支付凭证。</w:t>
            </w:r>
          </w:p>
          <w:p w14:paraId="248BC726">
            <w:pPr>
              <w:pStyle w:val="14"/>
              <w:spacing w:line="360" w:lineRule="auto"/>
              <w:ind w:firstLine="480" w:firstLineChars="200"/>
              <w:rPr>
                <w:rFonts w:hAnsi="宋体"/>
                <w:color w:val="auto"/>
              </w:rPr>
            </w:pPr>
            <w:r>
              <w:rPr>
                <w:rFonts w:hint="eastAsia" w:hAnsi="宋体"/>
                <w:color w:val="auto"/>
              </w:rPr>
              <w:t>③协助采购人进行工程决算等工作。</w:t>
            </w:r>
          </w:p>
          <w:p w14:paraId="72B89236">
            <w:pPr>
              <w:pStyle w:val="14"/>
              <w:spacing w:line="360" w:lineRule="auto"/>
              <w:ind w:firstLine="480" w:firstLineChars="200"/>
              <w:rPr>
                <w:rFonts w:hAnsi="宋体"/>
                <w:color w:val="auto"/>
              </w:rPr>
            </w:pPr>
            <w:r>
              <w:rPr>
                <w:rFonts w:hint="eastAsia" w:hAnsi="宋体"/>
                <w:color w:val="auto"/>
              </w:rPr>
              <w:t>（5）合同管理</w:t>
            </w:r>
          </w:p>
          <w:p w14:paraId="3C0FBDB5">
            <w:pPr>
              <w:pStyle w:val="14"/>
              <w:spacing w:line="360" w:lineRule="auto"/>
              <w:ind w:firstLine="480" w:firstLineChars="200"/>
              <w:rPr>
                <w:rFonts w:hAnsi="宋体"/>
                <w:color w:val="auto"/>
              </w:rPr>
            </w:pPr>
            <w:r>
              <w:rPr>
                <w:rFonts w:hint="eastAsia" w:hAnsi="宋体"/>
                <w:color w:val="auto"/>
              </w:rPr>
              <w:t>①跟踪检查合同的执行情况，确保承建单位按时履约。</w:t>
            </w:r>
          </w:p>
          <w:p w14:paraId="74C403AC">
            <w:pPr>
              <w:pStyle w:val="14"/>
              <w:spacing w:line="360" w:lineRule="auto"/>
              <w:ind w:firstLine="480" w:firstLineChars="200"/>
              <w:rPr>
                <w:rFonts w:hAnsi="宋体"/>
                <w:color w:val="auto"/>
              </w:rPr>
            </w:pPr>
            <w:r>
              <w:rPr>
                <w:rFonts w:hint="eastAsia" w:hAnsi="宋体"/>
                <w:color w:val="auto"/>
              </w:rPr>
              <w:t>②依据合同，抓好工程建设目标责任的跟踪落实。如发现合同相关单位有违反承建合同约定的倾向，及时发出警示，防止各方偏离承建合同条款的事件发生。</w:t>
            </w:r>
          </w:p>
          <w:p w14:paraId="2C47818C">
            <w:pPr>
              <w:pStyle w:val="14"/>
              <w:spacing w:line="360" w:lineRule="auto"/>
              <w:ind w:firstLine="480" w:firstLineChars="200"/>
              <w:rPr>
                <w:rFonts w:hAnsi="宋体"/>
                <w:color w:val="auto"/>
              </w:rPr>
            </w:pPr>
            <w:r>
              <w:rPr>
                <w:rFonts w:hint="eastAsia" w:hAnsi="宋体"/>
                <w:color w:val="auto"/>
              </w:rPr>
              <w:t>③对合同工期的延误和延期、合同变更、索赔事项进行审核确认。</w:t>
            </w:r>
          </w:p>
          <w:p w14:paraId="43853843">
            <w:pPr>
              <w:pStyle w:val="14"/>
              <w:spacing w:line="360" w:lineRule="auto"/>
              <w:ind w:firstLine="480" w:firstLineChars="200"/>
              <w:rPr>
                <w:rFonts w:hAnsi="宋体"/>
                <w:color w:val="auto"/>
              </w:rPr>
            </w:pPr>
            <w:r>
              <w:rPr>
                <w:rFonts w:hint="eastAsia" w:hAnsi="宋体"/>
                <w:color w:val="auto"/>
              </w:rPr>
              <w:t>④核对合同约定需要完成内容与项目实际建设内容的一致性。</w:t>
            </w:r>
          </w:p>
          <w:p w14:paraId="6DD0E371">
            <w:pPr>
              <w:pStyle w:val="14"/>
              <w:spacing w:line="360" w:lineRule="auto"/>
              <w:ind w:firstLine="480" w:firstLineChars="200"/>
              <w:rPr>
                <w:rFonts w:hAnsi="宋体"/>
                <w:color w:val="auto"/>
              </w:rPr>
            </w:pPr>
            <w:r>
              <w:rPr>
                <w:rFonts w:hint="eastAsia" w:hAnsi="宋体"/>
                <w:color w:val="auto"/>
              </w:rPr>
              <w:t>（6）组织协调</w:t>
            </w:r>
          </w:p>
          <w:p w14:paraId="3F010B21">
            <w:pPr>
              <w:pStyle w:val="14"/>
              <w:spacing w:line="360" w:lineRule="auto"/>
              <w:ind w:firstLine="480" w:firstLineChars="200"/>
              <w:rPr>
                <w:rFonts w:hAnsi="宋体"/>
                <w:color w:val="auto"/>
              </w:rPr>
            </w:pPr>
            <w:r>
              <w:rPr>
                <w:rFonts w:hint="eastAsia" w:hAnsi="宋体"/>
                <w:color w:val="auto"/>
              </w:rPr>
              <w:t>①明确组织协调。监理单位承担着组织协调的任务，在项目建设过程中，监理单位负责协调采购人、承建单位的关系。</w:t>
            </w:r>
          </w:p>
          <w:p w14:paraId="56419C02">
            <w:pPr>
              <w:pStyle w:val="14"/>
              <w:spacing w:line="360" w:lineRule="auto"/>
              <w:ind w:firstLine="480" w:firstLineChars="200"/>
              <w:rPr>
                <w:rFonts w:hAnsi="宋体"/>
                <w:color w:val="auto"/>
              </w:rPr>
            </w:pPr>
            <w:r>
              <w:rPr>
                <w:rFonts w:hint="eastAsia" w:hAnsi="宋体"/>
                <w:color w:val="auto"/>
              </w:rPr>
              <w:t>②明确沟通程序。按国家相关规范，采购人、承建单位各方对另一方的任何意见、建议、决定都必须首先通过监理单位传达，确保信息的对称。</w:t>
            </w:r>
          </w:p>
          <w:p w14:paraId="49CECEF5">
            <w:pPr>
              <w:pStyle w:val="14"/>
              <w:spacing w:line="360" w:lineRule="auto"/>
              <w:ind w:firstLine="480" w:firstLineChars="200"/>
              <w:rPr>
                <w:rFonts w:hAnsi="宋体"/>
                <w:color w:val="auto"/>
              </w:rPr>
            </w:pPr>
            <w:r>
              <w:rPr>
                <w:rFonts w:hint="eastAsia" w:hAnsi="宋体"/>
                <w:color w:val="auto"/>
              </w:rPr>
              <w:t>③采取预控措施。明确各方责任界限，建立协调依据，为后续项目管理中遇到的协调事项提供所需的依据。</w:t>
            </w:r>
          </w:p>
          <w:p w14:paraId="6E87C805">
            <w:pPr>
              <w:pStyle w:val="14"/>
              <w:spacing w:line="360" w:lineRule="auto"/>
              <w:ind w:firstLine="480" w:firstLineChars="200"/>
              <w:rPr>
                <w:rFonts w:hAnsi="宋体"/>
                <w:color w:val="auto"/>
              </w:rPr>
            </w:pPr>
            <w:r>
              <w:rPr>
                <w:rFonts w:hint="eastAsia" w:hAnsi="宋体"/>
                <w:color w:val="auto"/>
              </w:rPr>
              <w:t>（7）会议制度</w:t>
            </w:r>
          </w:p>
          <w:p w14:paraId="1C4AE793">
            <w:pPr>
              <w:pStyle w:val="14"/>
              <w:spacing w:line="360" w:lineRule="auto"/>
              <w:ind w:firstLine="480" w:firstLineChars="200"/>
              <w:rPr>
                <w:rFonts w:hAnsi="宋体"/>
                <w:color w:val="auto"/>
              </w:rPr>
            </w:pPr>
            <w:r>
              <w:rPr>
                <w:rFonts w:hint="eastAsia" w:hAnsi="宋体"/>
                <w:color w:val="auto"/>
              </w:rPr>
              <w:t>①监理单位主持召开项目会议，通知采购人和承建单位相关负责人参加。</w:t>
            </w:r>
          </w:p>
          <w:p w14:paraId="12ADD145">
            <w:pPr>
              <w:pStyle w:val="14"/>
              <w:spacing w:line="360" w:lineRule="auto"/>
              <w:ind w:firstLine="480" w:firstLineChars="200"/>
              <w:rPr>
                <w:rFonts w:hAnsi="宋体"/>
                <w:color w:val="auto"/>
              </w:rPr>
            </w:pPr>
            <w:r>
              <w:rPr>
                <w:rFonts w:hint="eastAsia" w:hAnsi="宋体"/>
                <w:color w:val="auto"/>
              </w:rPr>
              <w:t>②监理单位负责编制会议纪要，将会议的重要决议体现在会议纪要中，与会各方代表须在会议纪要上签字，后续由监理单位与承建单位一同跟进会议事项的完成情况，对未能及时完成的事项，需及时上报采购人，并做好进一步的沟通确认。</w:t>
            </w:r>
          </w:p>
          <w:p w14:paraId="7B0D3222">
            <w:pPr>
              <w:pStyle w:val="14"/>
              <w:spacing w:line="360" w:lineRule="auto"/>
              <w:ind w:firstLine="480" w:firstLineChars="200"/>
              <w:rPr>
                <w:rFonts w:hAnsi="宋体"/>
                <w:color w:val="auto"/>
              </w:rPr>
            </w:pPr>
            <w:r>
              <w:rPr>
                <w:rFonts w:hint="eastAsia" w:hAnsi="宋体"/>
                <w:color w:val="auto"/>
              </w:rPr>
              <w:t>（8）监理总结</w:t>
            </w:r>
          </w:p>
          <w:p w14:paraId="1F34E625">
            <w:pPr>
              <w:pStyle w:val="14"/>
              <w:spacing w:line="360" w:lineRule="auto"/>
              <w:ind w:firstLine="480" w:firstLineChars="200"/>
              <w:rPr>
                <w:rFonts w:hAnsi="宋体"/>
                <w:color w:val="auto"/>
              </w:rPr>
            </w:pPr>
            <w:r>
              <w:rPr>
                <w:rFonts w:hint="eastAsia" w:hAnsi="宋体"/>
                <w:color w:val="auto"/>
              </w:rPr>
              <w:t>①依据项目设计方案、招标文件、投标文件和合同对项目建设过程中的质量、进度、投资、变更等内容进行评定。</w:t>
            </w:r>
          </w:p>
          <w:p w14:paraId="46F19A84">
            <w:pPr>
              <w:pStyle w:val="14"/>
              <w:spacing w:line="360" w:lineRule="auto"/>
              <w:ind w:firstLine="480" w:firstLineChars="200"/>
              <w:rPr>
                <w:rFonts w:hAnsi="宋体"/>
                <w:color w:val="auto"/>
              </w:rPr>
            </w:pPr>
            <w:r>
              <w:rPr>
                <w:rFonts w:hint="eastAsia" w:hAnsi="宋体"/>
                <w:color w:val="auto"/>
              </w:rPr>
              <w:t>②编制项目监理总结报告。</w:t>
            </w:r>
          </w:p>
          <w:p w14:paraId="43F9023D">
            <w:pPr>
              <w:pStyle w:val="14"/>
              <w:spacing w:line="360" w:lineRule="auto"/>
              <w:ind w:firstLine="480" w:firstLineChars="200"/>
              <w:rPr>
                <w:rFonts w:hAnsi="宋体"/>
                <w:color w:val="auto"/>
              </w:rPr>
            </w:pPr>
            <w:r>
              <w:rPr>
                <w:rFonts w:hint="eastAsia" w:hAnsi="宋体"/>
                <w:color w:val="auto"/>
              </w:rPr>
              <w:t>（9）组织验收</w:t>
            </w:r>
          </w:p>
          <w:p w14:paraId="1D6735E1">
            <w:pPr>
              <w:pStyle w:val="14"/>
              <w:spacing w:line="360" w:lineRule="auto"/>
              <w:ind w:firstLine="480" w:firstLineChars="200"/>
              <w:rPr>
                <w:rFonts w:hAnsi="宋体"/>
                <w:color w:val="auto"/>
              </w:rPr>
            </w:pPr>
            <w:r>
              <w:rPr>
                <w:rFonts w:hint="eastAsia" w:hAnsi="宋体"/>
                <w:color w:val="auto"/>
              </w:rPr>
              <w:t>①组织项目初步验收工作，配合采购人完成项目竣工验收。</w:t>
            </w:r>
          </w:p>
          <w:p w14:paraId="1830B97B">
            <w:pPr>
              <w:pStyle w:val="14"/>
              <w:spacing w:line="360" w:lineRule="auto"/>
              <w:ind w:firstLine="480" w:firstLineChars="200"/>
              <w:rPr>
                <w:rFonts w:hAnsi="宋体"/>
                <w:color w:val="auto"/>
              </w:rPr>
            </w:pPr>
            <w:r>
              <w:rPr>
                <w:rFonts w:hint="eastAsia" w:hAnsi="宋体"/>
                <w:color w:val="auto"/>
              </w:rPr>
              <w:t>②督促承建单位准备项目验收PPT，并做好项目系统平台的演示。</w:t>
            </w:r>
          </w:p>
          <w:p w14:paraId="4B9E502E">
            <w:pPr>
              <w:pStyle w:val="14"/>
              <w:spacing w:line="360" w:lineRule="auto"/>
              <w:ind w:firstLine="480" w:firstLineChars="200"/>
              <w:rPr>
                <w:rFonts w:hAnsi="宋体"/>
                <w:color w:val="auto"/>
              </w:rPr>
            </w:pPr>
            <w:r>
              <w:rPr>
                <w:rFonts w:hint="eastAsia" w:hAnsi="宋体"/>
                <w:color w:val="auto"/>
              </w:rPr>
              <w:t>③做好项目验收会的签到准备工作，协助采购人制定验收流程，确定验收会议程。</w:t>
            </w:r>
          </w:p>
          <w:p w14:paraId="7E30DCDB">
            <w:pPr>
              <w:pStyle w:val="14"/>
              <w:spacing w:line="360" w:lineRule="auto"/>
              <w:ind w:firstLine="480" w:firstLineChars="200"/>
              <w:rPr>
                <w:rFonts w:hAnsi="宋体"/>
                <w:color w:val="auto"/>
              </w:rPr>
            </w:pPr>
            <w:r>
              <w:rPr>
                <w:rFonts w:hint="eastAsia" w:hAnsi="宋体"/>
                <w:color w:val="auto"/>
              </w:rPr>
              <w:t>④协助采购人做好项目验收的保障工作。</w:t>
            </w:r>
          </w:p>
          <w:p w14:paraId="3A7008F3">
            <w:pPr>
              <w:pStyle w:val="14"/>
              <w:spacing w:line="360" w:lineRule="auto"/>
              <w:ind w:firstLine="480" w:firstLineChars="200"/>
              <w:rPr>
                <w:rFonts w:hAnsi="宋体"/>
                <w:color w:val="auto"/>
              </w:rPr>
            </w:pPr>
            <w:r>
              <w:rPr>
                <w:rFonts w:hint="eastAsia" w:hAnsi="宋体"/>
                <w:color w:val="auto"/>
              </w:rPr>
              <w:t>⑤记录验收意见，监督承建单位按照验收意见完善项目实施工作。</w:t>
            </w:r>
          </w:p>
          <w:p w14:paraId="47137B74">
            <w:pPr>
              <w:pStyle w:val="14"/>
              <w:spacing w:line="360" w:lineRule="auto"/>
              <w:ind w:firstLine="480" w:firstLineChars="200"/>
              <w:rPr>
                <w:rFonts w:hAnsi="宋体"/>
                <w:color w:val="auto"/>
              </w:rPr>
            </w:pPr>
            <w:r>
              <w:rPr>
                <w:rFonts w:hint="eastAsia" w:hAnsi="宋体"/>
                <w:color w:val="auto"/>
              </w:rPr>
              <w:t>⑥形成项目验收报告。</w:t>
            </w:r>
          </w:p>
          <w:p w14:paraId="1C87A786">
            <w:pPr>
              <w:pStyle w:val="14"/>
              <w:spacing w:line="360" w:lineRule="auto"/>
              <w:ind w:firstLine="480" w:firstLineChars="200"/>
              <w:rPr>
                <w:rFonts w:hAnsi="宋体"/>
                <w:color w:val="auto"/>
              </w:rPr>
            </w:pPr>
            <w:r>
              <w:rPr>
                <w:rFonts w:hint="eastAsia" w:hAnsi="宋体"/>
                <w:color w:val="auto"/>
              </w:rPr>
              <w:t>2.服务成果</w:t>
            </w:r>
          </w:p>
          <w:p w14:paraId="2294295E">
            <w:pPr>
              <w:pStyle w:val="14"/>
              <w:spacing w:line="360" w:lineRule="auto"/>
              <w:ind w:firstLine="480" w:firstLineChars="200"/>
              <w:rPr>
                <w:rFonts w:hAnsi="宋体"/>
                <w:color w:val="auto"/>
              </w:rPr>
            </w:pPr>
            <w:r>
              <w:rPr>
                <w:rFonts w:hint="eastAsia" w:hAnsi="宋体"/>
                <w:color w:val="auto"/>
              </w:rPr>
              <w:t>（1）监理规划；</w:t>
            </w:r>
          </w:p>
          <w:p w14:paraId="54BF4EA0">
            <w:pPr>
              <w:pStyle w:val="14"/>
              <w:spacing w:line="360" w:lineRule="auto"/>
              <w:ind w:firstLine="480" w:firstLineChars="200"/>
              <w:rPr>
                <w:rFonts w:hAnsi="宋体"/>
                <w:color w:val="auto"/>
              </w:rPr>
            </w:pPr>
            <w:r>
              <w:rPr>
                <w:rFonts w:hint="eastAsia" w:hAnsi="宋体"/>
                <w:color w:val="auto"/>
              </w:rPr>
              <w:t>（2）监理实施细则；</w:t>
            </w:r>
          </w:p>
          <w:p w14:paraId="6A285725">
            <w:pPr>
              <w:pStyle w:val="14"/>
              <w:spacing w:line="360" w:lineRule="auto"/>
              <w:ind w:firstLine="480" w:firstLineChars="200"/>
              <w:rPr>
                <w:rFonts w:hAnsi="宋体"/>
                <w:color w:val="auto"/>
              </w:rPr>
            </w:pPr>
            <w:r>
              <w:rPr>
                <w:rFonts w:hint="eastAsia" w:hAnsi="宋体"/>
                <w:color w:val="auto"/>
              </w:rPr>
              <w:t>（3）监理工作联系单；</w:t>
            </w:r>
          </w:p>
          <w:p w14:paraId="1B637CAB">
            <w:pPr>
              <w:pStyle w:val="14"/>
              <w:spacing w:line="360" w:lineRule="auto"/>
              <w:ind w:firstLine="480" w:firstLineChars="200"/>
              <w:rPr>
                <w:rFonts w:hAnsi="宋体"/>
                <w:color w:val="auto"/>
              </w:rPr>
            </w:pPr>
            <w:r>
              <w:rPr>
                <w:rFonts w:hint="eastAsia" w:hAnsi="宋体"/>
                <w:color w:val="auto"/>
              </w:rPr>
              <w:t>（4）监理通知单；</w:t>
            </w:r>
          </w:p>
          <w:p w14:paraId="585848E4">
            <w:pPr>
              <w:pStyle w:val="14"/>
              <w:spacing w:line="360" w:lineRule="auto"/>
              <w:ind w:firstLine="480" w:firstLineChars="200"/>
              <w:rPr>
                <w:rFonts w:hAnsi="宋体"/>
                <w:color w:val="auto"/>
              </w:rPr>
            </w:pPr>
            <w:r>
              <w:rPr>
                <w:rFonts w:hint="eastAsia" w:hAnsi="宋体"/>
                <w:color w:val="auto"/>
              </w:rPr>
              <w:t>（5）会议纪要；</w:t>
            </w:r>
          </w:p>
          <w:p w14:paraId="04EF4F56">
            <w:pPr>
              <w:pStyle w:val="14"/>
              <w:spacing w:line="360" w:lineRule="auto"/>
              <w:ind w:firstLine="480" w:firstLineChars="200"/>
              <w:rPr>
                <w:rFonts w:hAnsi="宋体"/>
                <w:color w:val="auto"/>
              </w:rPr>
            </w:pPr>
            <w:r>
              <w:rPr>
                <w:rFonts w:hint="eastAsia" w:hAnsi="宋体"/>
                <w:color w:val="auto"/>
              </w:rPr>
              <w:t>（6）监理周报/月报；</w:t>
            </w:r>
          </w:p>
          <w:p w14:paraId="0A986EDB">
            <w:pPr>
              <w:pStyle w:val="14"/>
              <w:spacing w:line="360" w:lineRule="auto"/>
              <w:ind w:firstLine="480" w:firstLineChars="200"/>
              <w:rPr>
                <w:rFonts w:hAnsi="宋体"/>
                <w:color w:val="auto"/>
              </w:rPr>
            </w:pPr>
            <w:r>
              <w:rPr>
                <w:rFonts w:hint="eastAsia" w:hAnsi="宋体"/>
                <w:color w:val="auto"/>
              </w:rPr>
              <w:t>（7）监理检查记录；</w:t>
            </w:r>
          </w:p>
          <w:p w14:paraId="0A5C7BFD">
            <w:pPr>
              <w:pStyle w:val="14"/>
              <w:spacing w:line="360" w:lineRule="auto"/>
              <w:ind w:firstLine="480" w:firstLineChars="200"/>
              <w:rPr>
                <w:rFonts w:hAnsi="宋体"/>
                <w:color w:val="auto"/>
              </w:rPr>
            </w:pPr>
            <w:r>
              <w:rPr>
                <w:rFonts w:hint="eastAsia" w:hAnsi="宋体"/>
                <w:color w:val="auto"/>
              </w:rPr>
              <w:t>（8）监理审核意见；</w:t>
            </w:r>
          </w:p>
          <w:p w14:paraId="3A971477">
            <w:pPr>
              <w:pStyle w:val="14"/>
              <w:spacing w:line="360" w:lineRule="auto"/>
              <w:ind w:firstLine="480" w:firstLineChars="200"/>
              <w:rPr>
                <w:rFonts w:hAnsi="宋体"/>
                <w:color w:val="auto"/>
              </w:rPr>
            </w:pPr>
            <w:r>
              <w:rPr>
                <w:rFonts w:hint="eastAsia" w:hAnsi="宋体"/>
                <w:color w:val="auto"/>
              </w:rPr>
              <w:t>（9）监理总结报告；</w:t>
            </w:r>
          </w:p>
          <w:p w14:paraId="30EBEE2D">
            <w:pPr>
              <w:pStyle w:val="14"/>
              <w:spacing w:line="360" w:lineRule="auto"/>
              <w:ind w:firstLine="480" w:firstLineChars="200"/>
              <w:rPr>
                <w:rFonts w:hAnsi="宋体"/>
                <w:color w:val="auto"/>
              </w:rPr>
            </w:pPr>
            <w:r>
              <w:rPr>
                <w:rFonts w:hint="eastAsia" w:hAnsi="宋体"/>
                <w:color w:val="auto"/>
              </w:rPr>
              <w:t>（10）验收意见；</w:t>
            </w:r>
          </w:p>
          <w:p w14:paraId="610693B5">
            <w:pPr>
              <w:pStyle w:val="14"/>
              <w:spacing w:line="360" w:lineRule="auto"/>
              <w:ind w:firstLine="480" w:firstLineChars="200"/>
              <w:rPr>
                <w:rFonts w:hAnsi="宋体"/>
                <w:color w:val="auto"/>
              </w:rPr>
            </w:pPr>
            <w:r>
              <w:rPr>
                <w:rFonts w:hint="eastAsia" w:hAnsi="宋体"/>
                <w:color w:val="auto"/>
              </w:rPr>
              <w:t>（11）验收报告。</w:t>
            </w:r>
          </w:p>
          <w:p w14:paraId="0939BE97">
            <w:pPr>
              <w:pStyle w:val="14"/>
              <w:spacing w:line="360" w:lineRule="auto"/>
              <w:ind w:left="420" w:leftChars="200"/>
              <w:rPr>
                <w:rFonts w:hAnsi="宋体"/>
                <w:b/>
                <w:bCs/>
                <w:color w:val="auto"/>
              </w:rPr>
            </w:pPr>
            <w:r>
              <w:rPr>
                <w:rFonts w:hint="eastAsia" w:hAnsi="宋体"/>
                <w:b/>
                <w:bCs/>
                <w:color w:val="auto"/>
              </w:rPr>
              <w:t>（三）测试（测评/检测）服务</w:t>
            </w:r>
          </w:p>
          <w:p w14:paraId="2F9A873C">
            <w:pPr>
              <w:spacing w:line="360" w:lineRule="auto"/>
              <w:ind w:firstLine="480" w:firstLineChars="200"/>
              <w:rPr>
                <w:rFonts w:ascii="宋体" w:hAnsi="宋体" w:cs="宋体"/>
                <w:sz w:val="24"/>
              </w:rPr>
            </w:pPr>
            <w:r>
              <w:rPr>
                <w:rFonts w:hint="eastAsia" w:ascii="宋体" w:hAnsi="宋体" w:cs="宋体"/>
                <w:sz w:val="24"/>
              </w:rPr>
              <w:t>1.测试规范</w:t>
            </w:r>
          </w:p>
          <w:p w14:paraId="45EF9B05">
            <w:pPr>
              <w:spacing w:line="360" w:lineRule="auto"/>
              <w:ind w:firstLine="480" w:firstLineChars="200"/>
              <w:rPr>
                <w:rFonts w:ascii="宋体" w:hAnsi="宋体" w:cs="宋体"/>
                <w:sz w:val="24"/>
              </w:rPr>
            </w:pPr>
            <w:r>
              <w:rPr>
                <w:rFonts w:hint="eastAsia" w:ascii="宋体" w:hAnsi="宋体" w:cs="宋体"/>
                <w:sz w:val="24"/>
              </w:rPr>
              <w:t>《GB/T25000.51-2016系统与软件工程系统与软件质量要求和评价（SQuaRE）第51部分：就绪可用软件产品（RUSP）的质量要求和测试细则》；</w:t>
            </w:r>
          </w:p>
          <w:p w14:paraId="0D38C679">
            <w:pPr>
              <w:spacing w:line="360" w:lineRule="auto"/>
              <w:ind w:firstLine="480" w:firstLineChars="200"/>
              <w:rPr>
                <w:rFonts w:ascii="宋体" w:hAnsi="宋体" w:cs="宋体"/>
                <w:sz w:val="24"/>
              </w:rPr>
            </w:pPr>
            <w:r>
              <w:rPr>
                <w:rFonts w:hint="eastAsia" w:ascii="宋体" w:hAnsi="宋体" w:cs="宋体"/>
                <w:sz w:val="24"/>
              </w:rPr>
              <w:t>《GB/T 25000.10-2016系统与软件工程系统与软件质量要求和评价（SQuaRE）第10部分：系统与软件质量模型》；</w:t>
            </w:r>
          </w:p>
          <w:p w14:paraId="30DB66FA">
            <w:pPr>
              <w:spacing w:line="360" w:lineRule="auto"/>
              <w:ind w:firstLine="480" w:firstLineChars="200"/>
              <w:rPr>
                <w:rFonts w:ascii="宋体" w:hAnsi="宋体" w:cs="宋体"/>
                <w:sz w:val="24"/>
              </w:rPr>
            </w:pPr>
            <w:r>
              <w:rPr>
                <w:rFonts w:hint="eastAsia" w:ascii="宋体" w:hAnsi="宋体" w:cs="宋体"/>
                <w:sz w:val="24"/>
              </w:rPr>
              <w:t>《GB/T 25000.30-2021系统与软件工程系统与软件质量要求和评价（SQuaRE）第30部分：质量需求框架》等。</w:t>
            </w:r>
          </w:p>
          <w:p w14:paraId="05072190">
            <w:pPr>
              <w:spacing w:line="360" w:lineRule="auto"/>
              <w:ind w:firstLine="480" w:firstLineChars="200"/>
              <w:rPr>
                <w:rFonts w:ascii="宋体" w:hAnsi="宋体" w:cs="宋体"/>
                <w:sz w:val="24"/>
              </w:rPr>
            </w:pPr>
            <w:r>
              <w:rPr>
                <w:rFonts w:hint="eastAsia" w:ascii="宋体" w:hAnsi="宋体" w:cs="宋体"/>
                <w:sz w:val="24"/>
              </w:rPr>
              <w:t>2.测试内容</w:t>
            </w:r>
          </w:p>
          <w:p w14:paraId="0C959231">
            <w:pPr>
              <w:spacing w:line="360" w:lineRule="auto"/>
              <w:ind w:firstLine="480" w:firstLineChars="200"/>
              <w:rPr>
                <w:rFonts w:ascii="宋体" w:hAnsi="宋体" w:cs="宋体"/>
                <w:sz w:val="24"/>
              </w:rPr>
            </w:pPr>
            <w:r>
              <w:rPr>
                <w:rFonts w:hint="eastAsia" w:ascii="宋体" w:hAnsi="宋体" w:cs="宋体"/>
                <w:sz w:val="24"/>
              </w:rPr>
              <w:t>（1）功能性</w:t>
            </w:r>
          </w:p>
          <w:p w14:paraId="095C45EE">
            <w:pPr>
              <w:spacing w:line="360" w:lineRule="auto"/>
              <w:ind w:firstLine="480" w:firstLineChars="200"/>
              <w:rPr>
                <w:rFonts w:ascii="宋体" w:hAnsi="宋体" w:cs="宋体"/>
                <w:sz w:val="24"/>
              </w:rPr>
            </w:pPr>
            <w:r>
              <w:rPr>
                <w:rFonts w:hint="eastAsia" w:ascii="宋体" w:hAnsi="宋体" w:cs="宋体"/>
                <w:sz w:val="24"/>
              </w:rPr>
              <w:t>①安装后，软件的功能是否能完成是可识别的；</w:t>
            </w:r>
          </w:p>
          <w:p w14:paraId="28ABE899">
            <w:pPr>
              <w:spacing w:line="360" w:lineRule="auto"/>
              <w:ind w:firstLine="480" w:firstLineChars="200"/>
              <w:rPr>
                <w:rFonts w:ascii="宋体" w:hAnsi="宋体" w:cs="宋体"/>
                <w:sz w:val="24"/>
              </w:rPr>
            </w:pPr>
            <w:r>
              <w:rPr>
                <w:rFonts w:hint="eastAsia" w:ascii="宋体" w:hAnsi="宋体" w:cs="宋体"/>
                <w:sz w:val="24"/>
              </w:rPr>
              <w:t>②在给定的限制范围内，使用相应的环境设施、器材和数据，用户文档集中所陈述的所有功能应是可执行的；</w:t>
            </w:r>
          </w:p>
          <w:p w14:paraId="4D44E9AE">
            <w:pPr>
              <w:spacing w:line="360" w:lineRule="auto"/>
              <w:ind w:firstLine="480" w:firstLineChars="200"/>
              <w:rPr>
                <w:rFonts w:ascii="宋体" w:hAnsi="宋体" w:cs="宋体"/>
                <w:sz w:val="24"/>
              </w:rPr>
            </w:pPr>
            <w:r>
              <w:rPr>
                <w:rFonts w:hint="eastAsia" w:ascii="宋体" w:hAnsi="宋体" w:cs="宋体"/>
                <w:sz w:val="24"/>
              </w:rPr>
              <w:t>③安装用户文档集中所有的陈述，软件的功能应是可执行的；</w:t>
            </w:r>
          </w:p>
          <w:p w14:paraId="5277B004">
            <w:pPr>
              <w:spacing w:line="360" w:lineRule="auto"/>
              <w:ind w:firstLine="480" w:firstLineChars="200"/>
              <w:rPr>
                <w:rFonts w:ascii="宋体" w:hAnsi="宋体" w:cs="宋体"/>
                <w:sz w:val="24"/>
              </w:rPr>
            </w:pPr>
            <w:r>
              <w:rPr>
                <w:rFonts w:hint="eastAsia" w:ascii="宋体" w:hAnsi="宋体" w:cs="宋体"/>
                <w:sz w:val="24"/>
              </w:rPr>
              <w:t>④软件应符合产品说明所引用的任何需求文档中的全部需求；</w:t>
            </w:r>
          </w:p>
          <w:p w14:paraId="3EEC3E55">
            <w:pPr>
              <w:spacing w:line="360" w:lineRule="auto"/>
              <w:ind w:firstLine="480" w:firstLineChars="200"/>
              <w:rPr>
                <w:rFonts w:ascii="宋体" w:hAnsi="宋体" w:cs="宋体"/>
                <w:sz w:val="24"/>
              </w:rPr>
            </w:pPr>
            <w:r>
              <w:rPr>
                <w:rFonts w:hint="eastAsia" w:ascii="宋体" w:hAnsi="宋体" w:cs="宋体"/>
                <w:sz w:val="24"/>
              </w:rPr>
              <w:t>⑤软件不应自相矛盾，并且不与产品说明和用户文档集矛盾。</w:t>
            </w:r>
          </w:p>
          <w:p w14:paraId="3D22D606">
            <w:pPr>
              <w:spacing w:line="360" w:lineRule="auto"/>
              <w:ind w:firstLine="480" w:firstLineChars="200"/>
              <w:rPr>
                <w:rFonts w:ascii="宋体" w:hAnsi="宋体" w:cs="宋体"/>
                <w:sz w:val="24"/>
              </w:rPr>
            </w:pPr>
            <w:r>
              <w:rPr>
                <w:rFonts w:hint="eastAsia" w:ascii="宋体" w:hAnsi="宋体" w:cs="宋体"/>
                <w:sz w:val="24"/>
              </w:rPr>
              <w:t>（2）易用性</w:t>
            </w:r>
          </w:p>
          <w:p w14:paraId="2C9326F1">
            <w:pPr>
              <w:spacing w:line="360" w:lineRule="auto"/>
              <w:ind w:firstLine="480" w:firstLineChars="200"/>
              <w:rPr>
                <w:rFonts w:ascii="宋体" w:hAnsi="宋体" w:cs="宋体"/>
                <w:sz w:val="24"/>
              </w:rPr>
            </w:pPr>
            <w:r>
              <w:rPr>
                <w:rFonts w:hint="eastAsia" w:ascii="宋体" w:hAnsi="宋体" w:cs="宋体"/>
                <w:sz w:val="24"/>
              </w:rPr>
              <w:t>①有关软件执行的各种问题、消息和结果都应是易理解的；</w:t>
            </w:r>
          </w:p>
          <w:p w14:paraId="632E299C">
            <w:pPr>
              <w:spacing w:line="360" w:lineRule="auto"/>
              <w:ind w:firstLine="480" w:firstLineChars="200"/>
              <w:rPr>
                <w:rFonts w:ascii="宋体" w:hAnsi="宋体" w:cs="宋体"/>
                <w:sz w:val="24"/>
              </w:rPr>
            </w:pPr>
            <w:r>
              <w:rPr>
                <w:rFonts w:hint="eastAsia" w:ascii="宋体" w:hAnsi="宋体" w:cs="宋体"/>
                <w:sz w:val="24"/>
              </w:rPr>
              <w:t>②软件出错消息应指明如何改造差错或要报告差错向谁联系；</w:t>
            </w:r>
          </w:p>
          <w:p w14:paraId="2977E3E8">
            <w:pPr>
              <w:spacing w:line="360" w:lineRule="auto"/>
              <w:ind w:firstLine="480" w:firstLineChars="200"/>
              <w:rPr>
                <w:rFonts w:ascii="宋体" w:hAnsi="宋体" w:cs="宋体"/>
                <w:sz w:val="24"/>
              </w:rPr>
            </w:pPr>
            <w:r>
              <w:rPr>
                <w:rFonts w:hint="eastAsia" w:ascii="宋体" w:hAnsi="宋体" w:cs="宋体"/>
                <w:sz w:val="24"/>
              </w:rPr>
              <w:t>③软件应以最终用户易于理解的形式提供信息；</w:t>
            </w:r>
          </w:p>
          <w:p w14:paraId="209FEFA2">
            <w:pPr>
              <w:spacing w:line="360" w:lineRule="auto"/>
              <w:ind w:firstLine="480" w:firstLineChars="200"/>
              <w:rPr>
                <w:rFonts w:ascii="宋体" w:hAnsi="宋体" w:cs="宋体"/>
                <w:sz w:val="24"/>
              </w:rPr>
            </w:pPr>
            <w:r>
              <w:rPr>
                <w:rFonts w:hint="eastAsia" w:ascii="宋体" w:hAnsi="宋体" w:cs="宋体"/>
                <w:sz w:val="24"/>
              </w:rPr>
              <w:t>④出自软件的消息应设计成使最终用户易于理解的形式；</w:t>
            </w:r>
          </w:p>
          <w:p w14:paraId="3E40F247">
            <w:pPr>
              <w:spacing w:line="360" w:lineRule="auto"/>
              <w:ind w:firstLine="480" w:firstLineChars="200"/>
              <w:rPr>
                <w:rFonts w:ascii="宋体" w:hAnsi="宋体" w:cs="宋体"/>
                <w:sz w:val="24"/>
              </w:rPr>
            </w:pPr>
            <w:r>
              <w:rPr>
                <w:rFonts w:hint="eastAsia" w:ascii="宋体" w:hAnsi="宋体" w:cs="宋体"/>
                <w:sz w:val="24"/>
              </w:rPr>
              <w:t>⑤屏幕输入格式、报表和其他输出对用户来说应是清晰且易于理解的。</w:t>
            </w:r>
          </w:p>
          <w:p w14:paraId="5354D481">
            <w:pPr>
              <w:spacing w:line="360" w:lineRule="auto"/>
              <w:ind w:firstLine="480" w:firstLineChars="200"/>
              <w:rPr>
                <w:rFonts w:ascii="宋体" w:hAnsi="宋体" w:cs="宋体"/>
                <w:sz w:val="24"/>
              </w:rPr>
            </w:pPr>
            <w:r>
              <w:rPr>
                <w:rFonts w:hint="eastAsia" w:ascii="宋体" w:hAnsi="宋体" w:cs="宋体"/>
                <w:sz w:val="24"/>
              </w:rPr>
              <w:t>（3）可靠性</w:t>
            </w:r>
          </w:p>
          <w:p w14:paraId="0730C3A1">
            <w:pPr>
              <w:spacing w:line="360" w:lineRule="auto"/>
              <w:ind w:firstLine="480" w:firstLineChars="200"/>
              <w:rPr>
                <w:rFonts w:ascii="宋体" w:hAnsi="宋体" w:cs="宋体"/>
                <w:sz w:val="24"/>
              </w:rPr>
            </w:pPr>
            <w:r>
              <w:rPr>
                <w:rFonts w:hint="eastAsia" w:ascii="宋体" w:hAnsi="宋体" w:cs="宋体"/>
                <w:sz w:val="24"/>
              </w:rPr>
              <w:t>①与差错处置相关的功能应与产品说明和用户文档中的陈述一致；</w:t>
            </w:r>
          </w:p>
          <w:p w14:paraId="63811983">
            <w:pPr>
              <w:spacing w:line="360" w:lineRule="auto"/>
              <w:ind w:firstLine="480" w:firstLineChars="200"/>
              <w:rPr>
                <w:rFonts w:ascii="宋体" w:hAnsi="宋体" w:cs="宋体"/>
                <w:sz w:val="24"/>
              </w:rPr>
            </w:pPr>
            <w:r>
              <w:rPr>
                <w:rFonts w:hint="eastAsia" w:ascii="宋体" w:hAnsi="宋体" w:cs="宋体"/>
                <w:sz w:val="24"/>
              </w:rPr>
              <w:t>②在用户文档集中陈述的限制范围内使用时，软件不应丢失数据；</w:t>
            </w:r>
          </w:p>
          <w:p w14:paraId="4025B5FC">
            <w:pPr>
              <w:spacing w:line="360" w:lineRule="auto"/>
              <w:ind w:firstLine="480" w:firstLineChars="200"/>
              <w:rPr>
                <w:rFonts w:ascii="宋体" w:hAnsi="宋体" w:cs="宋体"/>
                <w:sz w:val="24"/>
              </w:rPr>
            </w:pPr>
            <w:r>
              <w:rPr>
                <w:rFonts w:hint="eastAsia" w:ascii="宋体" w:hAnsi="宋体" w:cs="宋体"/>
                <w:sz w:val="24"/>
              </w:rPr>
              <w:t>③软件应识别文法句法条件的输入，并且不应作为许可的输入加以处理。</w:t>
            </w:r>
          </w:p>
          <w:p w14:paraId="04A85DFD">
            <w:pPr>
              <w:spacing w:line="360" w:lineRule="auto"/>
              <w:ind w:firstLine="480" w:firstLineChars="200"/>
              <w:rPr>
                <w:rFonts w:ascii="宋体" w:hAnsi="宋体" w:cs="宋体"/>
                <w:sz w:val="24"/>
              </w:rPr>
            </w:pPr>
            <w:r>
              <w:rPr>
                <w:rFonts w:hint="eastAsia" w:ascii="宋体" w:hAnsi="宋体" w:cs="宋体"/>
                <w:sz w:val="24"/>
              </w:rPr>
              <w:t>（4）可移植性</w:t>
            </w:r>
          </w:p>
          <w:p w14:paraId="287AC2D4">
            <w:pPr>
              <w:spacing w:line="360" w:lineRule="auto"/>
              <w:ind w:firstLine="480" w:firstLineChars="200"/>
              <w:rPr>
                <w:rFonts w:ascii="宋体" w:hAnsi="宋体" w:cs="宋体"/>
                <w:sz w:val="24"/>
              </w:rPr>
            </w:pPr>
            <w:r>
              <w:rPr>
                <w:rFonts w:hint="eastAsia" w:ascii="宋体" w:hAnsi="宋体" w:cs="宋体"/>
                <w:sz w:val="24"/>
              </w:rPr>
              <w:t>①如果用户能够实施安装，遵循安装文档中的信息应能成功安装软件；</w:t>
            </w:r>
          </w:p>
          <w:p w14:paraId="3D1B850A">
            <w:pPr>
              <w:spacing w:line="360" w:lineRule="auto"/>
              <w:ind w:firstLine="480" w:firstLineChars="200"/>
              <w:rPr>
                <w:rFonts w:ascii="宋体" w:hAnsi="宋体" w:cs="宋体"/>
                <w:sz w:val="24"/>
              </w:rPr>
            </w:pPr>
            <w:r>
              <w:rPr>
                <w:rFonts w:hint="eastAsia" w:ascii="宋体" w:hAnsi="宋体" w:cs="宋体"/>
                <w:sz w:val="24"/>
              </w:rPr>
              <w:t>②对于软件应用程序的成功安装，应就产品说明中列出的所有支持平台和系统加以验证；</w:t>
            </w:r>
          </w:p>
          <w:p w14:paraId="58FA64FB">
            <w:pPr>
              <w:spacing w:line="360" w:lineRule="auto"/>
              <w:ind w:firstLine="480" w:firstLineChars="200"/>
              <w:rPr>
                <w:rFonts w:ascii="宋体" w:hAnsi="宋体" w:cs="宋体"/>
                <w:sz w:val="24"/>
              </w:rPr>
            </w:pPr>
            <w:r>
              <w:rPr>
                <w:rFonts w:hint="eastAsia" w:ascii="宋体" w:hAnsi="宋体" w:cs="宋体"/>
                <w:sz w:val="24"/>
              </w:rPr>
              <w:t>③软件应向用户提供移去或卸载所有已安装的部件的方法。</w:t>
            </w:r>
          </w:p>
          <w:p w14:paraId="4DF4710F">
            <w:pPr>
              <w:spacing w:line="360" w:lineRule="auto"/>
              <w:ind w:firstLine="480" w:firstLineChars="200"/>
              <w:rPr>
                <w:rFonts w:ascii="宋体" w:hAnsi="宋体" w:cs="宋体"/>
                <w:sz w:val="24"/>
              </w:rPr>
            </w:pPr>
            <w:r>
              <w:rPr>
                <w:rFonts w:hint="eastAsia" w:ascii="宋体" w:hAnsi="宋体" w:cs="宋体"/>
                <w:sz w:val="24"/>
              </w:rPr>
              <w:t>（5）效率</w:t>
            </w:r>
          </w:p>
          <w:p w14:paraId="33B44A78">
            <w:pPr>
              <w:spacing w:line="360" w:lineRule="auto"/>
              <w:ind w:firstLine="480" w:firstLineChars="200"/>
              <w:rPr>
                <w:rFonts w:ascii="宋体" w:hAnsi="宋体" w:cs="宋体"/>
                <w:sz w:val="24"/>
              </w:rPr>
            </w:pPr>
            <w:r>
              <w:rPr>
                <w:rFonts w:hint="eastAsia" w:ascii="宋体" w:hAnsi="宋体" w:cs="宋体"/>
                <w:sz w:val="24"/>
              </w:rPr>
              <w:t>遵循用户文档中有关时间特性的说明，若没有说明则应满足一般用户的需求。</w:t>
            </w:r>
          </w:p>
          <w:p w14:paraId="15396071">
            <w:pPr>
              <w:spacing w:line="360" w:lineRule="auto"/>
              <w:ind w:firstLine="480" w:firstLineChars="200"/>
              <w:rPr>
                <w:rFonts w:ascii="宋体" w:hAnsi="宋体" w:cs="宋体"/>
                <w:sz w:val="24"/>
              </w:rPr>
            </w:pPr>
            <w:r>
              <w:rPr>
                <w:rFonts w:hint="eastAsia" w:ascii="宋体" w:hAnsi="宋体" w:cs="宋体"/>
                <w:sz w:val="24"/>
              </w:rPr>
              <w:t>3.服务成果</w:t>
            </w:r>
          </w:p>
          <w:p w14:paraId="502FFED7">
            <w:pPr>
              <w:spacing w:line="360" w:lineRule="auto"/>
              <w:ind w:firstLine="480" w:firstLineChars="200"/>
              <w:rPr>
                <w:rFonts w:ascii="宋体" w:hAnsi="宋体" w:cs="宋体"/>
                <w:sz w:val="24"/>
              </w:rPr>
            </w:pPr>
            <w:r>
              <w:rPr>
                <w:rFonts w:hint="eastAsia" w:ascii="宋体" w:hAnsi="宋体" w:cs="宋体"/>
                <w:sz w:val="24"/>
              </w:rPr>
              <w:t>出具符合国家规范、行业标准的第三方软件测试报告。</w:t>
            </w:r>
          </w:p>
          <w:p w14:paraId="0E33E6BE">
            <w:pPr>
              <w:spacing w:line="360" w:lineRule="auto"/>
              <w:ind w:firstLine="482" w:firstLineChars="200"/>
              <w:rPr>
                <w:rFonts w:ascii="宋体" w:hAnsi="宋体" w:cs="宋体"/>
                <w:b/>
                <w:bCs/>
                <w:sz w:val="24"/>
              </w:rPr>
            </w:pPr>
            <w:r>
              <w:rPr>
                <w:rFonts w:hint="eastAsia" w:ascii="宋体" w:hAnsi="宋体" w:cs="宋体"/>
                <w:b/>
                <w:bCs/>
                <w:sz w:val="24"/>
              </w:rPr>
              <w:t>（四）网络安全等级保护测评服务</w:t>
            </w:r>
          </w:p>
          <w:p w14:paraId="6BC30EEC">
            <w:pPr>
              <w:widowControl/>
              <w:spacing w:line="360" w:lineRule="auto"/>
              <w:ind w:firstLine="480" w:firstLineChars="200"/>
              <w:jc w:val="left"/>
              <w:rPr>
                <w:rFonts w:ascii="宋体" w:hAnsi="宋体" w:cs="宋体"/>
                <w:sz w:val="24"/>
              </w:rPr>
            </w:pPr>
            <w:r>
              <w:rPr>
                <w:rFonts w:hint="eastAsia" w:ascii="宋体" w:hAnsi="宋体" w:cs="宋体"/>
                <w:sz w:val="24"/>
              </w:rPr>
              <w:t>依据国家网络安全等级保护制度规定，按照有关规范和技术标准，对信息系统安全等级保护情况进行检测评估，并由具备网络安全等级测评与检测评估机构服务认证证书的服务机构出具符合主管部门要求的测评报告。</w:t>
            </w:r>
          </w:p>
          <w:p w14:paraId="77D07E8B">
            <w:pPr>
              <w:spacing w:line="360" w:lineRule="auto"/>
              <w:ind w:firstLine="480" w:firstLineChars="200"/>
              <w:rPr>
                <w:rFonts w:ascii="宋体" w:hAnsi="宋体" w:cs="宋体"/>
                <w:sz w:val="24"/>
              </w:rPr>
            </w:pPr>
            <w:r>
              <w:rPr>
                <w:rFonts w:hint="eastAsia" w:ascii="宋体" w:hAnsi="宋体" w:cs="宋体"/>
                <w:sz w:val="24"/>
              </w:rPr>
              <w:t>1．服务依据标准</w:t>
            </w:r>
          </w:p>
          <w:p w14:paraId="3B557112">
            <w:pPr>
              <w:pStyle w:val="14"/>
              <w:spacing w:line="360" w:lineRule="auto"/>
              <w:ind w:firstLine="480" w:firstLineChars="200"/>
              <w:rPr>
                <w:rFonts w:hAnsi="宋体"/>
                <w:color w:val="auto"/>
              </w:rPr>
            </w:pPr>
            <w:r>
              <w:rPr>
                <w:rFonts w:hint="eastAsia" w:hAnsi="宋体"/>
                <w:color w:val="auto"/>
              </w:rPr>
              <w:t>《计算机信息系统安全保护等级划分准则》（GB 17859-1999)</w:t>
            </w:r>
          </w:p>
          <w:p w14:paraId="285815EB">
            <w:pPr>
              <w:pStyle w:val="14"/>
              <w:spacing w:line="360" w:lineRule="auto"/>
              <w:ind w:firstLine="480" w:firstLineChars="200"/>
              <w:rPr>
                <w:rFonts w:hAnsi="宋体"/>
                <w:color w:val="auto"/>
              </w:rPr>
            </w:pPr>
            <w:r>
              <w:rPr>
                <w:rFonts w:hint="eastAsia" w:hAnsi="宋体"/>
                <w:color w:val="auto"/>
              </w:rPr>
              <w:t>《信息安全等级保护管理办法》（公通字[2007]43号）</w:t>
            </w:r>
          </w:p>
          <w:p w14:paraId="10654BF9">
            <w:pPr>
              <w:spacing w:line="360" w:lineRule="auto"/>
              <w:ind w:firstLine="480" w:firstLineChars="200"/>
              <w:rPr>
                <w:rFonts w:ascii="宋体" w:hAnsi="宋体" w:cs="宋体"/>
                <w:sz w:val="24"/>
              </w:rPr>
            </w:pPr>
            <w:r>
              <w:rPr>
                <w:rFonts w:hint="eastAsia" w:ascii="宋体" w:hAnsi="宋体" w:cs="宋体"/>
                <w:sz w:val="24"/>
              </w:rPr>
              <w:t>《信息安全技术 网络安全等级保护定级指南》（GB/22240-2020）</w:t>
            </w:r>
          </w:p>
          <w:p w14:paraId="39918987">
            <w:pPr>
              <w:spacing w:line="360" w:lineRule="auto"/>
              <w:ind w:firstLine="480" w:firstLineChars="200"/>
              <w:rPr>
                <w:rFonts w:ascii="宋体" w:hAnsi="宋体" w:cs="宋体"/>
                <w:sz w:val="24"/>
              </w:rPr>
            </w:pPr>
            <w:r>
              <w:rPr>
                <w:rFonts w:hint="eastAsia" w:ascii="宋体" w:hAnsi="宋体" w:cs="宋体"/>
                <w:sz w:val="24"/>
              </w:rPr>
              <w:t>《信息安全技术 网络安全等级保护基本要求》（GB/T22239-2019）</w:t>
            </w:r>
          </w:p>
          <w:p w14:paraId="2F9FAAD5">
            <w:pPr>
              <w:spacing w:line="360" w:lineRule="auto"/>
              <w:ind w:firstLine="480" w:firstLineChars="200"/>
              <w:rPr>
                <w:rFonts w:ascii="宋体" w:hAnsi="宋体" w:cs="宋体"/>
                <w:sz w:val="24"/>
              </w:rPr>
            </w:pPr>
            <w:r>
              <w:rPr>
                <w:rFonts w:hint="eastAsia" w:ascii="宋体" w:hAnsi="宋体" w:cs="宋体"/>
                <w:sz w:val="24"/>
              </w:rPr>
              <w:t>《信息安全技术 网络安全等级保护测评要求》（GB/T28448-2019）</w:t>
            </w:r>
          </w:p>
          <w:p w14:paraId="49D15FC7">
            <w:pPr>
              <w:spacing w:line="360" w:lineRule="auto"/>
              <w:ind w:firstLine="480" w:firstLineChars="200"/>
              <w:rPr>
                <w:rFonts w:ascii="宋体" w:hAnsi="宋体" w:cs="宋体"/>
                <w:sz w:val="24"/>
              </w:rPr>
            </w:pPr>
            <w:r>
              <w:rPr>
                <w:rFonts w:hint="eastAsia" w:ascii="宋体" w:hAnsi="宋体" w:cs="宋体"/>
                <w:sz w:val="24"/>
              </w:rPr>
              <w:t>《信息安全技术 网络安全等级保护测评过程指南》（GB/T28449-2018)</w:t>
            </w:r>
          </w:p>
          <w:p w14:paraId="50DF7D56">
            <w:pPr>
              <w:spacing w:line="360" w:lineRule="auto"/>
              <w:ind w:firstLine="480" w:firstLineChars="200"/>
              <w:rPr>
                <w:rFonts w:ascii="宋体" w:hAnsi="宋体" w:cs="宋体"/>
                <w:sz w:val="24"/>
              </w:rPr>
            </w:pPr>
            <w:r>
              <w:rPr>
                <w:rFonts w:hint="eastAsia" w:ascii="宋体" w:hAnsi="宋体" w:cs="宋体"/>
                <w:sz w:val="24"/>
              </w:rPr>
              <w:t>《信息安全技术 网络安全等级保护设计技术要求》（GB/T25070-2019）</w:t>
            </w:r>
          </w:p>
          <w:p w14:paraId="271392FD">
            <w:pPr>
              <w:spacing w:line="360" w:lineRule="auto"/>
              <w:ind w:firstLine="480" w:firstLineChars="200"/>
              <w:rPr>
                <w:rFonts w:ascii="宋体" w:hAnsi="宋体" w:cs="宋体"/>
                <w:sz w:val="24"/>
              </w:rPr>
            </w:pPr>
            <w:r>
              <w:rPr>
                <w:rFonts w:hint="eastAsia" w:ascii="宋体" w:hAnsi="宋体" w:cs="宋体"/>
                <w:sz w:val="24"/>
              </w:rPr>
              <w:t>《信息安全技术 网络安全等级保护测试评估技术指南》（GB/T36627-2018）</w:t>
            </w:r>
          </w:p>
          <w:p w14:paraId="0074330A">
            <w:pPr>
              <w:spacing w:line="360" w:lineRule="auto"/>
              <w:ind w:firstLine="480" w:firstLineChars="200"/>
              <w:rPr>
                <w:rFonts w:ascii="宋体" w:hAnsi="宋体" w:cs="宋体"/>
                <w:sz w:val="24"/>
              </w:rPr>
            </w:pPr>
            <w:r>
              <w:rPr>
                <w:rFonts w:hint="eastAsia" w:ascii="宋体" w:hAnsi="宋体" w:cs="宋体"/>
                <w:sz w:val="24"/>
              </w:rPr>
              <w:t>2.服务要求</w:t>
            </w:r>
          </w:p>
          <w:p w14:paraId="5FCBDB42">
            <w:pPr>
              <w:pStyle w:val="14"/>
              <w:spacing w:line="360" w:lineRule="auto"/>
              <w:ind w:firstLine="480" w:firstLineChars="200"/>
              <w:rPr>
                <w:rFonts w:hAnsi="宋体"/>
                <w:color w:val="auto"/>
              </w:rPr>
            </w:pPr>
            <w:r>
              <w:rPr>
                <w:rFonts w:hint="eastAsia" w:hAnsi="宋体"/>
                <w:color w:val="auto"/>
              </w:rPr>
              <w:t>安全等级测评内容应包括技术和管理两大类，必要时需提供扩展方面的测评，其中包括：</w:t>
            </w:r>
          </w:p>
          <w:p w14:paraId="7979C4EA">
            <w:pPr>
              <w:pStyle w:val="14"/>
              <w:spacing w:line="360" w:lineRule="auto"/>
              <w:ind w:firstLine="480" w:firstLineChars="200"/>
              <w:rPr>
                <w:rFonts w:hAnsi="宋体"/>
                <w:color w:val="auto"/>
              </w:rPr>
            </w:pPr>
            <w:r>
              <w:rPr>
                <w:rFonts w:hint="eastAsia" w:hAnsi="宋体"/>
                <w:color w:val="auto"/>
              </w:rPr>
              <w:t>（1）技术类测评</w:t>
            </w:r>
          </w:p>
          <w:p w14:paraId="289FA20B">
            <w:pPr>
              <w:pStyle w:val="14"/>
              <w:spacing w:line="360" w:lineRule="auto"/>
              <w:ind w:firstLine="480" w:firstLineChars="200"/>
              <w:rPr>
                <w:rFonts w:hAnsi="宋体"/>
                <w:color w:val="auto"/>
              </w:rPr>
            </w:pPr>
            <w:r>
              <w:rPr>
                <w:rFonts w:hint="eastAsia" w:hAnsi="宋体"/>
                <w:color w:val="auto"/>
              </w:rPr>
              <w:t>①安全物理环境（物理位置选择、物理访问控制、防盗窃和防破坏、防雷击、防火、防水和防潮、防静电、温湿度控制、电力供应、电磁防护）；</w:t>
            </w:r>
          </w:p>
          <w:p w14:paraId="6542870D">
            <w:pPr>
              <w:pStyle w:val="14"/>
              <w:spacing w:line="360" w:lineRule="auto"/>
              <w:ind w:firstLine="480" w:firstLineChars="200"/>
              <w:rPr>
                <w:rFonts w:hAnsi="宋体"/>
                <w:color w:val="auto"/>
              </w:rPr>
            </w:pPr>
            <w:r>
              <w:rPr>
                <w:rFonts w:hint="eastAsia" w:hAnsi="宋体"/>
                <w:color w:val="auto"/>
              </w:rPr>
              <w:t>②安全通信网络（网络架构、通信传输、可信验证）；</w:t>
            </w:r>
          </w:p>
          <w:p w14:paraId="0B0FB6FC">
            <w:pPr>
              <w:pStyle w:val="14"/>
              <w:spacing w:line="360" w:lineRule="auto"/>
              <w:ind w:firstLine="480" w:firstLineChars="200"/>
              <w:rPr>
                <w:rFonts w:hAnsi="宋体"/>
                <w:color w:val="auto"/>
              </w:rPr>
            </w:pPr>
            <w:r>
              <w:rPr>
                <w:rFonts w:hint="eastAsia" w:hAnsi="宋体"/>
                <w:color w:val="auto"/>
              </w:rPr>
              <w:t>③安全区域边界（边界防护、访问控制、入侵防范、恶意代码和垃圾邮件防范、安全审计、可信验证）；</w:t>
            </w:r>
          </w:p>
          <w:p w14:paraId="6F7652DD">
            <w:pPr>
              <w:pStyle w:val="14"/>
              <w:spacing w:line="360" w:lineRule="auto"/>
              <w:ind w:firstLine="480" w:firstLineChars="200"/>
              <w:rPr>
                <w:rFonts w:hAnsi="宋体"/>
                <w:color w:val="auto"/>
              </w:rPr>
            </w:pPr>
            <w:r>
              <w:rPr>
                <w:rFonts w:hint="eastAsia" w:hAnsi="宋体"/>
                <w:color w:val="auto"/>
              </w:rPr>
              <w:t>④安全计算环境（身份鉴别、访问控制、安全审计、入侵防范、恶意代码防范、可信验证、数据完整性、数据保密性、数据备份恢复、剩余信息保护、个人信息保护）；</w:t>
            </w:r>
          </w:p>
          <w:p w14:paraId="3C401DE1">
            <w:pPr>
              <w:pStyle w:val="14"/>
              <w:spacing w:line="360" w:lineRule="auto"/>
              <w:ind w:firstLine="480" w:firstLineChars="200"/>
              <w:rPr>
                <w:rFonts w:hAnsi="宋体"/>
                <w:color w:val="auto"/>
              </w:rPr>
            </w:pPr>
            <w:r>
              <w:rPr>
                <w:rFonts w:hint="eastAsia" w:hAnsi="宋体"/>
                <w:color w:val="auto"/>
              </w:rPr>
              <w:t>⑤安全管理中心（系统管理、审计管理、安全管理、集中管控）；</w:t>
            </w:r>
          </w:p>
          <w:p w14:paraId="5D839071">
            <w:pPr>
              <w:spacing w:line="360" w:lineRule="auto"/>
              <w:ind w:firstLine="480" w:firstLineChars="200"/>
              <w:rPr>
                <w:rFonts w:ascii="宋体" w:hAnsi="宋体" w:cs="宋体"/>
                <w:sz w:val="24"/>
              </w:rPr>
            </w:pPr>
            <w:r>
              <w:rPr>
                <w:rFonts w:hint="eastAsia" w:ascii="宋体" w:hAnsi="宋体" w:cs="宋体"/>
                <w:sz w:val="24"/>
              </w:rPr>
              <w:t xml:space="preserve">（2）管理类测评 </w:t>
            </w:r>
          </w:p>
          <w:p w14:paraId="4461E880">
            <w:pPr>
              <w:spacing w:line="360" w:lineRule="auto"/>
              <w:ind w:firstLine="480" w:firstLineChars="200"/>
              <w:rPr>
                <w:rFonts w:ascii="宋体" w:hAnsi="宋体" w:cs="宋体"/>
                <w:sz w:val="24"/>
              </w:rPr>
            </w:pPr>
            <w:r>
              <w:rPr>
                <w:rFonts w:hint="eastAsia" w:ascii="宋体" w:hAnsi="宋体" w:cs="宋体"/>
                <w:sz w:val="24"/>
              </w:rPr>
              <w:t>①安全管理制度（安全策略、管理制度、制度和发布、评审和修订）；</w:t>
            </w:r>
          </w:p>
          <w:p w14:paraId="32405BE5">
            <w:pPr>
              <w:spacing w:line="360" w:lineRule="auto"/>
              <w:ind w:firstLine="480" w:firstLineChars="200"/>
              <w:rPr>
                <w:rFonts w:ascii="宋体" w:hAnsi="宋体" w:cs="宋体"/>
                <w:sz w:val="24"/>
              </w:rPr>
            </w:pPr>
            <w:r>
              <w:rPr>
                <w:rFonts w:hint="eastAsia" w:ascii="宋体" w:hAnsi="宋体" w:cs="宋体"/>
                <w:sz w:val="24"/>
              </w:rPr>
              <w:t>②安全管理机构（岗位设置、人员配备、授权和审批、沟通和合作、审核和检查）；</w:t>
            </w:r>
          </w:p>
          <w:p w14:paraId="2569909B">
            <w:pPr>
              <w:spacing w:line="360" w:lineRule="auto"/>
              <w:ind w:firstLine="480" w:firstLineChars="200"/>
              <w:rPr>
                <w:rFonts w:ascii="宋体" w:hAnsi="宋体" w:cs="宋体"/>
                <w:sz w:val="24"/>
              </w:rPr>
            </w:pPr>
            <w:r>
              <w:rPr>
                <w:rFonts w:hint="eastAsia" w:ascii="宋体" w:hAnsi="宋体" w:cs="宋体"/>
                <w:sz w:val="24"/>
              </w:rPr>
              <w:t>③安全管理人员（人员录用、人员离岗、安全意识教育和培训、外部人员访问管理）；</w:t>
            </w:r>
          </w:p>
          <w:p w14:paraId="31B90A7C">
            <w:pPr>
              <w:spacing w:line="360" w:lineRule="auto"/>
              <w:ind w:firstLine="480" w:firstLineChars="200"/>
              <w:rPr>
                <w:rFonts w:ascii="宋体" w:hAnsi="宋体" w:cs="宋体"/>
                <w:sz w:val="24"/>
              </w:rPr>
            </w:pPr>
            <w:r>
              <w:rPr>
                <w:rFonts w:hint="eastAsia" w:ascii="宋体" w:hAnsi="宋体" w:cs="宋体"/>
                <w:sz w:val="24"/>
              </w:rPr>
              <w:t>④安全建设管理（定级和备份、安全方案设计、产品采购和使用、自行软件开发、外包软件开发、工程实施、测试验收、系统交付、等级测评、服务供应商选择）；</w:t>
            </w:r>
          </w:p>
          <w:p w14:paraId="5632D4E5">
            <w:pPr>
              <w:spacing w:line="360" w:lineRule="auto"/>
              <w:ind w:firstLine="480" w:firstLineChars="200"/>
              <w:rPr>
                <w:rFonts w:ascii="宋体" w:hAnsi="宋体" w:cs="宋体"/>
                <w:sz w:val="24"/>
              </w:rPr>
            </w:pPr>
            <w:r>
              <w:rPr>
                <w:rFonts w:hint="eastAsia" w:ascii="宋体" w:hAnsi="宋体" w:cs="宋体"/>
                <w:sz w:val="24"/>
              </w:rPr>
              <w:t>⑤安全运维管理（环境管理、资产管理、介质管理、设备维护管理、漏洞和风险管理、网络和系统安全管理、恶意代码防范管理、配置管理、密码管理、变更管理、备份与恢复管理、安全事件处置、应急预案管理、外包运维管理）。</w:t>
            </w:r>
          </w:p>
          <w:p w14:paraId="7E8443CE">
            <w:pPr>
              <w:pStyle w:val="14"/>
              <w:numPr>
                <w:ilvl w:val="0"/>
                <w:numId w:val="3"/>
              </w:numPr>
              <w:spacing w:line="360" w:lineRule="auto"/>
              <w:ind w:firstLine="480" w:firstLineChars="200"/>
              <w:rPr>
                <w:rFonts w:hAnsi="宋体"/>
                <w:color w:val="auto"/>
              </w:rPr>
            </w:pPr>
            <w:r>
              <w:rPr>
                <w:rFonts w:hint="eastAsia" w:hAnsi="宋体"/>
                <w:color w:val="auto"/>
              </w:rPr>
              <w:t>服务成果</w:t>
            </w:r>
          </w:p>
          <w:p w14:paraId="527A731D">
            <w:pPr>
              <w:spacing w:line="360" w:lineRule="auto"/>
              <w:ind w:firstLine="480" w:firstLineChars="200"/>
              <w:rPr>
                <w:rFonts w:ascii="宋体" w:hAnsi="宋体" w:cs="宋体"/>
                <w:sz w:val="24"/>
              </w:rPr>
            </w:pPr>
            <w:r>
              <w:rPr>
                <w:rFonts w:hint="eastAsia" w:ascii="宋体" w:hAnsi="宋体" w:cs="宋体"/>
                <w:sz w:val="24"/>
              </w:rPr>
              <w:t>测评工作完成后，提供符合主管部门认可的信息系统安全等级测评报告。</w:t>
            </w:r>
          </w:p>
          <w:p w14:paraId="702FC992">
            <w:pPr>
              <w:spacing w:line="360" w:lineRule="auto"/>
              <w:ind w:firstLine="482" w:firstLineChars="200"/>
              <w:rPr>
                <w:rFonts w:ascii="宋体" w:hAnsi="宋体" w:cs="宋体"/>
                <w:b/>
                <w:bCs/>
                <w:sz w:val="24"/>
              </w:rPr>
            </w:pPr>
            <w:r>
              <w:rPr>
                <w:rFonts w:hint="eastAsia" w:ascii="宋体" w:hAnsi="宋体" w:cs="宋体"/>
                <w:b/>
                <w:bCs/>
                <w:sz w:val="24"/>
              </w:rPr>
              <w:t>（五）商用密码应用安全性评估及密改服务</w:t>
            </w:r>
          </w:p>
          <w:p w14:paraId="65D9D8D5">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1.测评依据</w:t>
            </w:r>
          </w:p>
          <w:p w14:paraId="0B824ABA">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《中华人民共和国网络安全法》</w:t>
            </w:r>
          </w:p>
          <w:p w14:paraId="740DFEE6">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《中华人民共和国密码法》</w:t>
            </w:r>
          </w:p>
          <w:p w14:paraId="784257A0">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《计算机信息系统 安全保护等级划分准则》GB 17859-1999</w:t>
            </w:r>
          </w:p>
          <w:p w14:paraId="47C5F065">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《信息安全技术 信息系统密码应用基本要求》GB/T 39786-2021</w:t>
            </w:r>
          </w:p>
          <w:p w14:paraId="762ACFC0">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《信息系统密码应用测评要求》GM/T 0115-2021</w:t>
            </w:r>
          </w:p>
          <w:p w14:paraId="3EB8CA8B">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《信息系统密码应用测评过程指南》GM/T 0116-2021</w:t>
            </w:r>
          </w:p>
          <w:p w14:paraId="29FBEFF5">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《政务信息系统密码应用与安全性评估工作指南》（2020年版）</w:t>
            </w:r>
          </w:p>
          <w:p w14:paraId="21FB8873">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《信息系统密码应用高风险判定指引》</w:t>
            </w:r>
          </w:p>
          <w:p w14:paraId="3D6D0CA8">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《商用密码应用安全性评估量化评估规则》</w:t>
            </w:r>
          </w:p>
          <w:p w14:paraId="03E5165A">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《国家政务信息化项目建设管理办法》</w:t>
            </w:r>
          </w:p>
          <w:p w14:paraId="1BE069C4">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如有最新规定按最新规定执行。</w:t>
            </w:r>
          </w:p>
          <w:p w14:paraId="5C72393E">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2.测评内容及要求</w:t>
            </w:r>
          </w:p>
          <w:p w14:paraId="3DC313C8">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依据国家及自治区相关主管部门的要求对系统商用密码应用安全性进行评估，协助采购人完成相关备案工作。</w:t>
            </w:r>
          </w:p>
          <w:p w14:paraId="633A5186">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1）系统评估，及时发现系统脆弱性，识别变化的风险，了解系统安全状况。对照密码应用方案对系统开展评估。根据被评估对象的实际情况、所属行业及系统使用的密码产品情况，选择并确定测评依据。在系统真实环境下进行测评，以评估密码保障是否安全有效，密码使用是否合规、正确、有效。并通过测评发现系统存在的安全隐患和风险，提出可行性完善建议。</w:t>
            </w:r>
          </w:p>
          <w:p w14:paraId="19D7E457">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2）密码技术应用测评：物理和环境安全密码测评、网络和通信安全密码测评、设备和计算安全密码测评、应用和数据安全密码测评。测评验证不同安全等级信息系统的商用密码应用是否达到具有相应安全等级的安全保护能力，是否满足相应安全等级的保护要求。</w:t>
            </w:r>
          </w:p>
          <w:p w14:paraId="2320C175">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（3）安全管理测评：对管理制度、人员管理、建设运行和应急等四个方面安全管理的测评，并协助完善商用密码应用安全性管理制度，协助完善密码相关系统运维管理制度。</w:t>
            </w:r>
          </w:p>
          <w:p w14:paraId="33E90DF7">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（4）出具密码应用安全评估报告：针对被评估系统编制密码应用安全性评估报告，报告按照国家密码管理局要求包含的内容编制或参考模板编制。</w:t>
            </w:r>
          </w:p>
          <w:p w14:paraId="011FA4DC">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3.服务成果</w:t>
            </w:r>
          </w:p>
          <w:p w14:paraId="472B1C39">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测评工作完成后，提供符合主管部门认可的商用密码应用安全性评估报告。</w:t>
            </w:r>
          </w:p>
          <w:p w14:paraId="137F054F">
            <w:pPr>
              <w:widowControl/>
              <w:spacing w:line="360" w:lineRule="auto"/>
              <w:ind w:firstLine="480" w:firstLineChars="200"/>
              <w:jc w:val="left"/>
              <w:rPr>
                <w:rFonts w:ascii="宋体" w:hAnsi="宋体" w:cs="宋体"/>
                <w:sz w:val="24"/>
              </w:rPr>
            </w:pPr>
            <w:r>
              <w:rPr>
                <w:rFonts w:hint="eastAsia" w:ascii="宋体" w:hAnsi="宋体" w:cs="宋体"/>
                <w:sz w:val="24"/>
              </w:rPr>
              <w:t>4.应用系统密改服务</w:t>
            </w:r>
          </w:p>
          <w:p w14:paraId="6F429DA4">
            <w:pPr>
              <w:spacing w:line="360" w:lineRule="auto"/>
              <w:ind w:left="420" w:leftChars="200"/>
              <w:rPr>
                <w:rFonts w:ascii="宋体" w:hAnsi="宋体" w:cs="宋体"/>
                <w:b/>
                <w:bCs/>
                <w:sz w:val="24"/>
              </w:rPr>
            </w:pPr>
            <w:r>
              <w:rPr>
                <w:rFonts w:hint="eastAsia" w:ascii="宋体" w:hAnsi="宋体" w:cs="宋体"/>
                <w:b/>
                <w:bCs/>
                <w:sz w:val="24"/>
              </w:rPr>
              <w:t>三、报价要求</w:t>
            </w:r>
          </w:p>
          <w:p w14:paraId="7133F769">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1.</w:t>
            </w:r>
            <w:r>
              <w:rPr>
                <w:rFonts w:ascii="宋体" w:hAnsi="宋体" w:cs="宋体"/>
                <w:sz w:val="24"/>
              </w:rPr>
              <w:t>供应商对</w:t>
            </w:r>
            <w:r>
              <w:rPr>
                <w:rFonts w:hint="eastAsia" w:ascii="宋体" w:hAnsi="宋体" w:cs="宋体"/>
                <w:sz w:val="24"/>
              </w:rPr>
              <w:t>全过程</w:t>
            </w:r>
            <w:r>
              <w:rPr>
                <w:rFonts w:ascii="宋体" w:hAnsi="宋体" w:cs="宋体"/>
                <w:sz w:val="24"/>
              </w:rPr>
              <w:t>咨询服务进行唯一的</w:t>
            </w:r>
            <w:r>
              <w:rPr>
                <w:rFonts w:hint="eastAsia" w:ascii="宋体" w:hAnsi="宋体" w:cs="宋体"/>
                <w:sz w:val="24"/>
              </w:rPr>
              <w:t>折扣</w:t>
            </w:r>
            <w:r>
              <w:rPr>
                <w:rFonts w:ascii="宋体" w:hAnsi="宋体" w:cs="宋体"/>
                <w:sz w:val="24"/>
              </w:rPr>
              <w:t>率报价，实际的咨询服务费=供应商所报的</w:t>
            </w:r>
            <w:r>
              <w:rPr>
                <w:rFonts w:hint="eastAsia" w:ascii="宋体" w:hAnsi="宋体" w:cs="宋体"/>
                <w:sz w:val="24"/>
              </w:rPr>
              <w:t>折扣</w:t>
            </w:r>
            <w:r>
              <w:rPr>
                <w:rFonts w:ascii="宋体" w:hAnsi="宋体" w:cs="宋体"/>
                <w:sz w:val="24"/>
              </w:rPr>
              <w:t>率×相对应的服务费收费基价，服务费收费基价按《关于印发广西壮族自治区本级政务信息化建设和运维项目预算支出标准的通知》（桂财建〔2023〕102号）收费标准执行</w:t>
            </w:r>
            <w:r>
              <w:rPr>
                <w:rFonts w:hint="eastAsia" w:ascii="宋体" w:hAnsi="宋体" w:cs="宋体"/>
                <w:sz w:val="24"/>
              </w:rPr>
              <w:t>，最终</w:t>
            </w:r>
            <w:r>
              <w:rPr>
                <w:rFonts w:ascii="宋体" w:hAnsi="宋体" w:cs="宋体"/>
                <w:sz w:val="24"/>
              </w:rPr>
              <w:t>服务费收费基价</w:t>
            </w:r>
            <w:r>
              <w:rPr>
                <w:rFonts w:hint="eastAsia" w:ascii="宋体" w:hAnsi="宋体" w:cs="宋体"/>
                <w:sz w:val="24"/>
              </w:rPr>
              <w:t>以财政投资评审结果为准，如项目不需财政投评，则以单位预算批复金额为计算基价。</w:t>
            </w:r>
          </w:p>
          <w:p w14:paraId="1D26F842">
            <w:pPr>
              <w:autoSpaceDE w:val="0"/>
              <w:autoSpaceDN w:val="0"/>
              <w:adjustRightInd w:val="0"/>
              <w:spacing w:line="360" w:lineRule="auto"/>
              <w:ind w:firstLine="480" w:firstLineChars="200"/>
              <w:textAlignment w:val="baseline"/>
              <w:rPr>
                <w:rFonts w:ascii="宋体" w:hAnsi="宋体" w:cs="宋体"/>
                <w:sz w:val="24"/>
              </w:rPr>
            </w:pPr>
            <w:r>
              <w:rPr>
                <w:rFonts w:hint="eastAsia" w:ascii="宋体" w:hAnsi="宋体" w:cs="宋体"/>
                <w:sz w:val="24"/>
              </w:rPr>
              <w:t>2.本项目实行费用包干制，投标报价包含完成上述服务内容所需的一切费用。如提供服务过程中产生额外费用，由供应商自行负责。</w:t>
            </w:r>
          </w:p>
          <w:p w14:paraId="4A20F9D5">
            <w:pPr>
              <w:spacing w:line="360" w:lineRule="auto"/>
              <w:ind w:firstLine="422"/>
              <w:outlineLvl w:val="1"/>
              <w:rPr>
                <w:rFonts w:ascii="宋体" w:hAnsi="宋体" w:cs="宋体"/>
                <w:b/>
                <w:bCs/>
                <w:sz w:val="24"/>
              </w:rPr>
            </w:pPr>
            <w:r>
              <w:rPr>
                <w:rFonts w:hint="eastAsia" w:ascii="宋体" w:hAnsi="宋体" w:cs="宋体"/>
                <w:b/>
                <w:bCs/>
                <w:sz w:val="24"/>
                <w:lang w:bidi="ar"/>
              </w:rPr>
              <w:t>四、服务质量要求</w:t>
            </w:r>
          </w:p>
          <w:p w14:paraId="52471DF5">
            <w:pPr>
              <w:widowControl/>
              <w:spacing w:line="360" w:lineRule="auto"/>
              <w:ind w:firstLine="420"/>
              <w:jc w:val="left"/>
              <w:rPr>
                <w:rFonts w:ascii="宋体" w:hAnsi="宋体" w:cs="宋体"/>
                <w:sz w:val="24"/>
              </w:rPr>
            </w:pPr>
            <w:r>
              <w:rPr>
                <w:rFonts w:hint="eastAsia" w:ascii="宋体" w:hAnsi="宋体" w:cs="宋体"/>
                <w:sz w:val="24"/>
                <w:lang w:bidi="ar"/>
              </w:rPr>
              <w:t>1.入围供应商要严格遵守国家的法律、法规和有关规章制度，严格遵守广西壮族自治区人民政府办公厅关于印发《广西政务信息化项目建设管理办法》的通知桂政办发[2024]59号、广西壮族自治区财政厅关于印发《广西壮族自治区本级政务信息化建设和运维项目预算支出标准》的通知（桂财建〔2023〕102号）、《广西政务信息化项目技术审查管理工作实施细则（试行）》（桂数广办发〔2024〕4号）等，若自治区有新的政策要求，应按照最新要求提供服务。</w:t>
            </w:r>
          </w:p>
          <w:p w14:paraId="1BBA6E19">
            <w:pPr>
              <w:widowControl/>
              <w:spacing w:line="360" w:lineRule="auto"/>
              <w:ind w:firstLine="420"/>
              <w:jc w:val="left"/>
              <w:rPr>
                <w:rFonts w:ascii="宋体" w:hAnsi="宋体" w:cs="宋体"/>
                <w:sz w:val="24"/>
                <w:lang w:bidi="ar"/>
              </w:rPr>
            </w:pPr>
            <w:r>
              <w:rPr>
                <w:rFonts w:hint="eastAsia" w:ascii="宋体" w:hAnsi="宋体" w:cs="宋体"/>
                <w:sz w:val="24"/>
                <w:lang w:bidi="ar"/>
              </w:rPr>
              <w:t>2.入围供应商须按采购人要求，到达指定地点完成项目工作。</w:t>
            </w:r>
          </w:p>
          <w:p w14:paraId="7DAF664F">
            <w:pPr>
              <w:spacing w:line="360" w:lineRule="auto"/>
              <w:ind w:firstLine="422"/>
              <w:outlineLvl w:val="1"/>
              <w:rPr>
                <w:rFonts w:ascii="宋体" w:hAnsi="宋体" w:cs="宋体"/>
                <w:b/>
                <w:bCs/>
                <w:sz w:val="24"/>
              </w:rPr>
            </w:pPr>
            <w:r>
              <w:rPr>
                <w:rFonts w:hint="eastAsia" w:ascii="宋体" w:hAnsi="宋体" w:cs="宋体"/>
                <w:b/>
                <w:bCs/>
                <w:sz w:val="24"/>
                <w:lang w:bidi="ar"/>
              </w:rPr>
              <w:t>五、服务保密要求</w:t>
            </w:r>
          </w:p>
          <w:p w14:paraId="78D0BD81">
            <w:pPr>
              <w:pStyle w:val="2"/>
              <w:spacing w:after="0" w:line="360" w:lineRule="auto"/>
              <w:ind w:left="0" w:leftChars="0" w:firstLine="480" w:firstLineChars="200"/>
              <w:rPr>
                <w:rFonts w:ascii="宋体" w:hAnsi="宋体" w:cs="宋体"/>
                <w:sz w:val="24"/>
              </w:rPr>
            </w:pPr>
            <w:r>
              <w:rPr>
                <w:rFonts w:hint="eastAsia" w:ascii="宋体" w:hAnsi="宋体" w:cs="宋体"/>
                <w:sz w:val="24"/>
                <w:lang w:bidi="ar"/>
              </w:rPr>
              <w:t>供应商应在入围后与采购人签订保密协议，承诺不将任何涉及本项目的信息向外界泄露，该保密义务在合同终止后继续有效。</w:t>
            </w:r>
          </w:p>
        </w:tc>
      </w:tr>
      <w:tr w14:paraId="6A086451">
        <w:tblPrEx>
          <w:tblCellMar>
            <w:top w:w="0" w:type="dxa"/>
            <w:left w:w="0" w:type="dxa"/>
            <w:bottom w:w="0" w:type="dxa"/>
            <w:right w:w="0" w:type="dxa"/>
          </w:tblCellMar>
        </w:tblPrEx>
        <w:trPr>
          <w:trHeight w:val="577"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14:paraId="2106F266">
            <w:pPr>
              <w:snapToGrid w:val="0"/>
              <w:jc w:val="left"/>
              <w:rPr>
                <w:rFonts w:ascii="宋体" w:hAnsi="宋体" w:cs="宋体"/>
                <w:sz w:val="24"/>
              </w:rPr>
            </w:pPr>
            <w:r>
              <w:rPr>
                <w:rFonts w:hint="eastAsia" w:ascii="宋体" w:hAnsi="宋体" w:cs="宋体"/>
                <w:sz w:val="24"/>
              </w:rPr>
              <w:t>商务条款</w:t>
            </w:r>
          </w:p>
        </w:tc>
        <w:tc>
          <w:tcPr>
            <w:tcW w:w="8730" w:type="dxa"/>
            <w:gridSpan w:val="3"/>
            <w:tcBorders>
              <w:top w:val="single" w:color="auto" w:sz="4" w:space="0"/>
              <w:left w:val="nil"/>
              <w:bottom w:val="single" w:color="auto" w:sz="4" w:space="0"/>
              <w:right w:val="single" w:color="auto" w:sz="4" w:space="0"/>
            </w:tcBorders>
            <w:vAlign w:val="center"/>
          </w:tcPr>
          <w:p w14:paraId="6F23067E">
            <w:pPr>
              <w:widowControl/>
              <w:spacing w:line="420" w:lineRule="exact"/>
              <w:jc w:val="left"/>
              <w:rPr>
                <w:rFonts w:ascii="宋体" w:hAnsi="宋体" w:cs="宋体"/>
                <w:sz w:val="24"/>
              </w:rPr>
            </w:pPr>
            <w:r>
              <w:rPr>
                <w:rFonts w:hint="eastAsia" w:ascii="宋体" w:hAnsi="宋体" w:cs="宋体"/>
                <w:sz w:val="24"/>
                <w:lang w:bidi="ar"/>
              </w:rPr>
              <w:t>（一）合同签订期：采购人自入围通知书发出之日起 30 日内与入围供应商签订合同。</w:t>
            </w:r>
          </w:p>
          <w:p w14:paraId="44A428CC">
            <w:pPr>
              <w:widowControl/>
              <w:spacing w:line="420" w:lineRule="exact"/>
              <w:jc w:val="left"/>
              <w:rPr>
                <w:rFonts w:ascii="宋体" w:hAnsi="宋体" w:cs="宋体"/>
                <w:sz w:val="24"/>
                <w:lang w:bidi="ar"/>
              </w:rPr>
            </w:pPr>
            <w:r>
              <w:rPr>
                <w:rFonts w:hint="eastAsia" w:ascii="宋体" w:hAnsi="宋体" w:cs="宋体"/>
                <w:sz w:val="24"/>
                <w:lang w:bidi="ar"/>
              </w:rPr>
              <w:t>（二）项目服务期：</w:t>
            </w:r>
            <w:r>
              <w:rPr>
                <w:spacing w:val="-3"/>
                <w:sz w:val="24"/>
              </w:rPr>
              <w:t>自合同签订之日起</w:t>
            </w:r>
            <w:r>
              <w:rPr>
                <w:rFonts w:hint="eastAsia"/>
                <w:spacing w:val="-3"/>
                <w:sz w:val="24"/>
              </w:rPr>
              <w:t>至服务项目竣工验收</w:t>
            </w:r>
            <w:r>
              <w:rPr>
                <w:rFonts w:hint="eastAsia" w:ascii="宋体" w:hAnsi="宋体" w:cs="宋体"/>
                <w:sz w:val="24"/>
                <w:lang w:bidi="ar"/>
              </w:rPr>
              <w:t>。</w:t>
            </w:r>
          </w:p>
          <w:p w14:paraId="55295587">
            <w:pPr>
              <w:spacing w:line="420" w:lineRule="exact"/>
              <w:rPr>
                <w:rFonts w:ascii="宋体" w:hAnsi="宋体" w:cs="宋体"/>
                <w:color w:val="FF0000"/>
                <w:sz w:val="24"/>
                <w:lang w:bidi="ar"/>
              </w:rPr>
            </w:pPr>
            <w:bookmarkStart w:id="9" w:name="auto_fouce_13"/>
            <w:r>
              <w:rPr>
                <w:rFonts w:hint="eastAsia" w:ascii="宋体" w:hAnsi="宋体" w:cs="宋体"/>
                <w:sz w:val="24"/>
                <w:lang w:bidi="ar"/>
              </w:rPr>
              <w:t>（三）</w:t>
            </w:r>
            <w:r>
              <w:rPr>
                <w:rFonts w:hint="eastAsia" w:ascii="宋体" w:hAnsi="宋体" w:cs="宋体"/>
                <w:sz w:val="24"/>
              </w:rPr>
              <w:t>本项目无预付款。各子项目分别独立结算，每个子项目的付款条件为：该子项目成果文件通过采购人书面验收合格，且供应商已按采购人要求提交全部交付资料。服务费结算前，供应商应提交符合采购人财务要求的等额发票，否则采购人有权顺延付款且不承担任何违约责任。计算方式：项目咨询费=财政投资评审审定对应服务项的费用金额*折扣率，如项目不需财政投评，则以单位预算批复金额为计算基价。</w:t>
            </w:r>
            <w:bookmarkEnd w:id="9"/>
          </w:p>
          <w:p w14:paraId="7983F183">
            <w:pPr>
              <w:spacing w:line="420" w:lineRule="exact"/>
              <w:rPr>
                <w:rFonts w:ascii="宋体" w:hAnsi="宋体" w:cs="宋体"/>
                <w:b/>
                <w:bCs/>
                <w:sz w:val="24"/>
              </w:rPr>
            </w:pPr>
            <w:r>
              <w:rPr>
                <w:rFonts w:hint="eastAsia" w:ascii="宋体" w:hAnsi="宋体" w:cs="宋体"/>
                <w:sz w:val="24"/>
                <w:lang w:bidi="ar"/>
              </w:rPr>
              <w:t>（四）本项目成果及其相关知识产权权利归采购人所有。</w:t>
            </w:r>
          </w:p>
        </w:tc>
      </w:tr>
    </w:tbl>
    <w:p w14:paraId="43397D6A">
      <w:pPr>
        <w:pStyle w:val="2"/>
      </w:pPr>
    </w:p>
    <w:p w14:paraId="016BA5C3">
      <w:pPr>
        <w:pStyle w:val="2"/>
      </w:pPr>
    </w:p>
    <w:p w14:paraId="717865BD">
      <w:pPr>
        <w:pStyle w:val="2"/>
      </w:pPr>
    </w:p>
    <w:p w14:paraId="0BD16A88">
      <w:pPr>
        <w:pStyle w:val="2"/>
      </w:pPr>
    </w:p>
    <w:p w14:paraId="3437A58B">
      <w:pPr>
        <w:pStyle w:val="2"/>
      </w:pPr>
    </w:p>
    <w:p w14:paraId="12DE21B4">
      <w:pPr>
        <w:pStyle w:val="2"/>
      </w:pPr>
    </w:p>
    <w:p w14:paraId="2FFFC87A">
      <w:pPr>
        <w:pStyle w:val="2"/>
      </w:pPr>
    </w:p>
    <w:p w14:paraId="5FB3F985">
      <w:pPr>
        <w:pStyle w:val="2"/>
      </w:pPr>
    </w:p>
    <w:p w14:paraId="18246CEF">
      <w:pPr>
        <w:pStyle w:val="2"/>
      </w:pPr>
    </w:p>
    <w:p w14:paraId="26A6285B">
      <w:pPr>
        <w:pStyle w:val="2"/>
      </w:pPr>
    </w:p>
    <w:p w14:paraId="339BEC07">
      <w:pPr>
        <w:pStyle w:val="2"/>
      </w:pPr>
    </w:p>
    <w:p w14:paraId="4EA137F8">
      <w:pPr>
        <w:pStyle w:val="2"/>
      </w:pPr>
    </w:p>
    <w:p w14:paraId="3AFF2523">
      <w:pPr>
        <w:pStyle w:val="2"/>
      </w:pPr>
    </w:p>
    <w:p w14:paraId="2EA2FF70">
      <w:pPr>
        <w:pStyle w:val="2"/>
      </w:pPr>
    </w:p>
    <w:p w14:paraId="65D9AECD">
      <w:pPr>
        <w:pStyle w:val="2"/>
        <w:jc w:val="center"/>
        <w:rPr>
          <w:rFonts w:ascii="隶书" w:eastAsia="隶书"/>
          <w:b/>
          <w:bCs/>
          <w:kern w:val="44"/>
          <w:sz w:val="44"/>
          <w:szCs w:val="44"/>
        </w:rPr>
      </w:pPr>
    </w:p>
    <w:p w14:paraId="48625D14">
      <w:pPr>
        <w:pStyle w:val="2"/>
        <w:jc w:val="center"/>
        <w:rPr>
          <w:rFonts w:ascii="隶书" w:eastAsia="隶书"/>
          <w:b/>
          <w:bCs/>
          <w:kern w:val="44"/>
          <w:sz w:val="44"/>
          <w:szCs w:val="44"/>
        </w:rPr>
      </w:pPr>
    </w:p>
    <w:p w14:paraId="7C02CE76">
      <w:pPr>
        <w:pStyle w:val="2"/>
        <w:jc w:val="center"/>
        <w:rPr>
          <w:rFonts w:ascii="隶书" w:eastAsia="隶书"/>
          <w:b/>
          <w:bCs/>
          <w:kern w:val="44"/>
          <w:sz w:val="44"/>
          <w:szCs w:val="44"/>
        </w:rPr>
      </w:pPr>
    </w:p>
    <w:p w14:paraId="376E9618">
      <w:pPr>
        <w:pStyle w:val="2"/>
        <w:jc w:val="center"/>
        <w:rPr>
          <w:rFonts w:ascii="隶书" w:eastAsia="隶书"/>
          <w:b/>
          <w:bCs/>
          <w:kern w:val="44"/>
          <w:sz w:val="44"/>
          <w:szCs w:val="44"/>
        </w:rPr>
      </w:pPr>
      <w:r>
        <w:rPr>
          <w:rFonts w:hint="eastAsia" w:ascii="隶书" w:eastAsia="隶书"/>
          <w:b/>
          <w:bCs/>
          <w:kern w:val="44"/>
          <w:sz w:val="44"/>
          <w:szCs w:val="44"/>
        </w:rPr>
        <w:t>第三章 合同书（格式）</w:t>
      </w:r>
    </w:p>
    <w:p w14:paraId="51414693">
      <w:pPr>
        <w:pStyle w:val="2"/>
        <w:ind w:left="0" w:leftChars="0"/>
        <w:jc w:val="center"/>
        <w:rPr>
          <w:rFonts w:ascii="隶书" w:eastAsia="隶书"/>
          <w:b/>
          <w:bCs/>
          <w:kern w:val="44"/>
          <w:sz w:val="44"/>
          <w:szCs w:val="44"/>
        </w:rPr>
      </w:pPr>
    </w:p>
    <w:p w14:paraId="22E182AD">
      <w:pPr>
        <w:pStyle w:val="2"/>
        <w:ind w:left="0" w:leftChars="0"/>
        <w:jc w:val="center"/>
        <w:rPr>
          <w:rFonts w:ascii="隶书" w:eastAsia="隶书"/>
          <w:b/>
          <w:bCs/>
          <w:kern w:val="44"/>
          <w:sz w:val="44"/>
          <w:szCs w:val="44"/>
        </w:rPr>
      </w:pPr>
    </w:p>
    <w:p w14:paraId="6CAA5FBD">
      <w:pPr>
        <w:pStyle w:val="2"/>
        <w:ind w:left="0" w:leftChars="0"/>
        <w:jc w:val="center"/>
        <w:rPr>
          <w:rFonts w:ascii="隶书" w:eastAsia="隶书"/>
          <w:b/>
          <w:bCs/>
          <w:kern w:val="44"/>
          <w:sz w:val="44"/>
          <w:szCs w:val="44"/>
        </w:rPr>
      </w:pPr>
    </w:p>
    <w:p w14:paraId="3B8A37A9">
      <w:pPr>
        <w:pStyle w:val="2"/>
        <w:ind w:left="0" w:leftChars="0"/>
        <w:jc w:val="center"/>
        <w:rPr>
          <w:rFonts w:ascii="隶书" w:eastAsia="隶书"/>
          <w:b/>
          <w:bCs/>
          <w:kern w:val="44"/>
          <w:sz w:val="44"/>
          <w:szCs w:val="44"/>
        </w:rPr>
      </w:pPr>
    </w:p>
    <w:p w14:paraId="1415612F">
      <w:pPr>
        <w:pStyle w:val="2"/>
        <w:ind w:left="0" w:leftChars="0"/>
        <w:jc w:val="center"/>
        <w:rPr>
          <w:rFonts w:ascii="隶书" w:eastAsia="隶书"/>
          <w:b/>
          <w:bCs/>
          <w:kern w:val="44"/>
          <w:sz w:val="44"/>
          <w:szCs w:val="44"/>
        </w:rPr>
      </w:pPr>
    </w:p>
    <w:p w14:paraId="75C1A5F1">
      <w:pPr>
        <w:pStyle w:val="2"/>
        <w:ind w:left="0" w:leftChars="0"/>
        <w:jc w:val="center"/>
        <w:rPr>
          <w:rFonts w:ascii="隶书" w:eastAsia="隶书"/>
          <w:b/>
          <w:bCs/>
          <w:kern w:val="44"/>
          <w:sz w:val="44"/>
          <w:szCs w:val="44"/>
        </w:rPr>
      </w:pPr>
    </w:p>
    <w:p w14:paraId="63AC5A57">
      <w:pPr>
        <w:pStyle w:val="2"/>
        <w:ind w:left="0" w:leftChars="0"/>
        <w:jc w:val="center"/>
        <w:rPr>
          <w:rFonts w:ascii="隶书" w:eastAsia="隶书"/>
          <w:b/>
          <w:bCs/>
          <w:kern w:val="44"/>
          <w:sz w:val="44"/>
          <w:szCs w:val="44"/>
        </w:rPr>
      </w:pPr>
    </w:p>
    <w:p w14:paraId="114BB331">
      <w:pPr>
        <w:pStyle w:val="2"/>
        <w:ind w:left="0" w:leftChars="0"/>
        <w:jc w:val="center"/>
        <w:rPr>
          <w:rFonts w:ascii="隶书" w:eastAsia="隶书"/>
          <w:b/>
          <w:bCs/>
          <w:kern w:val="44"/>
          <w:sz w:val="44"/>
          <w:szCs w:val="44"/>
        </w:rPr>
      </w:pPr>
    </w:p>
    <w:p w14:paraId="6508933F">
      <w:pPr>
        <w:pStyle w:val="2"/>
        <w:ind w:left="0" w:leftChars="0"/>
        <w:jc w:val="center"/>
        <w:rPr>
          <w:rFonts w:ascii="隶书" w:eastAsia="隶书"/>
          <w:b/>
          <w:bCs/>
          <w:kern w:val="44"/>
          <w:sz w:val="44"/>
          <w:szCs w:val="44"/>
        </w:rPr>
      </w:pPr>
    </w:p>
    <w:p w14:paraId="5E8FC16A">
      <w:pPr>
        <w:pStyle w:val="2"/>
        <w:ind w:left="0" w:leftChars="0"/>
        <w:jc w:val="center"/>
        <w:rPr>
          <w:rFonts w:ascii="隶书" w:eastAsia="隶书"/>
          <w:b/>
          <w:bCs/>
          <w:kern w:val="44"/>
          <w:sz w:val="44"/>
          <w:szCs w:val="44"/>
        </w:rPr>
      </w:pPr>
    </w:p>
    <w:p w14:paraId="68AA719C">
      <w:pPr>
        <w:pStyle w:val="2"/>
        <w:ind w:left="0" w:leftChars="0"/>
        <w:jc w:val="center"/>
        <w:rPr>
          <w:rFonts w:ascii="隶书" w:eastAsia="隶书"/>
          <w:b/>
          <w:bCs/>
          <w:kern w:val="44"/>
          <w:sz w:val="44"/>
          <w:szCs w:val="44"/>
        </w:rPr>
      </w:pPr>
    </w:p>
    <w:p w14:paraId="226CED0F">
      <w:pPr>
        <w:pStyle w:val="2"/>
        <w:ind w:left="0" w:leftChars="0"/>
        <w:jc w:val="center"/>
        <w:rPr>
          <w:rFonts w:ascii="隶书" w:eastAsia="隶书"/>
          <w:b/>
          <w:bCs/>
          <w:kern w:val="44"/>
          <w:sz w:val="44"/>
          <w:szCs w:val="44"/>
        </w:rPr>
      </w:pPr>
    </w:p>
    <w:p w14:paraId="6AA87E09">
      <w:pPr>
        <w:pStyle w:val="2"/>
        <w:ind w:left="0" w:leftChars="0"/>
        <w:jc w:val="center"/>
        <w:rPr>
          <w:rFonts w:ascii="隶书" w:eastAsia="隶书"/>
          <w:b/>
          <w:bCs/>
          <w:kern w:val="44"/>
          <w:sz w:val="44"/>
          <w:szCs w:val="44"/>
        </w:rPr>
      </w:pPr>
    </w:p>
    <w:p w14:paraId="1D0EEBFE">
      <w:pPr>
        <w:pStyle w:val="2"/>
        <w:ind w:left="0" w:leftChars="0"/>
        <w:jc w:val="center"/>
        <w:rPr>
          <w:rFonts w:ascii="隶书" w:eastAsia="隶书"/>
          <w:b/>
          <w:bCs/>
          <w:kern w:val="44"/>
          <w:sz w:val="44"/>
          <w:szCs w:val="44"/>
        </w:rPr>
      </w:pPr>
    </w:p>
    <w:p w14:paraId="41E9D819">
      <w:pPr>
        <w:pStyle w:val="2"/>
        <w:ind w:left="0" w:leftChars="0"/>
        <w:jc w:val="center"/>
        <w:rPr>
          <w:rFonts w:ascii="隶书" w:eastAsia="隶书"/>
          <w:b/>
          <w:bCs/>
          <w:kern w:val="44"/>
          <w:sz w:val="44"/>
          <w:szCs w:val="44"/>
        </w:rPr>
      </w:pPr>
    </w:p>
    <w:p w14:paraId="3AAD0B81">
      <w:pPr>
        <w:pStyle w:val="2"/>
        <w:ind w:left="0" w:leftChars="0"/>
        <w:jc w:val="center"/>
        <w:rPr>
          <w:rFonts w:ascii="隶书" w:eastAsia="隶书"/>
          <w:b/>
          <w:bCs/>
          <w:kern w:val="44"/>
          <w:sz w:val="44"/>
          <w:szCs w:val="44"/>
        </w:rPr>
      </w:pPr>
    </w:p>
    <w:p w14:paraId="08A8E296">
      <w:pPr>
        <w:pStyle w:val="2"/>
        <w:ind w:left="0" w:leftChars="0"/>
        <w:jc w:val="center"/>
        <w:rPr>
          <w:rFonts w:ascii="隶书" w:eastAsia="隶书"/>
          <w:b/>
          <w:bCs/>
          <w:kern w:val="44"/>
          <w:sz w:val="44"/>
          <w:szCs w:val="44"/>
        </w:rPr>
      </w:pPr>
    </w:p>
    <w:p w14:paraId="3E7ED32D">
      <w:pPr>
        <w:spacing w:line="360" w:lineRule="auto"/>
        <w:jc w:val="center"/>
        <w:rPr>
          <w:rFonts w:asciiTheme="majorEastAsia" w:hAnsiTheme="majorEastAsia" w:eastAsiaTheme="majorEastAsia"/>
          <w:b/>
          <w:bCs/>
          <w:sz w:val="44"/>
        </w:rPr>
      </w:pPr>
      <w:r>
        <w:rPr>
          <w:rFonts w:hint="eastAsia" w:asciiTheme="majorEastAsia" w:hAnsiTheme="majorEastAsia" w:eastAsiaTheme="majorEastAsia"/>
          <w:b/>
          <w:bCs/>
          <w:sz w:val="44"/>
          <w:u w:val="single"/>
        </w:rPr>
        <w:t>项目名称（根据供应商实际所中分标情况项目名称为2026-2027年信息化建设项目第三方设计服务或2026-2027年信息化建设项目第三方全过程咨询服务）</w:t>
      </w:r>
      <w:r>
        <w:rPr>
          <w:rFonts w:hint="eastAsia" w:asciiTheme="majorEastAsia" w:hAnsiTheme="majorEastAsia" w:eastAsiaTheme="majorEastAsia"/>
          <w:b/>
          <w:bCs/>
          <w:sz w:val="44"/>
        </w:rPr>
        <w:t>合同</w:t>
      </w:r>
    </w:p>
    <w:p w14:paraId="5D5C54EC">
      <w:pPr>
        <w:pStyle w:val="2"/>
        <w:rPr>
          <w:rFonts w:ascii="宋体" w:eastAsia="Times New Roman"/>
          <w:b/>
          <w:bCs/>
          <w:sz w:val="44"/>
        </w:rPr>
      </w:pPr>
    </w:p>
    <w:p w14:paraId="3970558E">
      <w:pPr>
        <w:pStyle w:val="2"/>
        <w:rPr>
          <w:rFonts w:ascii="宋体" w:eastAsia="Times New Roman"/>
          <w:b/>
          <w:bCs/>
          <w:sz w:val="44"/>
        </w:rPr>
      </w:pPr>
    </w:p>
    <w:p w14:paraId="6739D8CE">
      <w:pPr>
        <w:pStyle w:val="2"/>
        <w:rPr>
          <w:rFonts w:ascii="宋体" w:eastAsia="Times New Roman"/>
          <w:b/>
          <w:bCs/>
          <w:sz w:val="44"/>
        </w:rPr>
      </w:pPr>
    </w:p>
    <w:p w14:paraId="7D67D9CE">
      <w:pPr>
        <w:pStyle w:val="2"/>
        <w:rPr>
          <w:rFonts w:ascii="宋体" w:eastAsia="Times New Roman"/>
          <w:b/>
          <w:bCs/>
          <w:sz w:val="44"/>
        </w:rPr>
      </w:pPr>
    </w:p>
    <w:p w14:paraId="54AA7A89">
      <w:pPr>
        <w:pStyle w:val="2"/>
        <w:rPr>
          <w:rFonts w:ascii="宋体" w:eastAsia="Times New Roman"/>
          <w:b/>
          <w:bCs/>
          <w:sz w:val="44"/>
        </w:rPr>
      </w:pPr>
    </w:p>
    <w:p w14:paraId="1952D551">
      <w:pPr>
        <w:pStyle w:val="2"/>
        <w:rPr>
          <w:rFonts w:ascii="宋体" w:eastAsia="Times New Roman"/>
          <w:b/>
          <w:bCs/>
          <w:sz w:val="44"/>
        </w:rPr>
      </w:pPr>
    </w:p>
    <w:p w14:paraId="03F15C68">
      <w:pPr>
        <w:tabs>
          <w:tab w:val="left" w:pos="7200"/>
        </w:tabs>
        <w:spacing w:line="360" w:lineRule="auto"/>
        <w:ind w:firstLine="1988" w:firstLineChars="552"/>
        <w:rPr>
          <w:rFonts w:ascii="宋体" w:hAnsi="宋体" w:eastAsia="Times New Roman"/>
          <w:b/>
          <w:sz w:val="36"/>
          <w:szCs w:val="36"/>
        </w:rPr>
      </w:pPr>
    </w:p>
    <w:p w14:paraId="6C95C22E">
      <w:pPr>
        <w:tabs>
          <w:tab w:val="left" w:pos="7200"/>
        </w:tabs>
        <w:spacing w:line="360" w:lineRule="auto"/>
        <w:ind w:firstLine="1988" w:firstLineChars="552"/>
        <w:rPr>
          <w:rFonts w:ascii="宋体" w:hAnsi="宋体" w:eastAsia="Times New Roman"/>
          <w:b/>
          <w:sz w:val="36"/>
          <w:szCs w:val="36"/>
        </w:rPr>
      </w:pPr>
    </w:p>
    <w:p w14:paraId="6D79ABD6">
      <w:pPr>
        <w:tabs>
          <w:tab w:val="left" w:pos="7200"/>
        </w:tabs>
        <w:spacing w:line="360" w:lineRule="auto"/>
        <w:ind w:firstLine="1988" w:firstLineChars="552"/>
        <w:rPr>
          <w:rFonts w:ascii="宋体" w:hAnsi="宋体" w:eastAsia="Times New Roman"/>
          <w:b/>
          <w:sz w:val="36"/>
          <w:szCs w:val="36"/>
        </w:rPr>
      </w:pPr>
    </w:p>
    <w:p w14:paraId="02F4D8FF">
      <w:pPr>
        <w:tabs>
          <w:tab w:val="left" w:pos="7200"/>
        </w:tabs>
        <w:spacing w:line="360" w:lineRule="auto"/>
        <w:ind w:firstLine="1401" w:firstLineChars="500"/>
        <w:rPr>
          <w:rFonts w:ascii="宋体" w:hAnsi="宋体" w:eastAsia="Times New Roman"/>
          <w:b/>
          <w:sz w:val="28"/>
          <w:szCs w:val="28"/>
          <w:u w:val="single"/>
        </w:rPr>
      </w:pPr>
      <w:r>
        <w:rPr>
          <w:rFonts w:hint="eastAsia" w:ascii="宋体" w:hAnsi="宋体" w:eastAsia="Times New Roman"/>
          <w:b/>
          <w:sz w:val="28"/>
          <w:szCs w:val="28"/>
        </w:rPr>
        <w:t>采购人</w:t>
      </w:r>
      <w:r>
        <w:rPr>
          <w:rFonts w:hint="eastAsia" w:ascii="宋体" w:hAnsi="宋体"/>
          <w:b/>
          <w:sz w:val="28"/>
          <w:szCs w:val="28"/>
        </w:rPr>
        <w:t>（甲方）</w:t>
      </w:r>
      <w:r>
        <w:rPr>
          <w:rFonts w:hint="eastAsia" w:ascii="宋体" w:hAnsi="宋体" w:eastAsia="Times New Roman"/>
          <w:b/>
          <w:sz w:val="28"/>
          <w:szCs w:val="28"/>
        </w:rPr>
        <w:t>：</w:t>
      </w:r>
      <w:r>
        <w:rPr>
          <w:rFonts w:hint="eastAsia" w:ascii="宋体" w:hAnsi="宋体" w:eastAsia="Times New Roman"/>
          <w:b/>
          <w:sz w:val="28"/>
          <w:szCs w:val="28"/>
          <w:u w:val="single"/>
        </w:rPr>
        <w:t xml:space="preserve">               </w:t>
      </w:r>
    </w:p>
    <w:p w14:paraId="565A7AD4">
      <w:pPr>
        <w:tabs>
          <w:tab w:val="left" w:pos="7380"/>
        </w:tabs>
        <w:spacing w:line="360" w:lineRule="auto"/>
        <w:ind w:firstLine="1405" w:firstLineChars="500"/>
        <w:rPr>
          <w:rFonts w:ascii="宋体" w:eastAsia="Times New Roman"/>
          <w:b/>
          <w:bCs/>
          <w:sz w:val="28"/>
          <w:szCs w:val="28"/>
        </w:rPr>
      </w:pPr>
      <w:r>
        <w:rPr>
          <w:rFonts w:hint="eastAsia" w:ascii="宋体" w:hAnsi="宋体"/>
          <w:b/>
          <w:sz w:val="28"/>
          <w:szCs w:val="28"/>
        </w:rPr>
        <w:t>成交</w:t>
      </w:r>
      <w:r>
        <w:rPr>
          <w:rFonts w:hint="eastAsia" w:ascii="宋体" w:hAnsi="宋体" w:eastAsia="Times New Roman"/>
          <w:b/>
          <w:sz w:val="28"/>
          <w:szCs w:val="28"/>
        </w:rPr>
        <w:t>供应商</w:t>
      </w:r>
      <w:r>
        <w:rPr>
          <w:rFonts w:hint="eastAsia" w:ascii="宋体" w:hAnsi="宋体"/>
          <w:b/>
          <w:sz w:val="28"/>
          <w:szCs w:val="28"/>
        </w:rPr>
        <w:t>（乙方）</w:t>
      </w:r>
      <w:r>
        <w:rPr>
          <w:rFonts w:hint="eastAsia" w:ascii="宋体" w:hAnsi="宋体" w:eastAsia="Times New Roman"/>
          <w:b/>
          <w:sz w:val="28"/>
          <w:szCs w:val="28"/>
        </w:rPr>
        <w:t>：</w:t>
      </w:r>
      <w:r>
        <w:rPr>
          <w:rFonts w:hint="eastAsia" w:ascii="宋体" w:hAnsi="宋体" w:eastAsia="Times New Roman"/>
          <w:b/>
          <w:sz w:val="28"/>
          <w:szCs w:val="28"/>
          <w:u w:val="single"/>
        </w:rPr>
        <w:t xml:space="preserve">           </w:t>
      </w:r>
    </w:p>
    <w:p w14:paraId="21BA5CCC">
      <w:pPr>
        <w:pStyle w:val="2"/>
        <w:rPr>
          <w:rFonts w:ascii="宋体" w:eastAsia="Times New Roman"/>
          <w:b/>
          <w:bCs/>
          <w:sz w:val="44"/>
        </w:rPr>
      </w:pPr>
    </w:p>
    <w:p w14:paraId="6BFAEEDC">
      <w:pPr>
        <w:pStyle w:val="2"/>
        <w:rPr>
          <w:rFonts w:ascii="宋体" w:eastAsia="Times New Roman"/>
          <w:b/>
          <w:bCs/>
          <w:sz w:val="44"/>
        </w:rPr>
      </w:pPr>
    </w:p>
    <w:p w14:paraId="3DD6807C">
      <w:pPr>
        <w:pStyle w:val="2"/>
        <w:rPr>
          <w:rFonts w:ascii="宋体" w:eastAsia="Times New Roman"/>
          <w:b/>
          <w:bCs/>
          <w:sz w:val="44"/>
        </w:rPr>
      </w:pPr>
    </w:p>
    <w:p w14:paraId="1CE64E7B">
      <w:pPr>
        <w:pStyle w:val="2"/>
        <w:rPr>
          <w:rFonts w:ascii="宋体" w:eastAsia="Times New Roman"/>
          <w:b/>
          <w:bCs/>
          <w:sz w:val="44"/>
        </w:rPr>
      </w:pPr>
    </w:p>
    <w:p w14:paraId="403425DE">
      <w:pPr>
        <w:jc w:val="center"/>
        <w:rPr>
          <w:b/>
          <w:sz w:val="36"/>
          <w:szCs w:val="36"/>
        </w:rPr>
      </w:pPr>
      <w:r>
        <w:rPr>
          <w:rFonts w:hint="eastAsia"/>
          <w:b/>
          <w:sz w:val="36"/>
          <w:szCs w:val="36"/>
        </w:rPr>
        <w:t>目  录</w:t>
      </w:r>
    </w:p>
    <w:p w14:paraId="7F8F3012">
      <w:pPr>
        <w:tabs>
          <w:tab w:val="left" w:pos="1170"/>
        </w:tabs>
        <w:spacing w:line="360" w:lineRule="auto"/>
        <w:ind w:left="359" w:leftChars="171" w:firstLine="198" w:firstLineChars="71"/>
        <w:rPr>
          <w:rFonts w:ascii="宋体" w:hAnsi="宋体"/>
          <w:sz w:val="28"/>
        </w:rPr>
      </w:pPr>
      <w:r>
        <w:rPr>
          <w:rFonts w:ascii="宋体" w:hAnsi="宋体"/>
          <w:sz w:val="28"/>
        </w:rPr>
        <w:tab/>
      </w:r>
    </w:p>
    <w:p w14:paraId="3416A7FA">
      <w:pPr>
        <w:ind w:firstLine="735" w:firstLineChars="244"/>
        <w:rPr>
          <w:b/>
          <w:sz w:val="30"/>
          <w:szCs w:val="30"/>
        </w:rPr>
      </w:pPr>
      <w:r>
        <w:rPr>
          <w:rFonts w:hint="eastAsia"/>
          <w:b/>
          <w:sz w:val="30"/>
          <w:szCs w:val="30"/>
        </w:rPr>
        <w:t>一、采购合同</w:t>
      </w:r>
      <w:r>
        <w:rPr>
          <w:b/>
          <w:sz w:val="30"/>
          <w:szCs w:val="30"/>
        </w:rPr>
        <w:t xml:space="preserve"> </w:t>
      </w:r>
    </w:p>
    <w:p w14:paraId="4F1BAD9C">
      <w:pPr>
        <w:ind w:firstLine="735" w:firstLineChars="244"/>
        <w:rPr>
          <w:b/>
          <w:sz w:val="30"/>
          <w:szCs w:val="30"/>
        </w:rPr>
      </w:pPr>
      <w:r>
        <w:rPr>
          <w:rFonts w:hint="eastAsia"/>
          <w:b/>
          <w:sz w:val="30"/>
          <w:szCs w:val="30"/>
        </w:rPr>
        <w:t>二、补充协议（如有）</w:t>
      </w:r>
    </w:p>
    <w:p w14:paraId="2DE1F89C">
      <w:pPr>
        <w:ind w:firstLine="735" w:firstLineChars="244"/>
        <w:rPr>
          <w:b/>
          <w:sz w:val="30"/>
          <w:szCs w:val="30"/>
        </w:rPr>
      </w:pPr>
      <w:r>
        <w:rPr>
          <w:rFonts w:hint="eastAsia"/>
          <w:b/>
          <w:sz w:val="30"/>
          <w:szCs w:val="30"/>
        </w:rPr>
        <w:t>三、合同附件</w:t>
      </w:r>
    </w:p>
    <w:p w14:paraId="1E87BF46">
      <w:pPr>
        <w:pStyle w:val="2"/>
        <w:rPr>
          <w:rFonts w:ascii="宋体" w:eastAsia="Times New Roman"/>
          <w:b/>
          <w:bCs/>
          <w:sz w:val="44"/>
        </w:rPr>
      </w:pPr>
    </w:p>
    <w:p w14:paraId="5C5C33FE">
      <w:pPr>
        <w:pStyle w:val="2"/>
        <w:rPr>
          <w:rFonts w:ascii="宋体" w:eastAsia="Times New Roman"/>
          <w:b/>
          <w:bCs/>
          <w:sz w:val="44"/>
        </w:rPr>
      </w:pPr>
    </w:p>
    <w:p w14:paraId="2CD49032">
      <w:pPr>
        <w:pStyle w:val="2"/>
        <w:rPr>
          <w:rFonts w:ascii="宋体" w:eastAsia="Times New Roman"/>
          <w:b/>
          <w:bCs/>
          <w:sz w:val="44"/>
        </w:rPr>
      </w:pPr>
    </w:p>
    <w:p w14:paraId="3F0CD5C2">
      <w:pPr>
        <w:pStyle w:val="2"/>
        <w:rPr>
          <w:rFonts w:ascii="宋体" w:eastAsia="Times New Roman"/>
          <w:b/>
          <w:bCs/>
          <w:sz w:val="44"/>
        </w:rPr>
      </w:pPr>
    </w:p>
    <w:p w14:paraId="78647AB8">
      <w:pPr>
        <w:pStyle w:val="2"/>
        <w:rPr>
          <w:rFonts w:ascii="宋体" w:eastAsiaTheme="minorEastAsia"/>
          <w:b/>
          <w:bCs/>
          <w:sz w:val="44"/>
        </w:rPr>
      </w:pPr>
    </w:p>
    <w:p w14:paraId="3403EC2B">
      <w:pPr>
        <w:pStyle w:val="2"/>
        <w:rPr>
          <w:rFonts w:ascii="宋体" w:eastAsiaTheme="minorEastAsia"/>
          <w:b/>
          <w:bCs/>
          <w:sz w:val="44"/>
        </w:rPr>
      </w:pPr>
    </w:p>
    <w:p w14:paraId="74A18535">
      <w:pPr>
        <w:pStyle w:val="2"/>
        <w:rPr>
          <w:rFonts w:ascii="宋体" w:eastAsiaTheme="minorEastAsia"/>
          <w:b/>
          <w:bCs/>
          <w:sz w:val="44"/>
        </w:rPr>
      </w:pPr>
    </w:p>
    <w:p w14:paraId="0EE09267">
      <w:pPr>
        <w:pStyle w:val="2"/>
        <w:rPr>
          <w:rFonts w:ascii="宋体" w:eastAsia="Times New Roman"/>
          <w:b/>
          <w:bCs/>
          <w:sz w:val="44"/>
        </w:rPr>
      </w:pPr>
    </w:p>
    <w:p w14:paraId="54E12969">
      <w:pPr>
        <w:pStyle w:val="2"/>
        <w:rPr>
          <w:rFonts w:ascii="宋体" w:eastAsia="Times New Roman"/>
          <w:b/>
          <w:bCs/>
          <w:sz w:val="44"/>
        </w:rPr>
      </w:pPr>
    </w:p>
    <w:p w14:paraId="6F81E411">
      <w:pPr>
        <w:pStyle w:val="2"/>
        <w:rPr>
          <w:rFonts w:ascii="宋体" w:eastAsia="Times New Roman"/>
          <w:b/>
          <w:bCs/>
          <w:sz w:val="44"/>
        </w:rPr>
      </w:pPr>
    </w:p>
    <w:p w14:paraId="47239098">
      <w:pPr>
        <w:pStyle w:val="2"/>
        <w:rPr>
          <w:rFonts w:ascii="宋体" w:eastAsia="Times New Roman"/>
          <w:b/>
          <w:bCs/>
          <w:sz w:val="44"/>
        </w:rPr>
      </w:pPr>
    </w:p>
    <w:p w14:paraId="1789669B">
      <w:pPr>
        <w:pStyle w:val="2"/>
        <w:rPr>
          <w:rFonts w:ascii="宋体" w:eastAsia="Times New Roman"/>
          <w:b/>
          <w:bCs/>
          <w:sz w:val="44"/>
        </w:rPr>
      </w:pPr>
    </w:p>
    <w:p w14:paraId="423335DD">
      <w:pPr>
        <w:pStyle w:val="2"/>
        <w:rPr>
          <w:rFonts w:ascii="宋体" w:eastAsia="Times New Roman"/>
          <w:b/>
          <w:bCs/>
          <w:sz w:val="44"/>
        </w:rPr>
      </w:pPr>
    </w:p>
    <w:p w14:paraId="3F203630">
      <w:pPr>
        <w:spacing w:line="360" w:lineRule="auto"/>
        <w:jc w:val="center"/>
        <w:rPr>
          <w:b/>
          <w:color w:val="FF0000"/>
          <w:sz w:val="30"/>
          <w:szCs w:val="30"/>
        </w:rPr>
      </w:pPr>
      <w:r>
        <w:rPr>
          <w:rFonts w:hint="eastAsia"/>
          <w:b/>
          <w:sz w:val="30"/>
          <w:szCs w:val="30"/>
        </w:rPr>
        <w:t>2026-2027年信息化建设项目第三方设计及全过程咨询服务</w:t>
      </w:r>
    </w:p>
    <w:p w14:paraId="34EFAF7F">
      <w:pPr>
        <w:spacing w:line="360" w:lineRule="auto"/>
        <w:jc w:val="center"/>
        <w:rPr>
          <w:rFonts w:ascii="宋体" w:hAnsi="宋体"/>
          <w:b/>
          <w:bCs/>
          <w:sz w:val="30"/>
          <w:szCs w:val="30"/>
        </w:rPr>
      </w:pPr>
      <w:r>
        <w:rPr>
          <w:rFonts w:hint="eastAsia"/>
          <w:b/>
          <w:sz w:val="30"/>
          <w:szCs w:val="30"/>
        </w:rPr>
        <w:t>采 购 合 同</w:t>
      </w:r>
    </w:p>
    <w:p w14:paraId="7C7FACF8">
      <w:pPr>
        <w:pStyle w:val="6"/>
        <w:spacing w:line="460" w:lineRule="exact"/>
        <w:rPr>
          <w:rFonts w:hAnsi="宋体"/>
        </w:rPr>
      </w:pPr>
    </w:p>
    <w:p w14:paraId="32D5B74F">
      <w:pPr>
        <w:pStyle w:val="6"/>
        <w:spacing w:line="460" w:lineRule="exact"/>
        <w:rPr>
          <w:rFonts w:hAnsi="宋体"/>
        </w:rPr>
      </w:pPr>
      <w:r>
        <w:rPr>
          <w:rFonts w:hint="eastAsia" w:hAnsi="宋体"/>
        </w:rPr>
        <w:t>项目名称：</w:t>
      </w:r>
      <w:r>
        <w:rPr>
          <w:rFonts w:hint="eastAsia" w:hAnsi="宋体"/>
          <w:u w:val="single"/>
        </w:rPr>
        <w:t xml:space="preserve">                                        </w:t>
      </w:r>
    </w:p>
    <w:p w14:paraId="44FD28EB">
      <w:pPr>
        <w:pStyle w:val="6"/>
        <w:spacing w:line="460" w:lineRule="exact"/>
        <w:rPr>
          <w:rFonts w:hAnsi="宋体"/>
        </w:rPr>
      </w:pPr>
      <w:r>
        <w:rPr>
          <w:rFonts w:hint="eastAsia" w:hAnsi="宋体"/>
        </w:rPr>
        <w:t>项目编号：</w:t>
      </w:r>
      <w:r>
        <w:rPr>
          <w:rFonts w:hint="eastAsia" w:hAnsi="宋体"/>
          <w:u w:val="single"/>
        </w:rPr>
        <w:t xml:space="preserve">                                        </w:t>
      </w:r>
    </w:p>
    <w:p w14:paraId="18346535">
      <w:pPr>
        <w:pStyle w:val="6"/>
        <w:spacing w:line="460" w:lineRule="exact"/>
        <w:rPr>
          <w:rFonts w:hAnsi="宋体"/>
        </w:rPr>
      </w:pPr>
    </w:p>
    <w:p w14:paraId="51A0D5A6">
      <w:pPr>
        <w:pStyle w:val="6"/>
        <w:spacing w:line="460" w:lineRule="exact"/>
        <w:rPr>
          <w:rFonts w:hAnsi="宋体"/>
        </w:rPr>
      </w:pPr>
      <w:r>
        <w:rPr>
          <w:rFonts w:hint="eastAsia" w:hAnsi="宋体"/>
        </w:rPr>
        <w:t>采购人（甲方）：</w:t>
      </w:r>
      <w:r>
        <w:rPr>
          <w:rFonts w:hint="eastAsia" w:hAnsi="宋体"/>
          <w:u w:val="single"/>
        </w:rPr>
        <w:t xml:space="preserve">                              </w:t>
      </w:r>
    </w:p>
    <w:p w14:paraId="0C69377F">
      <w:pPr>
        <w:pStyle w:val="6"/>
        <w:spacing w:line="460" w:lineRule="exact"/>
        <w:rPr>
          <w:rFonts w:hAnsi="宋体"/>
        </w:rPr>
      </w:pPr>
      <w:r>
        <w:rPr>
          <w:rFonts w:hint="eastAsia" w:hAnsi="宋体"/>
        </w:rPr>
        <w:t>成交供应商（乙方）：</w:t>
      </w:r>
      <w:r>
        <w:rPr>
          <w:rFonts w:hint="eastAsia" w:hAnsi="宋体"/>
          <w:u w:val="single"/>
        </w:rPr>
        <w:t xml:space="preserve">                          </w:t>
      </w:r>
    </w:p>
    <w:p w14:paraId="3B8543B8">
      <w:pPr>
        <w:pStyle w:val="6"/>
        <w:spacing w:line="460" w:lineRule="exact"/>
        <w:rPr>
          <w:rFonts w:hAnsi="宋体"/>
          <w:b/>
        </w:rPr>
      </w:pPr>
      <w:r>
        <w:rPr>
          <w:rFonts w:hint="eastAsia" w:hAnsi="宋体"/>
          <w:b/>
        </w:rPr>
        <w:t xml:space="preserve">    </w:t>
      </w:r>
    </w:p>
    <w:p w14:paraId="094FE0D5">
      <w:pPr>
        <w:pStyle w:val="6"/>
        <w:spacing w:line="460" w:lineRule="exact"/>
        <w:rPr>
          <w:rFonts w:hAnsi="宋体"/>
          <w:b/>
        </w:rPr>
      </w:pPr>
      <w:r>
        <w:rPr>
          <w:rFonts w:hint="eastAsia" w:hAnsi="宋体"/>
        </w:rPr>
        <w:t xml:space="preserve">    根据《中华人民共和国民法典》相关规定及</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月</w:t>
      </w:r>
      <w:r>
        <w:rPr>
          <w:rFonts w:hint="eastAsia" w:hAnsi="宋体"/>
          <w:u w:val="single"/>
        </w:rPr>
        <w:t xml:space="preserve">    </w:t>
      </w:r>
      <w:r>
        <w:rPr>
          <w:rFonts w:hint="eastAsia" w:hAnsi="宋体"/>
        </w:rPr>
        <w:t>日采购项目的采购结果，甲方接受乙方对本项目的遴选，甲、乙双方同意签署本合同（以下简称合同）。</w:t>
      </w:r>
    </w:p>
    <w:p w14:paraId="581E8926">
      <w:pPr>
        <w:pStyle w:val="6"/>
        <w:spacing w:line="460" w:lineRule="exact"/>
        <w:rPr>
          <w:rFonts w:hAnsi="宋体"/>
          <w:b/>
        </w:rPr>
      </w:pPr>
    </w:p>
    <w:p w14:paraId="1590D291">
      <w:pPr>
        <w:pStyle w:val="6"/>
        <w:spacing w:line="460" w:lineRule="exact"/>
        <w:ind w:firstLine="482" w:firstLineChars="200"/>
        <w:rPr>
          <w:rFonts w:hAnsi="宋体"/>
          <w:b/>
          <w:bCs/>
          <w:sz w:val="24"/>
          <w:szCs w:val="24"/>
        </w:rPr>
      </w:pPr>
      <w:r>
        <w:rPr>
          <w:rFonts w:hint="eastAsia" w:hAnsi="宋体"/>
          <w:b/>
          <w:bCs/>
          <w:sz w:val="24"/>
          <w:szCs w:val="24"/>
        </w:rPr>
        <w:t>1.采购内容</w:t>
      </w:r>
    </w:p>
    <w:p w14:paraId="6FBF9DBA">
      <w:pPr>
        <w:pStyle w:val="6"/>
        <w:tabs>
          <w:tab w:val="left" w:pos="5220"/>
        </w:tabs>
        <w:spacing w:line="460" w:lineRule="exact"/>
        <w:ind w:firstLine="360"/>
        <w:rPr>
          <w:rFonts w:hAnsi="宋体"/>
        </w:rPr>
      </w:pPr>
      <w:r>
        <w:rPr>
          <w:rFonts w:hint="eastAsia" w:hAnsi="宋体"/>
        </w:rPr>
        <w:t>1.1标的名称：</w:t>
      </w:r>
      <w:r>
        <w:rPr>
          <w:rFonts w:hint="eastAsia"/>
          <w:u w:val="single"/>
        </w:rPr>
        <w:t>详见合同附件中遴选报价表</w:t>
      </w:r>
    </w:p>
    <w:p w14:paraId="74C07C57">
      <w:pPr>
        <w:pStyle w:val="6"/>
        <w:spacing w:line="460" w:lineRule="exact"/>
        <w:ind w:firstLine="360"/>
        <w:rPr>
          <w:rFonts w:hAnsi="宋体"/>
          <w:u w:val="single"/>
        </w:rPr>
      </w:pPr>
      <w:r>
        <w:rPr>
          <w:rFonts w:hint="eastAsia" w:hAnsi="宋体"/>
        </w:rPr>
        <w:t>1.2数量（单位）：</w:t>
      </w:r>
      <w:r>
        <w:rPr>
          <w:rFonts w:hint="eastAsia" w:hAnsi="宋体" w:cs="宋体"/>
          <w:u w:val="single"/>
        </w:rPr>
        <w:t>详见合同附件中遴选报价表</w:t>
      </w:r>
    </w:p>
    <w:p w14:paraId="7970BFEF">
      <w:pPr>
        <w:pStyle w:val="6"/>
        <w:spacing w:line="460" w:lineRule="exact"/>
        <w:ind w:firstLine="360"/>
        <w:rPr>
          <w:rFonts w:hAnsi="宋体"/>
          <w:u w:val="single"/>
        </w:rPr>
      </w:pPr>
      <w:bookmarkStart w:id="10" w:name="auto_fouce_14"/>
      <w:r>
        <w:rPr>
          <w:rFonts w:hint="eastAsia" w:hAnsi="宋体"/>
        </w:rPr>
        <w:t>1.3技术参数及服务要求：</w:t>
      </w:r>
      <w:r>
        <w:rPr>
          <w:rFonts w:hint="eastAsia" w:hAnsi="宋体"/>
          <w:u w:val="single"/>
        </w:rPr>
        <w:t>详见合同附件中遴选文件要求、乙方响应文件承诺、国家及行业现行有效标准、自治区最新政策要求、澄清函（前述文件不一致的以有利于甲方的内容为准）</w:t>
      </w:r>
      <w:bookmarkEnd w:id="10"/>
    </w:p>
    <w:p w14:paraId="60FE6736">
      <w:pPr>
        <w:pStyle w:val="6"/>
        <w:spacing w:line="460" w:lineRule="exact"/>
        <w:ind w:firstLine="482" w:firstLineChars="200"/>
        <w:rPr>
          <w:rFonts w:hAnsi="宋体"/>
          <w:b/>
          <w:bCs/>
          <w:sz w:val="24"/>
          <w:szCs w:val="24"/>
        </w:rPr>
      </w:pPr>
      <w:r>
        <w:rPr>
          <w:rFonts w:hint="eastAsia" w:hAnsi="宋体"/>
          <w:b/>
          <w:bCs/>
          <w:sz w:val="24"/>
          <w:szCs w:val="24"/>
        </w:rPr>
        <w:t>2.合同金额</w:t>
      </w:r>
    </w:p>
    <w:p w14:paraId="093A4EB0">
      <w:pPr>
        <w:pStyle w:val="6"/>
        <w:spacing w:line="460" w:lineRule="exact"/>
        <w:ind w:left="2" w:firstLine="359" w:firstLineChars="171"/>
        <w:rPr>
          <w:rFonts w:hAnsi="宋体"/>
        </w:rPr>
      </w:pPr>
      <w:bookmarkStart w:id="11" w:name="tip_risk_bookmark_15"/>
      <w:r>
        <w:rPr>
          <w:rFonts w:hint="eastAsia" w:hAnsi="宋体"/>
        </w:rPr>
        <w:t>2.1本合同金额为（大写）人民币</w:t>
      </w:r>
      <w:r>
        <w:rPr>
          <w:rFonts w:hint="eastAsia" w:hAnsi="宋体"/>
          <w:u w:val="single"/>
        </w:rPr>
        <w:t xml:space="preserve">　　　　　　      </w:t>
      </w:r>
      <w:r>
        <w:rPr>
          <w:rFonts w:hint="eastAsia" w:hAnsi="宋体"/>
        </w:rPr>
        <w:t>（¥</w:t>
      </w:r>
      <w:r>
        <w:rPr>
          <w:rFonts w:hint="eastAsia" w:hAnsi="宋体"/>
          <w:u w:val="single"/>
        </w:rPr>
        <w:t xml:space="preserve">　　　　　　 </w:t>
      </w:r>
      <w:r>
        <w:rPr>
          <w:rFonts w:hint="eastAsia" w:hAnsi="宋体"/>
        </w:rPr>
        <w:t>）。（详见遴选报价表）</w:t>
      </w:r>
      <w:bookmarkEnd w:id="11"/>
    </w:p>
    <w:p w14:paraId="174680BF">
      <w:pPr>
        <w:pStyle w:val="6"/>
        <w:tabs>
          <w:tab w:val="left" w:pos="5940"/>
        </w:tabs>
        <w:spacing w:line="460" w:lineRule="exact"/>
        <w:ind w:firstLine="482" w:firstLineChars="200"/>
        <w:rPr>
          <w:rFonts w:hAnsi="宋体"/>
          <w:b/>
          <w:bCs/>
          <w:sz w:val="24"/>
          <w:szCs w:val="24"/>
        </w:rPr>
      </w:pPr>
      <w:r>
        <w:rPr>
          <w:rFonts w:hint="eastAsia" w:hAnsi="宋体"/>
          <w:b/>
          <w:bCs/>
          <w:sz w:val="24"/>
          <w:szCs w:val="24"/>
        </w:rPr>
        <w:t>3.交付要求</w:t>
      </w:r>
    </w:p>
    <w:p w14:paraId="47A40190">
      <w:pPr>
        <w:pStyle w:val="6"/>
        <w:tabs>
          <w:tab w:val="left" w:pos="5220"/>
        </w:tabs>
        <w:spacing w:line="460" w:lineRule="exact"/>
        <w:ind w:firstLine="360"/>
        <w:rPr>
          <w:rFonts w:hAnsi="宋体"/>
          <w:bCs/>
          <w:u w:val="single"/>
        </w:rPr>
      </w:pPr>
      <w:bookmarkStart w:id="12" w:name="tip_risk_bookmark_16"/>
      <w:r>
        <w:rPr>
          <w:rFonts w:hint="eastAsia" w:hAnsi="宋体"/>
          <w:bCs/>
        </w:rPr>
        <w:t>3.1</w:t>
      </w:r>
      <w:r>
        <w:rPr>
          <w:rFonts w:hint="eastAsia" w:hAnsi="宋体"/>
          <w:szCs w:val="21"/>
        </w:rPr>
        <w:t>服务期</w:t>
      </w:r>
      <w:r>
        <w:rPr>
          <w:rFonts w:hint="eastAsia" w:hAnsi="宋体"/>
          <w:bCs/>
        </w:rPr>
        <w:t>：</w:t>
      </w:r>
      <w:bookmarkEnd w:id="12"/>
      <w:r>
        <w:rPr>
          <w:rFonts w:hint="eastAsia" w:hAnsi="宋体"/>
          <w:u w:val="single"/>
        </w:rPr>
        <w:t xml:space="preserve">                                </w:t>
      </w:r>
    </w:p>
    <w:p w14:paraId="08B50E58">
      <w:pPr>
        <w:pStyle w:val="6"/>
        <w:tabs>
          <w:tab w:val="left" w:pos="5220"/>
          <w:tab w:val="left" w:pos="6120"/>
        </w:tabs>
        <w:spacing w:line="460" w:lineRule="exact"/>
        <w:ind w:firstLine="360"/>
        <w:rPr>
          <w:rFonts w:hAnsi="宋体"/>
          <w:bCs/>
        </w:rPr>
      </w:pPr>
      <w:r>
        <w:rPr>
          <w:rFonts w:hint="eastAsia" w:hAnsi="宋体"/>
          <w:bCs/>
        </w:rPr>
        <w:t>3.2交付方式：</w:t>
      </w:r>
      <w:r>
        <w:rPr>
          <w:rFonts w:hint="eastAsia"/>
        </w:rPr>
        <w:t>乙方须在对应服务事项完成后的5个工作日内完成成果交付，所有交付内容需满足国家、自治区及项目审批部门的相关格式、内容规范要求，且符合遴选文件中对应分标的服务成果标准。</w:t>
      </w:r>
    </w:p>
    <w:p w14:paraId="4297A424">
      <w:pPr>
        <w:pStyle w:val="6"/>
        <w:tabs>
          <w:tab w:val="left" w:pos="5220"/>
          <w:tab w:val="left" w:pos="6120"/>
        </w:tabs>
        <w:spacing w:line="460" w:lineRule="exact"/>
        <w:ind w:firstLine="360"/>
        <w:rPr>
          <w:rFonts w:hAnsi="宋体"/>
          <w:bCs/>
        </w:rPr>
      </w:pPr>
      <w:bookmarkStart w:id="13" w:name="free_fb4a0fd79b6b4ad88b02dbce153f0236"/>
      <w:r>
        <w:rPr>
          <w:rFonts w:hint="eastAsia" w:hAnsi="宋体"/>
          <w:bCs/>
        </w:rPr>
        <w:t>3.3 服务要求</w:t>
      </w:r>
    </w:p>
    <w:p w14:paraId="60776540">
      <w:pPr>
        <w:pStyle w:val="6"/>
        <w:spacing w:line="460" w:lineRule="exact"/>
        <w:ind w:firstLine="420" w:firstLineChars="200"/>
        <w:rPr>
          <w:rFonts w:hAnsi="宋体"/>
        </w:rPr>
      </w:pPr>
      <w:r>
        <w:rPr>
          <w:rFonts w:hint="eastAsia" w:hAnsi="宋体"/>
        </w:rPr>
        <w:t>3.3.1乙方应严格按照遴选文件、甲方书面任务通知或项目委托书、乙方响应文件及其澄清承诺、本合同、国家及行业现行有效标准、自治区现行有效政策和项目审批部门要求履行服务义务；前述文件或要求不一致的，按照有利于甲方、且符合强制性规定的标准执行。自治区或项目审批部门在合同履行期间发布新的政策、标准、格式或审查要求的，乙方应及时主动适用，并无偿对尚未完成或尚未通过审查的服务成果进行调整、补充和完善。</w:t>
      </w:r>
    </w:p>
    <w:p w14:paraId="20A4F9E0">
      <w:pPr>
        <w:pStyle w:val="6"/>
        <w:spacing w:line="460" w:lineRule="exact"/>
        <w:ind w:firstLine="420" w:firstLineChars="200"/>
        <w:rPr>
          <w:rFonts w:hAnsi="宋体"/>
        </w:rPr>
      </w:pPr>
      <w:r>
        <w:rPr>
          <w:rFonts w:hint="eastAsia" w:hAnsi="宋体"/>
        </w:rPr>
        <w:t>3.3.2乙方应在收到甲方书面任务通知或项目委托书后2个工作日内提交项目实施计划，至少明确项目负责人、服务团队、工作内容、各阶段成果、交付标准、完成时限、人员到场安排、审批申报及配合事项。除甲方另有书面要求外，项目实施计划至少应包括：需求调研及现场勘察、需求分析、方案或报告编制、概预算编制、采购需求编制、评审或审查申报、专家汇报及答疑、修改完善、成果提交、验收配合及后续服务等阶段。各阶段成果应按甲方要求以书面及可编辑电子文件形式提交，涉及审批、评审、测评、监理、测试、验收或备案的，还应提交符合主管部门要求的完整成果文件及过程资料。</w:t>
      </w:r>
    </w:p>
    <w:p w14:paraId="6A41453E">
      <w:pPr>
        <w:pStyle w:val="6"/>
        <w:spacing w:line="460" w:lineRule="exact"/>
        <w:ind w:firstLine="420" w:firstLineChars="200"/>
        <w:rPr>
          <w:rFonts w:hAnsi="宋体"/>
        </w:rPr>
      </w:pPr>
      <w:r>
        <w:rPr>
          <w:rFonts w:hint="eastAsia" w:hAnsi="宋体"/>
        </w:rPr>
        <w:t>3.3.3乙方应按照甲方确定的时间、地点和方式提供服务，按甲方要求参加需求调研、现场勘察、项目会议、专家评审、财政投资评审、外部申报、测试测评、项目验收及其他相关活动，并在甲方指定期限内完成答疑、修改、补充、复核和重新报审。乙方不得以等待第三方意见、人员安排、内部审批、工作量增加或其他自身原因延误履约。因乙方原因导致成果未通过甲方验收、财政投资评审、外部审批、专家评审、测评或备案的，乙方应在甲方指定期限内无偿修改，直至满足甲方及相关审批、评审或主管部门要求。</w:t>
      </w:r>
    </w:p>
    <w:p w14:paraId="0856226C">
      <w:pPr>
        <w:pStyle w:val="6"/>
        <w:spacing w:line="460" w:lineRule="exact"/>
        <w:ind w:firstLine="420" w:firstLineChars="200"/>
        <w:rPr>
          <w:rFonts w:hAnsi="宋体"/>
        </w:rPr>
      </w:pPr>
      <w:r>
        <w:rPr>
          <w:rFonts w:hint="eastAsia" w:hAnsi="宋体"/>
        </w:rPr>
        <w:t>3.3.4未经甲方书面同意，乙方不得擅自变更项目实施计划、成果交付节点、服务地点、服务方式、项目负责人、技术负责人及其他核心人员。乙方确需更换核心人员的，应至少提前7日向甲方提交书面申请，说明更换原因并提供拟替换人员的简历、资格证书、业绩证明及社保缴纳证明；未经甲方书面同意不得更换。替换人员的专业资格、项目经验、服务能力及响应文件承诺不得低于原人员，且不得影响项目进度和服务质量。甲方有权基于项目需要、履约质量或人员实际表现要求乙方更换相关人员，乙方应在甲方规定期限内完成更换，且不得因此增加费用或延误工期。</w:t>
      </w:r>
    </w:p>
    <w:p w14:paraId="5F466341">
      <w:pPr>
        <w:pStyle w:val="6"/>
        <w:spacing w:line="460" w:lineRule="exact"/>
        <w:ind w:firstLine="420" w:firstLineChars="200"/>
        <w:rPr>
          <w:rFonts w:hAnsi="宋体"/>
        </w:rPr>
      </w:pPr>
      <w:r>
        <w:rPr>
          <w:rFonts w:hint="eastAsia" w:hAnsi="宋体"/>
        </w:rPr>
        <w:t>3.3.5乙方应保证项目负责人及核心人员在项目服务期间保持稳定并实际参与项目，不得仅挂名或由未列入响应文件的人员替代。乙方应建立项目服务台账、成果交付清单、问题整改清单和会议纪要，并按甲方要求定期提交周报、月报或阶段性进展报告。甲方对阶段成果提出的意见、建议或签收，不视为对乙方成果的最终认可、验收合格或对乙方责任的减免；乙方仍应对成果的完整性、真实性、准确性、合规性及适用性承担责任。</w:t>
      </w:r>
    </w:p>
    <w:p w14:paraId="0EA84C28">
      <w:pPr>
        <w:pStyle w:val="6"/>
        <w:spacing w:line="460" w:lineRule="exact"/>
        <w:ind w:firstLine="420" w:firstLineChars="200"/>
        <w:rPr>
          <w:rFonts w:hAnsi="宋体"/>
        </w:rPr>
      </w:pPr>
      <w:r>
        <w:rPr>
          <w:rFonts w:hint="eastAsia" w:hAnsi="宋体"/>
        </w:rPr>
        <w:t>3.3.6乙方不得将本合同项下全部或部分服务转包、违法分包或交由未经甲方书面同意的第三方实施；确需使用专业协作单位的，应事先取得甲方书面同意，并确保协作单位具备相应资质。乙方对其人员及协作单位的全部行为、服务成果、保密义务、数据安全及违约责任承担连带责任。乙方违反本条约定的，甲方有权要求限期整改、暂停项目分派或服务实施、扣减相应服务费用，并依据合同约定追究乙方违约责任。</w:t>
      </w:r>
      <w:bookmarkEnd w:id="13"/>
    </w:p>
    <w:p w14:paraId="1B59DA42">
      <w:pPr>
        <w:pStyle w:val="6"/>
        <w:spacing w:line="460" w:lineRule="exact"/>
        <w:ind w:firstLine="482" w:firstLineChars="200"/>
        <w:rPr>
          <w:rFonts w:hAnsi="宋体"/>
          <w:b/>
        </w:rPr>
      </w:pPr>
      <w:r>
        <w:rPr>
          <w:rFonts w:hint="eastAsia" w:hAnsi="宋体"/>
          <w:b/>
          <w:bCs/>
          <w:sz w:val="24"/>
          <w:szCs w:val="24"/>
        </w:rPr>
        <w:t>4.履约保证金</w:t>
      </w:r>
    </w:p>
    <w:p w14:paraId="3192FC0C">
      <w:pPr>
        <w:pStyle w:val="6"/>
        <w:tabs>
          <w:tab w:val="left" w:pos="5220"/>
        </w:tabs>
        <w:spacing w:line="460" w:lineRule="exact"/>
        <w:ind w:firstLine="360"/>
        <w:rPr>
          <w:rFonts w:hAnsi="宋体"/>
        </w:rPr>
      </w:pPr>
      <w:r>
        <w:rPr>
          <w:rFonts w:hint="eastAsia" w:hAnsi="宋体"/>
        </w:rPr>
        <w:t>4.1乙方应在收到成交通知书后、签订合同前，按照甲方通知的金额提交履约保证金；履约保证金金额原则上按照本合同暂定合同金额的5%计取，具体金额以甲方书面通知为准。因本项目实际分派的子项目及服务金额存在不确定性，无法确定暂定合同金额的，乙方应按照甲方确定的固定金额人民币【    】元提交履约保证金；甲方后续实际分派项目累计金额超过甲方确定的金额基数时，乙方应在甲方通知期限内补足差额。</w:t>
      </w:r>
    </w:p>
    <w:p w14:paraId="487A0E1D">
      <w:pPr>
        <w:pStyle w:val="6"/>
        <w:tabs>
          <w:tab w:val="left" w:pos="5220"/>
        </w:tabs>
        <w:spacing w:line="460" w:lineRule="exact"/>
        <w:ind w:firstLine="360"/>
        <w:rPr>
          <w:rFonts w:hAnsi="宋体"/>
        </w:rPr>
      </w:pPr>
      <w:r>
        <w:rPr>
          <w:rFonts w:hint="eastAsia" w:hAnsi="宋体"/>
        </w:rPr>
        <w:t>4.2履约保证金可以采用银行转账、银行保函或甲方认可的其他合法、有效形式提交。采用保函形式的，保函应为见索即付、不可撤销、无条件独立保函，受益人为甲方，保证期间不得短于本合同项下乙方全部履约义务完成之日起90日；保函金额不足或有效期不足的，乙方应在甲方通知期限内补足或更换，否则视为乙方未提交履约保证金。</w:t>
      </w:r>
    </w:p>
    <w:p w14:paraId="78B2ACF7">
      <w:pPr>
        <w:pStyle w:val="6"/>
        <w:tabs>
          <w:tab w:val="left" w:pos="5220"/>
        </w:tabs>
        <w:spacing w:line="460" w:lineRule="exact"/>
        <w:ind w:firstLine="360"/>
        <w:rPr>
          <w:rFonts w:hAnsi="宋体"/>
        </w:rPr>
      </w:pPr>
      <w:r>
        <w:rPr>
          <w:rFonts w:hint="eastAsia" w:hAnsi="宋体"/>
        </w:rPr>
        <w:t>4.3乙方发生逾期履约、成果不合格、擅自更换核心人员、转包或违法分包、违反保密及数据安全义务、拒不整改、擅自停止服务或其他违约行为的，甲方有权按照本合同约定直接扣除全部或部分履约保证金，用于抵扣违约金、赔偿款、返工费用、第三方服务费用及甲方遭受的其他损失；履约保证金不足以弥补甲方损失的，乙方仍应补足差额。甲方行使前述扣除权不影响其同时要求乙方继续履行、整改、返还款项、赔偿损失或解除合同。</w:t>
      </w:r>
    </w:p>
    <w:p w14:paraId="201625DD">
      <w:pPr>
        <w:pStyle w:val="6"/>
        <w:tabs>
          <w:tab w:val="left" w:pos="5220"/>
        </w:tabs>
        <w:spacing w:line="460" w:lineRule="exact"/>
        <w:ind w:firstLine="360"/>
        <w:rPr>
          <w:rFonts w:hAnsi="宋体"/>
        </w:rPr>
      </w:pPr>
      <w:r>
        <w:rPr>
          <w:rFonts w:hint="eastAsia" w:hAnsi="宋体"/>
        </w:rPr>
        <w:t>4.4乙方完成本合同及全部已分派项目的履约义务，且不存在未结清的违约金、赔偿款、返工费用、第三方费用或其他应付款项后，甲方在收到乙方书面申请及完整资料之日起30个工作日内无息退还剩余履约保证金；乙方未提出申请、资料不完整或双方存在未解决的责任争议的，退还期限相应顺延。</w:t>
      </w:r>
    </w:p>
    <w:p w14:paraId="5412B63A">
      <w:pPr>
        <w:pStyle w:val="6"/>
        <w:spacing w:line="460" w:lineRule="exact"/>
        <w:ind w:firstLine="482" w:firstLineChars="200"/>
        <w:rPr>
          <w:rFonts w:hAnsi="宋体"/>
          <w:b/>
          <w:bCs/>
          <w:sz w:val="24"/>
          <w:szCs w:val="24"/>
        </w:rPr>
      </w:pPr>
      <w:r>
        <w:rPr>
          <w:rFonts w:hint="eastAsia" w:hAnsi="宋体"/>
          <w:b/>
          <w:bCs/>
          <w:sz w:val="24"/>
          <w:szCs w:val="24"/>
        </w:rPr>
        <w:t>5.质量保证及售后服务</w:t>
      </w:r>
    </w:p>
    <w:p w14:paraId="3AFD09EC">
      <w:pPr>
        <w:pStyle w:val="6"/>
        <w:tabs>
          <w:tab w:val="left" w:pos="5220"/>
        </w:tabs>
        <w:spacing w:line="460" w:lineRule="exact"/>
        <w:ind w:firstLine="360"/>
        <w:rPr>
          <w:rFonts w:hAnsi="宋体"/>
        </w:rPr>
      </w:pPr>
      <w:bookmarkStart w:id="14" w:name="tip_risk_bookmark_18"/>
      <w:r>
        <w:rPr>
          <w:rFonts w:hint="eastAsia" w:hAnsi="宋体"/>
        </w:rPr>
        <w:t>5.1质量保证期：</w:t>
      </w:r>
      <w:bookmarkEnd w:id="14"/>
      <w:r>
        <w:rPr>
          <w:rFonts w:hint="eastAsia" w:hAnsi="宋体"/>
        </w:rPr>
        <w:t>自相应子项目或服务项最终验收合格之日起计算，期限为【12 】个月；甲方另有书面要求或项目审批、评审、测评、备案及验收要求规定更长期限的，从其规定。质量保证期内，乙方应持续、无偿提供成果解释、答疑、修改、补充、复核、重新申报、验收配合及其他与服务成果质量和适用性有关的后续服务。质量保证期届满不影响乙方对质量瑕疵、权利瑕疵、侵权、保密及数据安全等依法或依约应承担的责任。</w:t>
      </w:r>
    </w:p>
    <w:p w14:paraId="4EFA19C3">
      <w:pPr>
        <w:pStyle w:val="6"/>
        <w:spacing w:line="460" w:lineRule="exact"/>
        <w:ind w:left="2" w:firstLine="359" w:firstLineChars="171"/>
        <w:rPr>
          <w:rFonts w:hAnsi="宋体"/>
        </w:rPr>
      </w:pPr>
      <w:r>
        <w:rPr>
          <w:rFonts w:hint="eastAsia" w:hAnsi="宋体"/>
        </w:rPr>
        <w:t>5.2质量保证期内，乙方应在收到甲方通知后【1】小时内响应，并按照甲方指定期限完成整改、修复、补充、重新编制或重新提交。乙方未按期处理，或者同一问题经两次整改仍未达到合同约定、甲方要求或相关主管部门要求的，甲方有权要求乙方更换人员、另行委托第三方处理或解除相应项目委托关系。</w:t>
      </w:r>
    </w:p>
    <w:p w14:paraId="6D5565E8">
      <w:pPr>
        <w:pStyle w:val="6"/>
        <w:spacing w:line="460" w:lineRule="exact"/>
        <w:ind w:firstLine="359" w:firstLineChars="171"/>
        <w:rPr>
          <w:rFonts w:hAnsi="宋体"/>
        </w:rPr>
      </w:pPr>
      <w:bookmarkStart w:id="15" w:name="auto_fouce_19"/>
      <w:r>
        <w:rPr>
          <w:rFonts w:hint="eastAsia" w:hAnsi="宋体"/>
        </w:rPr>
        <w:t>5.3乙方提供的服务如发生质量问题、成果缺陷、进度延误、服务不到位或其他不符合合同约定及甲方要求的情形，乙方接到甲方通知（含书面、电话、邮件、即时通讯等方式）后应‌立即响应，并在遴选文件载明的承诺时限内到达甲方指定现场，按照国家及行业标准和甲方要求及时完成处理；同一问题经2次整改仍无法满足甲方要求的，甲方有权要求乙方更换负责人员或另行指派其他符合资质的人员承接，由此产生的费用由乙方自行承担。</w:t>
      </w:r>
      <w:bookmarkEnd w:id="15"/>
    </w:p>
    <w:p w14:paraId="38A13957">
      <w:pPr>
        <w:pStyle w:val="6"/>
        <w:spacing w:line="460" w:lineRule="exact"/>
        <w:ind w:firstLine="359" w:firstLineChars="171"/>
        <w:rPr>
          <w:rFonts w:hAnsi="宋体"/>
          <w:color w:val="FF0000"/>
        </w:rPr>
      </w:pPr>
      <w:bookmarkStart w:id="16" w:name="free_15b046206684424ab833263be5e8d6d0"/>
      <w:bookmarkStart w:id="17" w:name="tip_risk_bookmark_20"/>
      <w:r>
        <w:rPr>
          <w:rFonts w:hint="eastAsia" w:hAnsi="宋体"/>
        </w:rPr>
        <w:t>5.4服务成果及质量要求</w:t>
      </w:r>
    </w:p>
    <w:p w14:paraId="0F45EB80">
      <w:pPr>
        <w:pStyle w:val="6"/>
        <w:spacing w:line="460" w:lineRule="exact"/>
        <w:ind w:firstLine="359" w:firstLineChars="171"/>
        <w:rPr>
          <w:rFonts w:hAnsi="宋体"/>
          <w:color w:val="FF0000"/>
        </w:rPr>
      </w:pPr>
      <w:r>
        <w:rPr>
          <w:rFonts w:hint="eastAsia" w:hAnsi="宋体"/>
        </w:rPr>
        <w:t>乙方应严格按照遴选文件、甲方书面任务通知或项目委托书、乙方响应文件及澄清承诺、本合同、国家及行业现行有效标准、自治区现行有效政策以及项目审批、评审、测评、备案和验收要求提供服务，并对服务成果的完整性、真实性、准确性、合规性、适用性和及时性负责。</w:t>
      </w:r>
    </w:p>
    <w:p w14:paraId="2B2D4CD3">
      <w:pPr>
        <w:pStyle w:val="6"/>
        <w:spacing w:line="460" w:lineRule="exact"/>
        <w:ind w:firstLine="359" w:firstLineChars="171"/>
        <w:rPr>
          <w:rFonts w:hAnsi="宋体"/>
          <w:color w:val="FF0000"/>
        </w:rPr>
      </w:pPr>
      <w:r>
        <w:rPr>
          <w:rFonts w:hint="eastAsia" w:hAnsi="宋体"/>
        </w:rPr>
        <w:t>A分标项目的服务成果包括但不限于需求分析报告、项目建议书、可行性研究报告、初步设计方案、项目建设方案、投资概算书、设备及软件清单、采购需求、评审申报材料、专家汇报材料、答疑及修改材料、评审意见和修改情况说明等；B分标项目的服务成果包括但不限于造价咨询成果、招标控制价评审报告、结算审核报告、监理规划、监理实施细则、监理通知及联系单、会议纪要、监理周报或月报、检查记录、审核意见、监理总结报告、测试报告、等级保护测评报告、商用密码应用安全性评估报告、验收意见及验收报告等。具体成果内容、格式、份数、提交时间及提交方式以甲方任务通知、项目委托书及相关主管部门要求为准。</w:t>
      </w:r>
    </w:p>
    <w:p w14:paraId="1497D3BC">
      <w:pPr>
        <w:pStyle w:val="6"/>
        <w:spacing w:line="460" w:lineRule="exact"/>
        <w:ind w:firstLine="359" w:firstLineChars="171"/>
        <w:rPr>
          <w:rFonts w:hAnsi="宋体"/>
          <w:color w:val="FF0000"/>
        </w:rPr>
      </w:pPr>
      <w:r>
        <w:rPr>
          <w:rFonts w:hint="eastAsia" w:hAnsi="宋体"/>
        </w:rPr>
        <w:t>5.5验收及整改</w:t>
      </w:r>
    </w:p>
    <w:p w14:paraId="0C26F08F">
      <w:pPr>
        <w:pStyle w:val="6"/>
        <w:spacing w:line="460" w:lineRule="exact"/>
        <w:ind w:firstLine="359" w:firstLineChars="171"/>
        <w:rPr>
          <w:rFonts w:hAnsi="宋体"/>
          <w:color w:val="FF0000"/>
        </w:rPr>
      </w:pPr>
      <w:r>
        <w:rPr>
          <w:rFonts w:hint="eastAsia" w:hAnsi="宋体"/>
        </w:rPr>
        <w:t>每个实际分派的子项目或服务项应单独验收。乙方提交的服务成果未达到本合同约定、甲方要求、项目审批或评审要求、国家及行业标准，或者未通过甲方验收、财政投资评审、外部审批、专家评审、测试测评、备案或其他相关审查的，均视为验收不合格。</w:t>
      </w:r>
    </w:p>
    <w:p w14:paraId="0E5E0E75">
      <w:pPr>
        <w:pStyle w:val="6"/>
        <w:spacing w:line="460" w:lineRule="exact"/>
        <w:ind w:firstLine="359" w:firstLineChars="171"/>
        <w:rPr>
          <w:rFonts w:hAnsi="宋体"/>
          <w:color w:val="FF0000"/>
        </w:rPr>
      </w:pPr>
      <w:r>
        <w:rPr>
          <w:rFonts w:hint="eastAsia" w:hAnsi="宋体"/>
        </w:rPr>
        <w:t>甲方有权向乙方发出书面整改通知，明确整改事项及完成期限。乙方应在甲方指定期限内无偿完成修改、补充、完善、重新编制、重新申报、答疑、复核或重新提交，并承担因此产生的全部费用，不得要求增加服务费或顺延交付期限。因乙方原因导致成果未通过相关审查的，乙方应持续修改完善，直至达到甲方及相关主管部门要求；因客观原因或甲方原因导致的除外，但乙方仍应按照甲方要求积极配合处理。</w:t>
      </w:r>
    </w:p>
    <w:p w14:paraId="16CFE1D3">
      <w:pPr>
        <w:pStyle w:val="6"/>
        <w:spacing w:line="460" w:lineRule="exact"/>
        <w:ind w:firstLine="359" w:firstLineChars="171"/>
        <w:rPr>
          <w:rFonts w:hAnsi="宋体"/>
          <w:color w:val="FF0000"/>
        </w:rPr>
      </w:pPr>
      <w:r>
        <w:rPr>
          <w:rFonts w:hint="eastAsia" w:hAnsi="宋体"/>
        </w:rPr>
        <w:t>甲方对阶段性成果的签收、审阅、提出修改意见或同意继续推进，不视为最终验收合格，亦不视为甲方放弃对乙方质量责任、整改责任或违约责任的追究。</w:t>
      </w:r>
    </w:p>
    <w:p w14:paraId="73852AB2">
      <w:pPr>
        <w:pStyle w:val="6"/>
        <w:spacing w:line="460" w:lineRule="exact"/>
        <w:ind w:firstLine="359" w:firstLineChars="171"/>
        <w:rPr>
          <w:rFonts w:hAnsi="宋体"/>
          <w:color w:val="FF0000"/>
        </w:rPr>
      </w:pPr>
      <w:r>
        <w:rPr>
          <w:rFonts w:hint="eastAsia" w:hAnsi="宋体"/>
        </w:rPr>
        <w:t>5.6不合格成果及违约处理</w:t>
      </w:r>
    </w:p>
    <w:p w14:paraId="18742DAF">
      <w:pPr>
        <w:pStyle w:val="6"/>
        <w:spacing w:line="460" w:lineRule="exact"/>
        <w:ind w:firstLine="359" w:firstLineChars="171"/>
        <w:rPr>
          <w:rFonts w:hAnsi="宋体"/>
          <w:color w:val="FF0000"/>
        </w:rPr>
      </w:pPr>
      <w:r>
        <w:rPr>
          <w:rFonts w:hint="eastAsia" w:hAnsi="宋体"/>
        </w:rPr>
        <w:t>乙方逾期未完成整改，或者整改后仍未通过验收、财政投资评审、外部审批、专家评审、测试测评、备案或其他相关审查的，甲方有权拒收相关成果，不支付对应子项目或服务项的服务费；已经支付的，甲方有权要求乙方退还。甲方还有权暂停向乙方分派新的项目、扣减相应服务费用、另行委托第三方处理或解除相应项目委托关系及本合同。</w:t>
      </w:r>
    </w:p>
    <w:p w14:paraId="4CF53A9A">
      <w:pPr>
        <w:pStyle w:val="6"/>
        <w:spacing w:line="460" w:lineRule="exact"/>
        <w:ind w:firstLine="359" w:firstLineChars="171"/>
        <w:rPr>
          <w:rFonts w:hAnsi="宋体"/>
          <w:color w:val="FF0000"/>
        </w:rPr>
      </w:pPr>
      <w:r>
        <w:rPr>
          <w:rFonts w:hint="eastAsia" w:hAnsi="宋体"/>
        </w:rPr>
        <w:t>因乙方原因导致甲方需另行委托第三方整改、重新编制、重新申报、重新评审、重新测试或重新测评的，乙方应承担由此产生的全部费用及甲方遭受的损失。甲方有权从应付乙方的服务费、履约保证金中直接扣除；不足部分由乙方另行支付。</w:t>
      </w:r>
    </w:p>
    <w:p w14:paraId="6040D28E">
      <w:pPr>
        <w:pStyle w:val="6"/>
        <w:spacing w:line="460" w:lineRule="exact"/>
        <w:ind w:firstLine="359" w:firstLineChars="171"/>
        <w:rPr>
          <w:rFonts w:hAnsi="宋体"/>
          <w:color w:val="FF0000"/>
        </w:rPr>
      </w:pPr>
      <w:r>
        <w:rPr>
          <w:rFonts w:hint="eastAsia" w:hAnsi="宋体"/>
        </w:rPr>
        <w:t>乙方未按照合同约定或甲方通知提供后续服务，或者未在约定时间内响应、到场、提交材料或完成整改的，每发生一次，甲方有权从应付服务费中扣除人民币1,000元作为违约金；造成甲方损失的，乙方还应承担赔偿责任。乙方累计发生三次或以上前述违约行为，或者发生严重影响项目进度、质量、安全或审批的违约行为，甲方有权解除相应项目委托关系或本合同。</w:t>
      </w:r>
    </w:p>
    <w:p w14:paraId="6EBFD72B">
      <w:pPr>
        <w:pStyle w:val="6"/>
        <w:spacing w:line="460" w:lineRule="exact"/>
        <w:ind w:firstLine="359" w:firstLineChars="171"/>
        <w:rPr>
          <w:rFonts w:hAnsi="宋体"/>
          <w:color w:val="FF0000"/>
        </w:rPr>
      </w:pPr>
      <w:r>
        <w:rPr>
          <w:rFonts w:hint="eastAsia" w:hAnsi="宋体"/>
        </w:rPr>
        <w:t>乙方提交的服务成果经两次整改仍不符合约定要求，或者存在重大错误、遗漏、虚假内容，导致项目无法推进、未通过相关审查或造成甲方损失的，甲方有权拒付对应子项目或服务项的全部服务费，要求乙方退还已支付款项，扣除相应违约金及损失，并单方解除相应项目委托关系或本合同。</w:t>
      </w:r>
    </w:p>
    <w:p w14:paraId="1B7EBE4F">
      <w:pPr>
        <w:pStyle w:val="6"/>
        <w:spacing w:line="460" w:lineRule="exact"/>
        <w:ind w:firstLine="359" w:firstLineChars="171"/>
        <w:rPr>
          <w:rFonts w:hAnsi="宋体"/>
          <w:color w:val="FF0000"/>
        </w:rPr>
      </w:pPr>
      <w:r>
        <w:rPr>
          <w:rFonts w:hint="eastAsia" w:hAnsi="宋体"/>
        </w:rPr>
        <w:t>5.7后续服务</w:t>
      </w:r>
    </w:p>
    <w:p w14:paraId="01721591">
      <w:pPr>
        <w:pStyle w:val="6"/>
        <w:spacing w:line="460" w:lineRule="exact"/>
        <w:ind w:firstLine="359" w:firstLineChars="171"/>
        <w:rPr>
          <w:rFonts w:hAnsi="宋体"/>
          <w:color w:val="FF0000"/>
        </w:rPr>
      </w:pPr>
      <w:r>
        <w:rPr>
          <w:rFonts w:hint="eastAsia" w:hAnsi="宋体"/>
        </w:rPr>
        <w:t>乙方应自接受甲方项目任务之日起至相关服务项目竣工验收完成之日止，按照甲方要求持续提供后续服务，包括但不限于成果解释、答疑、修改完善、评审及审批配合、现场服务、验收配合、资料移交和项目管理支持等。前述后续服务已包含在合同服务范围及报价内，乙方不得另行收取费用。</w:t>
      </w:r>
    </w:p>
    <w:p w14:paraId="14F5BB5A">
      <w:pPr>
        <w:pStyle w:val="6"/>
        <w:spacing w:line="460" w:lineRule="exact"/>
        <w:ind w:firstLine="359" w:firstLineChars="171"/>
        <w:rPr>
          <w:rFonts w:hAnsi="宋体"/>
          <w:color w:val="FF0000"/>
        </w:rPr>
      </w:pPr>
      <w:r>
        <w:rPr>
          <w:rFonts w:hint="eastAsia" w:hAnsi="宋体"/>
        </w:rPr>
        <w:t>5.8其他服务要求</w:t>
      </w:r>
    </w:p>
    <w:p w14:paraId="36BA6136">
      <w:pPr>
        <w:pStyle w:val="6"/>
        <w:spacing w:line="460" w:lineRule="exact"/>
        <w:ind w:left="2" w:firstLine="360"/>
        <w:rPr>
          <w:rFonts w:hAnsi="Times New Roman"/>
        </w:rPr>
      </w:pPr>
      <w:r>
        <w:rPr>
          <w:rFonts w:hint="eastAsia" w:hAnsi="宋体"/>
        </w:rPr>
        <w:t>本合同未尽的具体服务内容、成果要求、服务标准及商务要求，按照遴选文件、遴选文件澄清和修改文件、乙方响应文件、乙方澄清承诺以及甲方书面任务通知或项目委托书执行；前述文件约定不一致的，以对甲方要求较高且不违反强制性规定的内容为准。商务条款偏离表与澄清函不一致的，以澄清函为准；乙方响应文件中的承诺高于遴选文件或本合同要求的，按照较高标准执行。</w:t>
      </w:r>
      <w:bookmarkEnd w:id="16"/>
      <w:bookmarkEnd w:id="17"/>
      <w:bookmarkStart w:id="18" w:name="auto_fouce_22"/>
    </w:p>
    <w:bookmarkEnd w:id="18"/>
    <w:p w14:paraId="673A4586">
      <w:pPr>
        <w:pStyle w:val="6"/>
        <w:spacing w:line="460" w:lineRule="exact"/>
        <w:ind w:firstLine="482" w:firstLineChars="200"/>
        <w:rPr>
          <w:rFonts w:hAnsi="宋体"/>
          <w:b/>
          <w:bCs/>
          <w:sz w:val="24"/>
          <w:szCs w:val="24"/>
        </w:rPr>
      </w:pPr>
      <w:r>
        <w:rPr>
          <w:rFonts w:hint="eastAsia" w:hAnsi="宋体"/>
          <w:b/>
          <w:bCs/>
          <w:sz w:val="24"/>
          <w:szCs w:val="24"/>
        </w:rPr>
        <w:t>6.合同款支付</w:t>
      </w:r>
    </w:p>
    <w:p w14:paraId="5E25C38E">
      <w:pPr>
        <w:pStyle w:val="6"/>
        <w:spacing w:line="460" w:lineRule="exact"/>
        <w:ind w:firstLine="360"/>
        <w:rPr>
          <w:rFonts w:hAnsi="宋体"/>
        </w:rPr>
      </w:pPr>
      <w:bookmarkStart w:id="19" w:name="auto_fouce_25"/>
      <w:r>
        <w:rPr>
          <w:rFonts w:hint="eastAsia" w:hAnsi="宋体"/>
        </w:rPr>
        <w:t>6.1付款方式：</w:t>
      </w:r>
      <w:r>
        <w:rPr>
          <w:rFonts w:hint="eastAsia" w:hAnsi="宋体"/>
          <w:u w:val="single"/>
        </w:rPr>
        <w:t>本项目无预付款</w:t>
      </w:r>
      <w:r>
        <w:rPr>
          <w:rFonts w:hint="eastAsia" w:hAnsi="宋体"/>
        </w:rPr>
        <w:t>。乙方完成单个项目或服务项并经甲方验收合格，且提交符合甲方财务要求的等额发票及完整结算资料后，甲方于15个工作日内支付至最终结算服务费的100%。服务费按财政投资评审审定的对应服务项费用金额乘以乙方中标折扣率计算；项目不需财政投资评审的，以单位预算批复金额作为计算基价。乙方未按要求提交发票或结算资料的，甲方有权顺延付款，且不承担违约责任。</w:t>
      </w:r>
      <w:bookmarkEnd w:id="19"/>
    </w:p>
    <w:p w14:paraId="69B1C584">
      <w:pPr>
        <w:pStyle w:val="6"/>
        <w:spacing w:line="460" w:lineRule="exact"/>
        <w:ind w:firstLine="360"/>
        <w:rPr>
          <w:rFonts w:hAnsi="宋体"/>
        </w:rPr>
      </w:pPr>
      <w:r>
        <w:rPr>
          <w:rFonts w:hint="eastAsia" w:hAnsi="宋体"/>
        </w:rPr>
        <w:t>6.2支付合同款时，由甲方按照支付程序将款项直接支付给供应商。</w:t>
      </w:r>
    </w:p>
    <w:p w14:paraId="33CE8DDB">
      <w:pPr>
        <w:pStyle w:val="6"/>
        <w:spacing w:line="460" w:lineRule="exact"/>
        <w:ind w:firstLine="360"/>
        <w:rPr>
          <w:rFonts w:hAnsi="宋体"/>
          <w:bCs/>
          <w:u w:val="single"/>
        </w:rPr>
      </w:pPr>
      <w:bookmarkStart w:id="20" w:name="tip_risk_bookmark_26"/>
      <w:r>
        <w:rPr>
          <w:rFonts w:hint="eastAsia" w:hAnsi="宋体"/>
        </w:rPr>
        <w:t>6.3当服务数量与实际需求不一致时，甲方可以在不改变合同其他条款的前提下与乙方协商签订补充合同，但所有补充合同的采购金额不得超过原合同采购金额的百分之十。</w:t>
      </w:r>
      <w:bookmarkEnd w:id="20"/>
    </w:p>
    <w:p w14:paraId="2EEC43C7">
      <w:pPr>
        <w:pStyle w:val="6"/>
        <w:spacing w:line="460" w:lineRule="exact"/>
        <w:ind w:left="479" w:leftChars="228" w:firstLine="70" w:firstLineChars="29"/>
        <w:rPr>
          <w:rFonts w:hAnsi="宋体"/>
          <w:b/>
        </w:rPr>
      </w:pPr>
      <w:r>
        <w:rPr>
          <w:rFonts w:hint="eastAsia" w:hAnsi="宋体"/>
          <w:b/>
          <w:bCs/>
          <w:sz w:val="24"/>
          <w:szCs w:val="24"/>
        </w:rPr>
        <w:t>7.产权</w:t>
      </w:r>
    </w:p>
    <w:p w14:paraId="15100E9B">
      <w:pPr>
        <w:pStyle w:val="6"/>
        <w:spacing w:line="460" w:lineRule="exact"/>
        <w:ind w:left="2" w:firstLine="359" w:firstLineChars="171"/>
        <w:rPr>
          <w:rFonts w:hAnsi="宋体"/>
          <w:bCs/>
        </w:rPr>
      </w:pPr>
      <w:r>
        <w:rPr>
          <w:rFonts w:hint="eastAsia" w:hAnsi="宋体"/>
        </w:rPr>
        <w:t>7.1乙方保证所提供的服务或其任何一部分均不会侵犯任何第三方的专利权、商标权或著作权等合法权利</w:t>
      </w:r>
      <w:r>
        <w:rPr>
          <w:rFonts w:hint="eastAsia" w:hAnsi="宋体"/>
          <w:bCs/>
        </w:rPr>
        <w:t>。</w:t>
      </w:r>
    </w:p>
    <w:p w14:paraId="1530AB9E">
      <w:pPr>
        <w:pStyle w:val="6"/>
        <w:spacing w:line="460" w:lineRule="exact"/>
        <w:ind w:left="2" w:firstLine="359" w:firstLineChars="171"/>
        <w:rPr>
          <w:rFonts w:hAnsi="宋体"/>
        </w:rPr>
      </w:pPr>
      <w:bookmarkStart w:id="21" w:name="free_f4ce547be0f34084baf8f3f8b9f17eab"/>
      <w:r>
        <w:rPr>
          <w:rFonts w:hint="eastAsia" w:hAnsi="宋体"/>
        </w:rPr>
        <w:t>7.2乙方保证其提供的服务成果，包括但不限于设计文件、方案、报告、图纸、数据材料、过程文档及其他交付成果，均具有合法、完整、可处分的权利基础，不存在任何权属争议、权利瑕疵、权利负担或第三方权利限制，不侵犯任何第三方的著作权、专利权、商标权、商业秘密、个人信息权益及其他合法权益。除乙方依法享有且不影响甲方使用的既有基础资料、通用工具或第三方合法授权内容外，服务成果形成后的全部知识产权及其他可转让、可许可使用的权利，按照本合同第7.3条约定归甲方所有或由甲方享有。乙方应确保甲方对服务成果享有完整、持续、排他的使用、复制、修改、发表、再许可、转让及基于成果进行后续开发利用的权利，不得以权利未转移、未取得授权或存在第三方权利为由限制甲方使用。因服务成果存在权利瑕疵、第三方权利主张或侵权争议，导致甲方无法使用、被追究责任、遭受索赔、承担费用或发生其他损失的，乙方应立即负责处理并承担全部责任；甲方有权要求乙方无偿修改、替换或重新提供不侵权且符合合同要求的服务成果，并有权要求乙方支付合同约定的违约金及赔偿甲方因此遭受的全部损失。上述责任不因甲方已支付全部或部分合同款、已接收服务成果或合同终止而减免。</w:t>
      </w:r>
      <w:bookmarkEnd w:id="21"/>
    </w:p>
    <w:p w14:paraId="1BEB76F2">
      <w:pPr>
        <w:pStyle w:val="6"/>
        <w:spacing w:line="460" w:lineRule="exact"/>
        <w:ind w:left="2" w:firstLine="359" w:firstLineChars="171"/>
        <w:rPr>
          <w:rFonts w:hAnsi="宋体"/>
        </w:rPr>
      </w:pPr>
      <w:bookmarkStart w:id="22" w:name="auto_fouce_27"/>
      <w:r>
        <w:rPr>
          <w:rFonts w:hint="eastAsia" w:hAnsi="宋体"/>
        </w:rPr>
        <w:t>7.3项目实施过程中形成的全部工作成果，包括但不限于计算机程序、设计文书、方案、报告、评审资料、监理文件、测试及测评报告、数据材料、过程文档等，其全部知识产权及衍生权益均归甲方所有。未经甲方书面许可，乙方不得自行或授权任何第三方使用、复制、修改、发表、披露、转让、许可使用前述成果，不得将其用于其他项目或任何非本项目用途，不得基于前述成果训练模型、进行行业分析或获取商业利益。乙方违反本条约定的，应向甲方支付对应项目服务费30%的违约金；违约金不足以弥补甲方损失的，乙方还应继续赔偿甲方全部损失。</w:t>
      </w:r>
      <w:bookmarkEnd w:id="22"/>
    </w:p>
    <w:p w14:paraId="4A5C0A03">
      <w:pPr>
        <w:pStyle w:val="6"/>
        <w:spacing w:line="460" w:lineRule="exact"/>
        <w:ind w:firstLine="482" w:firstLineChars="200"/>
        <w:rPr>
          <w:rFonts w:hAnsi="宋体"/>
          <w:b/>
        </w:rPr>
      </w:pPr>
      <w:r>
        <w:rPr>
          <w:rFonts w:hint="eastAsia" w:hAnsi="宋体"/>
          <w:b/>
          <w:bCs/>
          <w:sz w:val="24"/>
          <w:szCs w:val="24"/>
        </w:rPr>
        <w:t>8.技术资料</w:t>
      </w:r>
    </w:p>
    <w:p w14:paraId="13BA39EC">
      <w:pPr>
        <w:pStyle w:val="6"/>
        <w:spacing w:line="460" w:lineRule="exact"/>
        <w:ind w:firstLine="360"/>
        <w:rPr>
          <w:rFonts w:hAnsi="宋体"/>
        </w:rPr>
      </w:pPr>
      <w:r>
        <w:rPr>
          <w:rFonts w:hint="eastAsia" w:hAnsi="宋体"/>
        </w:rPr>
        <w:t>8.1甲方向乙方提供采购服务的有关技术要求。</w:t>
      </w:r>
    </w:p>
    <w:p w14:paraId="197856A6">
      <w:pPr>
        <w:pStyle w:val="6"/>
        <w:spacing w:line="460" w:lineRule="exact"/>
        <w:ind w:firstLine="360"/>
        <w:rPr>
          <w:rFonts w:hAnsi="宋体"/>
        </w:rPr>
      </w:pPr>
      <w:r>
        <w:rPr>
          <w:rFonts w:hint="eastAsia" w:hAnsi="宋体"/>
        </w:rPr>
        <w:t>8.2乙方应在采购文件规定的时间向甲方提供服务的有关技术资料。</w:t>
      </w:r>
    </w:p>
    <w:p w14:paraId="4188F59C">
      <w:pPr>
        <w:pStyle w:val="6"/>
        <w:spacing w:line="460" w:lineRule="exact"/>
        <w:ind w:firstLine="360"/>
        <w:rPr>
          <w:rFonts w:hAnsi="宋体"/>
          <w:color w:val="FF0000"/>
        </w:rPr>
      </w:pPr>
      <w:bookmarkStart w:id="23" w:name="auto_fouce_29"/>
      <w:r>
        <w:rPr>
          <w:rFonts w:hint="eastAsia" w:hAnsi="宋体"/>
        </w:rPr>
        <w:t>8.3没有甲方事先书面同意，乙方不得将甲方提供的有关合同或任何合同条文、规格、计划、图纸、样品或资料提供给予履行本合同无关的其他任何人。即使向与履行本合同有关的人员提供，也应注意保密并限于履行合同的必需范围。</w:t>
      </w:r>
      <w:bookmarkStart w:id="24" w:name="auto_fouce_30"/>
    </w:p>
    <w:p w14:paraId="5F5809ED">
      <w:pPr>
        <w:pStyle w:val="6"/>
        <w:spacing w:line="460" w:lineRule="exact"/>
        <w:ind w:firstLine="360"/>
        <w:rPr>
          <w:rFonts w:hAnsi="宋体"/>
          <w:color w:val="FF0000"/>
        </w:rPr>
      </w:pPr>
      <w:r>
        <w:rPr>
          <w:rFonts w:hint="eastAsia" w:hAnsi="宋体"/>
        </w:rPr>
        <w:t>乙方违反本合同第8条保密约定，或违反合同附件中保密协议约定的，应向甲方支付违约金人民币伍万元整；违约金不足以弥补甲方损失的，乙方应就超出部分承担赔偿责任。</w:t>
      </w:r>
      <w:bookmarkEnd w:id="24"/>
      <w:r>
        <w:rPr>
          <w:rFonts w:hint="eastAsia" w:hAnsi="宋体"/>
          <w:color w:val="FF0000"/>
        </w:rPr>
        <w:t xml:space="preserve"> </w:t>
      </w:r>
      <w:bookmarkStart w:id="25" w:name="auto_fouce_31"/>
    </w:p>
    <w:p w14:paraId="29D6DA1F">
      <w:pPr>
        <w:pStyle w:val="6"/>
        <w:spacing w:line="460" w:lineRule="exact"/>
        <w:ind w:firstLine="360"/>
        <w:rPr>
          <w:rFonts w:hAnsi="宋体"/>
        </w:rPr>
      </w:pPr>
      <w:r>
        <w:rPr>
          <w:rFonts w:hint="eastAsia" w:hAnsi="宋体"/>
        </w:rPr>
        <w:t>乙方在服务过程中应严格遵守数据安全、个人信息保护相关法律法规，涉及个人信息处理的，应取得合法授权，不得超出本项目必要范围处理个人信息；如因乙方违规处理导致合规风险或相关主体索赔的，全部责任由乙方承担。</w:t>
      </w:r>
      <w:bookmarkEnd w:id="25"/>
      <w:r>
        <w:rPr>
          <w:rFonts w:hint="eastAsia" w:hAnsi="宋体"/>
          <w:color w:val="FF0000"/>
        </w:rPr>
        <w:t xml:space="preserve"> </w:t>
      </w:r>
      <w:r>
        <w:rPr>
          <w:rFonts w:hint="eastAsia" w:hAnsi="宋体"/>
        </w:rPr>
        <w:t>乙方因履行本合同所获取的甲方所有数据、信息（包括但不限于学校信息化基础设施数据、系统数据、用户数据、业务数据、评审数据、项目资料等）仅可用于本项目服务目的，不得用于其他任何用途，不得擅自存储、复制、泄露或向第三方提供，服务结束后应将全部数据返还甲方并销毁本地存储的副本。</w:t>
      </w:r>
      <w:bookmarkEnd w:id="23"/>
    </w:p>
    <w:p w14:paraId="2DF9E943">
      <w:pPr>
        <w:pStyle w:val="6"/>
        <w:spacing w:line="460" w:lineRule="exact"/>
        <w:ind w:firstLine="482" w:firstLineChars="200"/>
        <w:rPr>
          <w:rFonts w:hAnsi="宋体"/>
          <w:b/>
          <w:bCs/>
          <w:sz w:val="24"/>
          <w:szCs w:val="24"/>
        </w:rPr>
      </w:pPr>
      <w:r>
        <w:rPr>
          <w:rFonts w:hint="eastAsia" w:hAnsi="宋体"/>
          <w:b/>
          <w:bCs/>
          <w:sz w:val="24"/>
          <w:szCs w:val="24"/>
        </w:rPr>
        <w:t>9.验收</w:t>
      </w:r>
    </w:p>
    <w:p w14:paraId="5C0C47C2">
      <w:pPr>
        <w:pStyle w:val="6"/>
        <w:spacing w:line="460" w:lineRule="exact"/>
        <w:ind w:firstLine="420" w:firstLineChars="200"/>
        <w:rPr>
          <w:rFonts w:hAnsi="宋体"/>
        </w:rPr>
      </w:pPr>
      <w:bookmarkStart w:id="26" w:name="free_4c121ad889514a8e809fd61b2fe5c4fc"/>
      <w:r>
        <w:rPr>
          <w:rFonts w:hint="eastAsia" w:hAnsi="宋体"/>
        </w:rPr>
        <w:t>9.1验收单元及验收前提。甲方根据实际工作需要向乙方分派项目或服务任务。每个实际分派的子项目，或者同一子项目下可独立交付、独立计价的服务项，均作为独立验收单元，分别提交成果、分别验收、分别结算。除甲方书面同意外，乙方不得以部分成果、阶段性成果或同一子项目下其他服务项的完成，主张该子项目或相关服务项已经验收合格或具备付款条件。乙方申请验收前，应完成相应任务通知或项目委托书约定的全部工作，提交完整、真实、准确、可编辑且符合要求的服务成果、过程资料、成果清单及其他验收资料，并完成应由乙方负责的审批、评审、申报、答疑、修改、复核、测评、备案及验收配合工作。涉及财政投资评审、外部审批、专家评审、测试测评、等级保护测评、商用密码应用安全性评估、备案或其他主管部门审查的，除甲方书面另有要求外，相关服务成果应已通过相应审查或取得符合主管部门要求的成果文件。</w:t>
      </w:r>
    </w:p>
    <w:p w14:paraId="0D64B1EA">
      <w:pPr>
        <w:pStyle w:val="6"/>
        <w:spacing w:line="460" w:lineRule="exact"/>
        <w:ind w:firstLine="360"/>
        <w:rPr>
          <w:rFonts w:hAnsi="宋体"/>
        </w:rPr>
      </w:pPr>
      <w:r>
        <w:rPr>
          <w:rFonts w:hint="eastAsia" w:hAnsi="宋体"/>
        </w:rPr>
        <w:t>9.2验收申请及验收依据。乙方完成相应验收单元的全部服务后，应向甲方提交书面验收申请及完整验收资料。甲方收到申请后有权对资料的完整性进行审查；资料不完整、成果不符合提交要求或不具备验收条件的，甲方有权退回申请并要求乙方补充完善，甲方验收期限自乙方补齐全部资料且具备验收条件之日起计算。甲方在收到完整验收资料且确认具备验收条件后七个工作日内组织验收，或根据项目实际情况委托相关部门、专家、第三方专业机构参与验收。验收依据包括但不限于遴选文件及其澄清、修改文件，乙方响应文件及澄清承诺，本合同及任务通知或项目委托书，国家及行业现行有效标准、技术规范、自治区现行有效政策、项目审批及评审要求，以及甲方确认的其他书面要求。各项依据不一致的，按照有利于甲方且不违反强制性规定的标准执行。</w:t>
      </w:r>
    </w:p>
    <w:p w14:paraId="6F56BD2E">
      <w:pPr>
        <w:pStyle w:val="6"/>
        <w:spacing w:line="460" w:lineRule="exact"/>
        <w:ind w:firstLine="360"/>
        <w:rPr>
          <w:rFonts w:hAnsi="宋体"/>
        </w:rPr>
      </w:pPr>
      <w:r>
        <w:rPr>
          <w:rFonts w:hint="eastAsia" w:hAnsi="宋体"/>
        </w:rPr>
        <w:t>9.3验收结果及整改。验收结果分为合格和不合格。甲方有权根据验收情况出具验收意见、验收报告或其他书面验收文件。乙方应按甲方要求参加验收，并由项目负责人或甲方认可的授权人员在场配合；乙方无正当理由未到场的，不影响甲方单方验收、记录验收结果及作出处理决定。验收不合格的，甲方有权向乙方发出整改通知，列明全部或部分问题及整改期限；乙方应在甲方指定期限内无偿完成修改、补充、完善、重新编制、重新申报、答疑、复核或重新提交，并承担由此产生的全部费用，不得要求增加费用或顺延原定交付期限。整改及重新提交期间不计入甲方验收期限，乙方重新提交完整资料并具备验收条件后，验收期限重新起算。甲方提出阶段性审查意见、签收资料、同意继续推进工作或未在一定期限内完成验收，均不视为验收合格、视为甲方认可成果质量或视为甲方放弃追究乙方责任。</w:t>
      </w:r>
    </w:p>
    <w:p w14:paraId="59E50F59">
      <w:pPr>
        <w:pStyle w:val="6"/>
        <w:spacing w:line="460" w:lineRule="exact"/>
        <w:ind w:firstLine="360"/>
        <w:rPr>
          <w:rFonts w:hAnsi="宋体"/>
        </w:rPr>
      </w:pPr>
      <w:r>
        <w:rPr>
          <w:rFonts w:hint="eastAsia" w:hAnsi="宋体"/>
        </w:rPr>
        <w:t>9.4不合格成果的处理。乙方逾期未整改，或者整改后仍未通过甲方验收、财政投资评审、外部审批、专家评审、测试测评、备案或其他相关审查的，甲方有权拒收全部或部分成果，不支付对应子项目或服务项的服务费用；已支付的，甲方有权要求乙方退还。甲方还有权要求乙方承担重新编制、整改、申报、评审、测试、测评及另行委托第三方处理所产生的全部费用和损失，并有权暂停向乙方分派新项目、减少或取消后续项目分派、扣减应付费用、解除相应项目委托关系或解除本合同。乙方未按合同约定或甲方要求的时间、地点提供服务，或者成果经甲方或相关第三方专业机构确认不合格的，均适用本条约定。除甲方书面出具最终验收合格文件外，任何文件签收、资料接收、付款审批或部分付款均不构成最终验收合格。</w:t>
      </w:r>
      <w:bookmarkEnd w:id="26"/>
    </w:p>
    <w:p w14:paraId="61414224">
      <w:pPr>
        <w:pStyle w:val="6"/>
        <w:spacing w:line="460" w:lineRule="exact"/>
        <w:ind w:firstLine="482" w:firstLineChars="200"/>
        <w:rPr>
          <w:rFonts w:hAnsi="宋体"/>
          <w:b/>
          <w:bCs/>
          <w:color w:val="FF0000"/>
          <w:sz w:val="24"/>
          <w:szCs w:val="24"/>
        </w:rPr>
      </w:pPr>
      <w:bookmarkStart w:id="27" w:name="free_d1ea8a92995e416b8008d42612937550"/>
      <w:r>
        <w:rPr>
          <w:rFonts w:hint="eastAsia" w:hAnsi="宋体"/>
          <w:b/>
          <w:bCs/>
          <w:sz w:val="24"/>
          <w:szCs w:val="24"/>
        </w:rPr>
        <w:t>10.违约责任</w:t>
      </w:r>
    </w:p>
    <w:p w14:paraId="6CECE9AB">
      <w:pPr>
        <w:pStyle w:val="6"/>
        <w:spacing w:line="460" w:lineRule="exact"/>
        <w:ind w:firstLine="360"/>
        <w:rPr>
          <w:rFonts w:hAnsi="宋体"/>
        </w:rPr>
      </w:pPr>
      <w:r>
        <w:rPr>
          <w:rFonts w:hint="eastAsia" w:hAnsi="宋体"/>
        </w:rPr>
        <w:t>10.1甲方权利及责任。甲方有权依据本合同、任务通知、项目委托书及验收结果，拒收不合格成果、要求乙方整改、暂停付款、扣减或拒付相应服务费用、要求返还已付款项、暂停或减少项目分派、另行委托第三方处理以及解除相应项目委托关系或本合同。因乙方未提交完整结算资料、发票，服务成果未验收合格，存在质量、权利、保密、数据安全或其他争议，或者付款尚需履行甲方内部审批、预算管理、国库支付及其他法定或必要程序，导致付款顺延的，不视为甲方逾期付款，甲方不承担违约责任。仅在相应服务成果已最终验收合格、乙方已提交完整结算资料及合规发票、付款金额无争议且不存在前述顺延事由的情况下，甲方无正当理由逾期付款的，按照逾期未付款项每日万分之二向乙方支付违约金，违约金总额不超过逾期未付款项的百分之二。甲方未向乙方分派项目，或实际分派项目数量、金额低于乙方预期的，不构成甲方违约，甲方无需向乙方支付补偿或赔偿。</w:t>
      </w:r>
    </w:p>
    <w:p w14:paraId="67D901C0">
      <w:pPr>
        <w:pStyle w:val="6"/>
        <w:spacing w:line="460" w:lineRule="exact"/>
        <w:ind w:firstLine="360"/>
        <w:rPr>
          <w:rFonts w:hAnsi="宋体"/>
        </w:rPr>
      </w:pPr>
      <w:r>
        <w:rPr>
          <w:rFonts w:hint="eastAsia" w:hAnsi="宋体"/>
        </w:rPr>
        <w:t>10.2逾期履约。乙方未按照任务通知、项目委托书、项目实施计划或甲方书面要求的时间完成服务、提交成果、到场、响应、整改、补充资料、重新申报、答疑、复核或其他履约事项的，每逾期一日，乙方应按照逾期对应子项目或服务项服务费的每日万分之五向甲方支付违约金；逾期对应金额无法确定的，按照该子项目或服务项预计服务费计算。甲方有权直接从应付乙方的任何款项中扣除。乙方逾期超过十个工作日，或者逾期行为已经影响项目进度、审批、评审、采购、建设、验收或其他工作目标的，甲方有权解除相应项目委托关系或本合同，并要求乙方按照受影响子项目或服务项服务费的百分之二十支付违约金；如乙方违约涉及多个子项目或无法区分具体子项目的，按照乙方在本合同项下累计已分派项目服务费总额计算。无论是否解除合同，乙方均应继续赔偿甲方遭受的全部损失。</w:t>
      </w:r>
    </w:p>
    <w:p w14:paraId="7868CC3A">
      <w:pPr>
        <w:pStyle w:val="6"/>
        <w:spacing w:line="460" w:lineRule="exact"/>
        <w:ind w:firstLine="360"/>
        <w:rPr>
          <w:rFonts w:hAnsi="宋体"/>
        </w:rPr>
      </w:pPr>
      <w:r>
        <w:rPr>
          <w:rFonts w:hint="eastAsia" w:hAnsi="宋体"/>
        </w:rPr>
        <w:t>10.3成果不合格。乙方提交的服务成果不符合遴选文件、本合同、任务通知、项目委托书、乙方响应文件及澄清承诺、国家及行业现行有效标准、自治区现行有效政策、项目审批评审要求或甲方书面要求的，视为成果不合格。甲方有权拒收全部或部分成果，并要求乙方在甲方指定期限内无偿修改、补充、完善、重新编制、重新提交或重新申报，乙方不得要求增加费用或顺延交付期限。乙方逾期未完成整改，或者经两次整改仍未通过甲方验收、财政投资评审、外部审批、专家评审、测试测评、备案或其他相关审查的，甲方有权不支付相应服务费用；已支付的，甲方有权要求乙方退还，并有权按照对应子项目或服务项服务费的百分之二十向乙方收取违约金。甲方还可以另行委托第三方处理，由此产生的全部费用及损失由乙方承担。</w:t>
      </w:r>
    </w:p>
    <w:p w14:paraId="47154FF3">
      <w:pPr>
        <w:pStyle w:val="6"/>
        <w:spacing w:line="460" w:lineRule="exact"/>
        <w:ind w:firstLine="360"/>
        <w:rPr>
          <w:rFonts w:hAnsi="宋体"/>
        </w:rPr>
      </w:pPr>
      <w:r>
        <w:rPr>
          <w:rFonts w:hint="eastAsia" w:hAnsi="宋体"/>
        </w:rPr>
        <w:t>10.4其他重大违约。乙方有下列情形之一的，甲方有权立即暂停项目分派、暂停付款、扣减或拒付相关费用，并有权解除相应项目委托关系或本合同，要求乙方按照受影响子项目或服务项服务费的百分之二十支付违约金；如违约行为无法对应具体子项目或服务项，按照乙方在本合同项下累计已分派项目服务费总额计算：</w:t>
      </w:r>
    </w:p>
    <w:p w14:paraId="4498A9C2">
      <w:pPr>
        <w:pStyle w:val="6"/>
        <w:spacing w:line="460" w:lineRule="exact"/>
        <w:ind w:firstLine="360"/>
        <w:rPr>
          <w:rFonts w:hAnsi="宋体"/>
        </w:rPr>
      </w:pPr>
      <w:r>
        <w:rPr>
          <w:rFonts w:hint="eastAsia" w:hAnsi="宋体"/>
        </w:rPr>
        <w:t>（1）提供虚假材料、虚假承诺，隐瞒重要事实，或者不具备、丧失履约所需资质、资格或能力；</w:t>
      </w:r>
    </w:p>
    <w:p w14:paraId="61C3ED9F">
      <w:pPr>
        <w:pStyle w:val="6"/>
        <w:spacing w:line="460" w:lineRule="exact"/>
        <w:ind w:firstLine="360"/>
        <w:rPr>
          <w:rFonts w:hAnsi="宋体"/>
        </w:rPr>
      </w:pPr>
      <w:r>
        <w:rPr>
          <w:rFonts w:hint="eastAsia" w:hAnsi="宋体"/>
        </w:rPr>
        <w:t>（2）未经甲方书面同意擅自更换项目负责人、技术负责人或其他核心人员，或者核心人员未实际参与项目；</w:t>
      </w:r>
    </w:p>
    <w:p w14:paraId="30A8B246">
      <w:pPr>
        <w:pStyle w:val="6"/>
        <w:spacing w:line="460" w:lineRule="exact"/>
        <w:ind w:firstLine="360"/>
        <w:rPr>
          <w:rFonts w:hAnsi="宋体"/>
        </w:rPr>
      </w:pPr>
      <w:r>
        <w:rPr>
          <w:rFonts w:hint="eastAsia" w:hAnsi="宋体"/>
        </w:rPr>
        <w:t>（3）未经甲方书面同意转包、违法分包、擅自交由第三方实施，或者使用不具备相应资质的协作单位；</w:t>
      </w:r>
    </w:p>
    <w:p w14:paraId="250B78F8">
      <w:pPr>
        <w:pStyle w:val="6"/>
        <w:spacing w:line="460" w:lineRule="exact"/>
        <w:ind w:firstLine="360"/>
        <w:rPr>
          <w:rFonts w:hAnsi="宋体"/>
        </w:rPr>
      </w:pPr>
      <w:r>
        <w:rPr>
          <w:rFonts w:hint="eastAsia" w:hAnsi="宋体"/>
        </w:rPr>
        <w:t>（4）违反保密、数据安全、个人信息保护或网络安全要求，擅自复制、留存、披露、提供、使用甲方资料或项目数据；</w:t>
      </w:r>
    </w:p>
    <w:p w14:paraId="02CABD58">
      <w:pPr>
        <w:pStyle w:val="6"/>
        <w:spacing w:line="460" w:lineRule="exact"/>
        <w:ind w:firstLine="360"/>
        <w:rPr>
          <w:rFonts w:hAnsi="宋体"/>
        </w:rPr>
      </w:pPr>
      <w:r>
        <w:rPr>
          <w:rFonts w:hint="eastAsia" w:hAnsi="宋体"/>
        </w:rPr>
        <w:t>（5）服务成果存在重大错误、遗漏、虚假内容、权利瑕疵或侵犯第三方合法权益；</w:t>
      </w:r>
    </w:p>
    <w:p w14:paraId="5DD849C6">
      <w:pPr>
        <w:pStyle w:val="6"/>
        <w:spacing w:line="460" w:lineRule="exact"/>
        <w:ind w:firstLine="360"/>
        <w:rPr>
          <w:rFonts w:hAnsi="宋体"/>
        </w:rPr>
      </w:pPr>
      <w:r>
        <w:rPr>
          <w:rFonts w:hint="eastAsia" w:hAnsi="宋体"/>
        </w:rPr>
        <w:t>（6）拒绝执行甲方合理的工作安排、整改要求或项目管理要求，或者连续两次项目成果不合格、服务不达标；</w:t>
      </w:r>
    </w:p>
    <w:p w14:paraId="2FC3A4E8">
      <w:pPr>
        <w:pStyle w:val="6"/>
        <w:spacing w:line="460" w:lineRule="exact"/>
        <w:ind w:firstLine="360"/>
        <w:rPr>
          <w:rFonts w:hAnsi="宋体"/>
        </w:rPr>
      </w:pPr>
      <w:r>
        <w:rPr>
          <w:rFonts w:hint="eastAsia" w:hAnsi="宋体"/>
        </w:rPr>
        <w:t>（7）存在商业贿赂、利益冲突、串通、徇私或其他影响服务客观、公正、合规性的行为；</w:t>
      </w:r>
    </w:p>
    <w:p w14:paraId="27088920">
      <w:pPr>
        <w:pStyle w:val="6"/>
        <w:spacing w:line="460" w:lineRule="exact"/>
        <w:ind w:firstLine="360"/>
        <w:rPr>
          <w:rFonts w:hAnsi="宋体"/>
        </w:rPr>
      </w:pPr>
      <w:r>
        <w:rPr>
          <w:rFonts w:hint="eastAsia" w:hAnsi="宋体"/>
        </w:rPr>
        <w:t>（8）其他严重违反本合同、遴选文件或任务通知约定，致使合同目的无法实现的行为。</w:t>
      </w:r>
    </w:p>
    <w:p w14:paraId="7C8B9994">
      <w:pPr>
        <w:pStyle w:val="6"/>
        <w:spacing w:line="460" w:lineRule="exact"/>
        <w:ind w:firstLine="360"/>
        <w:rPr>
          <w:rFonts w:hAnsi="宋体"/>
        </w:rPr>
      </w:pPr>
      <w:r>
        <w:rPr>
          <w:rFonts w:hint="eastAsia" w:hAnsi="宋体"/>
        </w:rPr>
        <w:t>10.5责任承担。乙方承担违约金不影响其继续履行整改、返还款项、恢复数据、消除影响、协助项目收尾及其他合同义务。违约金不足以弥补甲方损失的，乙方还应赔偿甲方全部损失，包括但不限于已支付款项、返工及重新采购费用、第三方服务费用、项目延误损失、审批或评审延误损失、数据恢复费用、调查取证费用、鉴定费用、保全费用、律师代理费、诉讼费用、行政处罚或第三方索赔等。甲方有权将应付乙方的服务费、应退还款项及乙方应承担的其他费用相互抵销；不足部分，乙方应在甲方通知的期限内另行支付。</w:t>
      </w:r>
    </w:p>
    <w:p w14:paraId="00F01CFA">
      <w:pPr>
        <w:pStyle w:val="6"/>
        <w:spacing w:line="460" w:lineRule="exact"/>
        <w:ind w:firstLine="360"/>
        <w:rPr>
          <w:rFonts w:hAnsi="宋体"/>
        </w:rPr>
      </w:pPr>
      <w:r>
        <w:rPr>
          <w:rFonts w:hint="eastAsia" w:hAnsi="宋体"/>
        </w:rPr>
        <w:t>10.6违约责任并用。对于同一违约行为，逾期违约金、成果不合格违约金、解除合同违约金及损失赔偿责任原则上可以并用，但不得就同一损失重复获偿。甲方依据本合同采取拒收、整改、暂停付款、扣款、减少项目分派、另行委托第三方、解除合同或追究损失等一项或多项措施，不影响其同时主张其他合同权利。</w:t>
      </w:r>
      <w:bookmarkEnd w:id="27"/>
      <w:r>
        <w:rPr>
          <w:rFonts w:hint="eastAsia" w:hAnsi="宋体" w:cs="宋体"/>
          <w:szCs w:val="21"/>
          <w:shd w:val="clear" w:color="auto" w:fill="FFFFFF"/>
        </w:rPr>
        <w:t>因乙方违约发生诉讼的诉讼费、保全担保责任保险费、公告费、鉴定费、律师代理费等全部费用由乙方承担。</w:t>
      </w:r>
    </w:p>
    <w:p w14:paraId="73DCDA3E">
      <w:pPr>
        <w:pStyle w:val="6"/>
        <w:spacing w:line="460" w:lineRule="exact"/>
        <w:ind w:firstLine="482" w:firstLineChars="200"/>
        <w:rPr>
          <w:rFonts w:hAnsi="宋体"/>
          <w:b/>
          <w:bCs/>
          <w:sz w:val="24"/>
          <w:szCs w:val="24"/>
        </w:rPr>
      </w:pPr>
      <w:r>
        <w:rPr>
          <w:rFonts w:hint="eastAsia" w:hAnsi="宋体"/>
          <w:b/>
          <w:bCs/>
          <w:sz w:val="24"/>
          <w:szCs w:val="24"/>
        </w:rPr>
        <w:t>11.不可抗力事件处理</w:t>
      </w:r>
    </w:p>
    <w:p w14:paraId="55321575">
      <w:pPr>
        <w:pStyle w:val="6"/>
        <w:spacing w:line="460" w:lineRule="exact"/>
        <w:ind w:firstLine="359" w:firstLineChars="171"/>
        <w:rPr>
          <w:rFonts w:hAnsi="宋体"/>
        </w:rPr>
      </w:pPr>
      <w:r>
        <w:rPr>
          <w:rFonts w:hint="eastAsia" w:hAnsi="宋体"/>
        </w:rPr>
        <w:t>11.1在合同有效期内，任何一方因不可抗力事件导致不能履行合同，则合同履行期可延长，其延长期与不可抗力影响期相同。</w:t>
      </w:r>
    </w:p>
    <w:p w14:paraId="177E69C8">
      <w:pPr>
        <w:pStyle w:val="6"/>
        <w:spacing w:line="460" w:lineRule="exact"/>
        <w:ind w:firstLine="359" w:firstLineChars="171"/>
        <w:rPr>
          <w:rFonts w:hAnsi="宋体"/>
        </w:rPr>
      </w:pPr>
      <w:r>
        <w:rPr>
          <w:rFonts w:hint="eastAsia" w:hAnsi="宋体"/>
        </w:rPr>
        <w:t>11.2不可抗力事件发生后，应立即通知对方，并寄送有关权威机构出具的证明。</w:t>
      </w:r>
    </w:p>
    <w:p w14:paraId="58643221">
      <w:pPr>
        <w:pStyle w:val="6"/>
        <w:spacing w:line="460" w:lineRule="exact"/>
        <w:ind w:firstLine="359" w:firstLineChars="171"/>
        <w:rPr>
          <w:rFonts w:hAnsi="宋体"/>
        </w:rPr>
      </w:pPr>
      <w:r>
        <w:rPr>
          <w:rFonts w:hint="eastAsia" w:hAnsi="宋体"/>
        </w:rPr>
        <w:t>11.3不可抗力事件延续120天以上，双方应通过友好协商，确定是否继续履行合同。</w:t>
      </w:r>
    </w:p>
    <w:p w14:paraId="569A9B81">
      <w:pPr>
        <w:pStyle w:val="6"/>
        <w:spacing w:line="460" w:lineRule="exact"/>
        <w:ind w:firstLine="482" w:firstLineChars="200"/>
        <w:rPr>
          <w:rFonts w:hAnsi="宋体"/>
          <w:b/>
          <w:bCs/>
          <w:sz w:val="24"/>
          <w:szCs w:val="24"/>
        </w:rPr>
      </w:pPr>
      <w:r>
        <w:rPr>
          <w:rFonts w:hint="eastAsia" w:hAnsi="宋体"/>
          <w:b/>
          <w:bCs/>
          <w:sz w:val="24"/>
          <w:szCs w:val="24"/>
        </w:rPr>
        <w:t>12.诉讼</w:t>
      </w:r>
    </w:p>
    <w:p w14:paraId="23B581A6">
      <w:pPr>
        <w:pStyle w:val="6"/>
        <w:tabs>
          <w:tab w:val="left" w:pos="0"/>
        </w:tabs>
        <w:spacing w:line="460" w:lineRule="exact"/>
        <w:ind w:firstLine="359" w:firstLineChars="171"/>
      </w:pPr>
      <w:r>
        <w:rPr>
          <w:rFonts w:hint="eastAsia" w:hAnsi="宋体"/>
        </w:rPr>
        <w:t>12.1</w:t>
      </w:r>
      <w:r>
        <w:rPr>
          <w:rFonts w:hint="eastAsia" w:hAnsi="宋体" w:cs="宋体"/>
          <w:szCs w:val="21"/>
          <w:shd w:val="clear" w:color="auto" w:fill="FFFFFF"/>
        </w:rPr>
        <w:t>双方在执行合同中所发生的一切争议，应通过协商解决。如协商不成，应向甲方所在地有管辖权的法院起诉。</w:t>
      </w:r>
    </w:p>
    <w:p w14:paraId="6C172B6E">
      <w:pPr>
        <w:pStyle w:val="6"/>
        <w:spacing w:line="460" w:lineRule="exact"/>
        <w:ind w:firstLine="482" w:firstLineChars="200"/>
        <w:rPr>
          <w:rFonts w:hAnsi="宋体"/>
          <w:b/>
          <w:bCs/>
          <w:sz w:val="24"/>
          <w:szCs w:val="24"/>
        </w:rPr>
      </w:pPr>
      <w:r>
        <w:rPr>
          <w:rFonts w:hint="eastAsia" w:hAnsi="宋体"/>
          <w:b/>
          <w:bCs/>
          <w:sz w:val="24"/>
          <w:szCs w:val="24"/>
        </w:rPr>
        <w:t>13.合同生效及其它</w:t>
      </w:r>
    </w:p>
    <w:p w14:paraId="366B7691">
      <w:pPr>
        <w:pStyle w:val="6"/>
        <w:spacing w:line="460" w:lineRule="exact"/>
        <w:ind w:firstLine="360"/>
        <w:rPr>
          <w:rFonts w:hAnsi="宋体"/>
        </w:rPr>
      </w:pPr>
      <w:r>
        <w:rPr>
          <w:rFonts w:hint="eastAsia" w:hAnsi="宋体"/>
        </w:rPr>
        <w:t>13.1合同经双方法定代表人（负责人）或授权委托代理人签字并加盖甲乙双方的公章后生效。</w:t>
      </w:r>
    </w:p>
    <w:p w14:paraId="5E9A0DBE">
      <w:pPr>
        <w:pStyle w:val="6"/>
        <w:spacing w:line="460" w:lineRule="exact"/>
        <w:ind w:firstLine="360"/>
        <w:rPr>
          <w:rFonts w:hAnsi="宋体"/>
        </w:rPr>
      </w:pPr>
      <w:bookmarkStart w:id="28" w:name="auto_fouce_39"/>
      <w:r>
        <w:rPr>
          <w:rFonts w:hint="eastAsia" w:hAnsi="宋体"/>
        </w:rPr>
        <w:t>13.2</w:t>
      </w:r>
      <w:r>
        <w:rPr>
          <w:rFonts w:hint="eastAsia" w:hAnsi="宋体"/>
          <w:szCs w:val="21"/>
        </w:rPr>
        <w:t>合同执行中涉及采购资金和采购内容修改或补充的，须经甲方相关审批部门书面同意后签订书面补充协议作为主合同不可分割的一部分。</w:t>
      </w:r>
      <w:bookmarkEnd w:id="28"/>
    </w:p>
    <w:p w14:paraId="783E03F4">
      <w:pPr>
        <w:pStyle w:val="6"/>
        <w:spacing w:line="460" w:lineRule="exact"/>
        <w:ind w:firstLine="360"/>
        <w:rPr>
          <w:rFonts w:hAnsi="宋体"/>
        </w:rPr>
      </w:pPr>
      <w:r>
        <w:rPr>
          <w:rFonts w:hint="eastAsia" w:hAnsi="宋体"/>
        </w:rPr>
        <w:t>13.3下述合同附件为本合同不可分割的部分并与本合同具有同等效力：</w:t>
      </w:r>
    </w:p>
    <w:p w14:paraId="5508AE1D">
      <w:pPr>
        <w:pStyle w:val="6"/>
        <w:spacing w:line="460" w:lineRule="exact"/>
        <w:ind w:firstLine="360"/>
        <w:rPr>
          <w:rFonts w:hAnsi="宋体"/>
        </w:rPr>
      </w:pPr>
      <w:r>
        <w:rPr>
          <w:rFonts w:hint="eastAsia" w:hAnsi="宋体"/>
        </w:rPr>
        <w:t>（1）成交通知书</w:t>
      </w:r>
    </w:p>
    <w:p w14:paraId="2AC16B98">
      <w:pPr>
        <w:pStyle w:val="6"/>
        <w:spacing w:line="460" w:lineRule="exact"/>
        <w:ind w:firstLine="360"/>
        <w:rPr>
          <w:rFonts w:hAnsi="宋体"/>
        </w:rPr>
      </w:pPr>
      <w:r>
        <w:rPr>
          <w:rFonts w:hint="eastAsia" w:hAnsi="宋体"/>
        </w:rPr>
        <w:t>（2）遴选采购文件服务需求一览表</w:t>
      </w:r>
    </w:p>
    <w:p w14:paraId="4A4755FB">
      <w:pPr>
        <w:pStyle w:val="6"/>
        <w:spacing w:line="460" w:lineRule="exact"/>
        <w:ind w:firstLine="360"/>
        <w:rPr>
          <w:rFonts w:hAnsi="宋体"/>
        </w:rPr>
      </w:pPr>
      <w:r>
        <w:rPr>
          <w:rFonts w:hint="eastAsia" w:hAnsi="宋体"/>
        </w:rPr>
        <w:t>（3）遴选采购文件的澄清和修改（如有）</w:t>
      </w:r>
    </w:p>
    <w:p w14:paraId="25938784">
      <w:pPr>
        <w:pStyle w:val="6"/>
        <w:spacing w:line="460" w:lineRule="exact"/>
        <w:ind w:firstLine="360"/>
        <w:rPr>
          <w:rFonts w:hAnsi="宋体"/>
        </w:rPr>
      </w:pPr>
      <w:r>
        <w:rPr>
          <w:rFonts w:hint="eastAsia" w:hAnsi="宋体"/>
        </w:rPr>
        <w:t>（4）遴选函</w:t>
      </w:r>
    </w:p>
    <w:p w14:paraId="5E01F961">
      <w:pPr>
        <w:pStyle w:val="6"/>
        <w:spacing w:line="460" w:lineRule="exact"/>
        <w:ind w:firstLine="360"/>
        <w:rPr>
          <w:rFonts w:hAnsi="宋体"/>
        </w:rPr>
      </w:pPr>
      <w:r>
        <w:rPr>
          <w:rFonts w:hint="eastAsia" w:hAnsi="宋体"/>
        </w:rPr>
        <w:t>（5）遴选报价表</w:t>
      </w:r>
    </w:p>
    <w:p w14:paraId="50EE699F">
      <w:pPr>
        <w:pStyle w:val="6"/>
        <w:spacing w:line="460" w:lineRule="exact"/>
        <w:ind w:firstLine="360"/>
        <w:rPr>
          <w:rFonts w:hAnsi="宋体"/>
        </w:rPr>
      </w:pPr>
      <w:r>
        <w:rPr>
          <w:rFonts w:hint="eastAsia" w:hAnsi="宋体"/>
        </w:rPr>
        <w:t>（6）遴选服务技术资料表</w:t>
      </w:r>
    </w:p>
    <w:p w14:paraId="7661F9DD">
      <w:pPr>
        <w:pStyle w:val="6"/>
        <w:spacing w:line="460" w:lineRule="exact"/>
        <w:ind w:firstLine="360"/>
        <w:rPr>
          <w:rFonts w:hAnsi="宋体"/>
        </w:rPr>
      </w:pPr>
      <w:r>
        <w:rPr>
          <w:rFonts w:hint="eastAsia" w:hAnsi="宋体"/>
        </w:rPr>
        <w:t>（7）商务条款偏离表</w:t>
      </w:r>
    </w:p>
    <w:p w14:paraId="018E1C15">
      <w:pPr>
        <w:pStyle w:val="6"/>
        <w:spacing w:line="460" w:lineRule="exact"/>
        <w:ind w:firstLine="360"/>
        <w:rPr>
          <w:rFonts w:hAnsi="宋体"/>
        </w:rPr>
      </w:pPr>
      <w:bookmarkStart w:id="29" w:name="auto_fouce_40"/>
      <w:r>
        <w:rPr>
          <w:rFonts w:hint="eastAsia" w:hAnsi="宋体"/>
        </w:rPr>
        <w:t>（8）成交供应商澄清函（如有）</w:t>
      </w:r>
    </w:p>
    <w:p w14:paraId="5BB83050">
      <w:pPr>
        <w:pStyle w:val="6"/>
        <w:spacing w:line="460" w:lineRule="exact"/>
        <w:ind w:firstLine="360"/>
        <w:rPr>
          <w:rFonts w:hAnsi="宋体"/>
        </w:rPr>
      </w:pPr>
      <w:r>
        <w:rPr>
          <w:rFonts w:hint="eastAsia" w:hAnsi="宋体"/>
        </w:rPr>
        <w:t>（9）最终报价</w:t>
      </w:r>
    </w:p>
    <w:p w14:paraId="4741C7FD">
      <w:pPr>
        <w:pStyle w:val="6"/>
        <w:spacing w:line="460" w:lineRule="exact"/>
        <w:ind w:firstLine="360"/>
        <w:rPr>
          <w:rFonts w:hAnsi="宋体"/>
          <w:szCs w:val="21"/>
        </w:rPr>
      </w:pPr>
      <w:r>
        <w:rPr>
          <w:rFonts w:hint="eastAsia" w:hAnsi="宋体"/>
        </w:rPr>
        <w:t>（10）其他与本合同相关的资料（如有）</w:t>
      </w:r>
      <w:bookmarkEnd w:id="29"/>
    </w:p>
    <w:p w14:paraId="2E07BA63">
      <w:pPr>
        <w:pStyle w:val="6"/>
        <w:spacing w:line="460" w:lineRule="exact"/>
        <w:ind w:firstLine="360"/>
        <w:rPr>
          <w:rFonts w:hAnsi="宋体"/>
        </w:rPr>
      </w:pPr>
      <w:r>
        <w:rPr>
          <w:rFonts w:hint="eastAsia" w:hAnsi="宋体"/>
        </w:rPr>
        <w:t>13.4本合同未尽事宜，遵照《中华人民共和国民法典》有关条文执行。</w:t>
      </w:r>
    </w:p>
    <w:p w14:paraId="3C18B530">
      <w:pPr>
        <w:pStyle w:val="6"/>
        <w:spacing w:line="460" w:lineRule="exact"/>
        <w:ind w:firstLine="360"/>
        <w:rPr>
          <w:rFonts w:hAnsi="宋体"/>
        </w:rPr>
      </w:pPr>
      <w:r>
        <w:rPr>
          <w:rFonts w:hint="eastAsia" w:hAnsi="宋体"/>
        </w:rPr>
        <w:t>13.5本合同一式陆份，甲方执叁份，乙方叁份，具有同等法律效力。</w:t>
      </w:r>
    </w:p>
    <w:p w14:paraId="188F3BD5">
      <w:pPr>
        <w:pStyle w:val="6"/>
        <w:spacing w:line="460" w:lineRule="exact"/>
        <w:ind w:firstLine="360"/>
        <w:rPr>
          <w:rFonts w:hAnsi="宋体"/>
        </w:rPr>
      </w:pPr>
      <w:bookmarkStart w:id="30" w:name="auto_fouce_41"/>
      <w:r>
        <w:rPr>
          <w:rFonts w:hint="eastAsia" w:hAnsi="宋体"/>
        </w:rPr>
        <w:t>13.6通知送达：本合同各方在本合同中载明的地址、电话和联系人为各方确定的联系信息，任何一方变更的，应在变更之日起3个工作日内以书面形式通知其他方，否则变更方应对此造成的直接损失承担责任，其他方向原联系信息发出的文件或信息均视为有效送达。一方按照上述联系信息发出的通知、书面材料或法律文书，如因联系信息不正确或者对方拒收而被退回的，则退回之日视为送达之日。上述联系信息同时作为法院等法律文书的送达信息，若一方变更联系信息未按约定通知对方，导致送达不能的，自行承担相应责任。</w:t>
      </w:r>
      <w:bookmarkEnd w:id="30"/>
    </w:p>
    <w:p w14:paraId="227EF3F9">
      <w:pPr>
        <w:pStyle w:val="6"/>
        <w:spacing w:line="460" w:lineRule="exact"/>
        <w:ind w:firstLine="360"/>
        <w:rPr>
          <w:rFonts w:hAnsi="宋体"/>
        </w:rPr>
      </w:pPr>
    </w:p>
    <w:tbl>
      <w:tblPr>
        <w:tblStyle w:val="10"/>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4961"/>
      </w:tblGrid>
      <w:tr w14:paraId="062C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71E11BA9">
            <w:pPr>
              <w:pStyle w:val="6"/>
              <w:spacing w:line="460" w:lineRule="exact"/>
              <w:rPr>
                <w:rFonts w:hAnsi="宋体"/>
              </w:rPr>
            </w:pPr>
            <w:r>
              <w:rPr>
                <w:rFonts w:hint="eastAsia" w:hAnsi="宋体"/>
              </w:rPr>
              <w:t>甲方（盖章）：</w:t>
            </w:r>
          </w:p>
        </w:tc>
        <w:tc>
          <w:tcPr>
            <w:tcW w:w="4961" w:type="dxa"/>
            <w:tcBorders>
              <w:top w:val="single" w:color="auto" w:sz="4" w:space="0"/>
              <w:left w:val="nil"/>
              <w:bottom w:val="single" w:color="auto" w:sz="4" w:space="0"/>
              <w:right w:val="single" w:color="auto" w:sz="4" w:space="0"/>
            </w:tcBorders>
            <w:vAlign w:val="center"/>
          </w:tcPr>
          <w:p w14:paraId="6D45B779">
            <w:pPr>
              <w:pStyle w:val="6"/>
              <w:spacing w:line="460" w:lineRule="exact"/>
              <w:rPr>
                <w:rFonts w:hAnsi="宋体"/>
              </w:rPr>
            </w:pPr>
            <w:r>
              <w:rPr>
                <w:rFonts w:hint="eastAsia" w:hAnsi="宋体"/>
              </w:rPr>
              <w:t>乙方（盖章）：</w:t>
            </w:r>
          </w:p>
        </w:tc>
      </w:tr>
      <w:tr w14:paraId="5938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2C072E53">
            <w:pPr>
              <w:pStyle w:val="6"/>
              <w:spacing w:line="460" w:lineRule="exact"/>
              <w:rPr>
                <w:rFonts w:hAnsi="宋体"/>
              </w:rPr>
            </w:pPr>
            <w:r>
              <w:rPr>
                <w:rFonts w:hint="eastAsia" w:hAnsi="宋体"/>
              </w:rPr>
              <w:t>单位地址：</w:t>
            </w:r>
          </w:p>
        </w:tc>
        <w:tc>
          <w:tcPr>
            <w:tcW w:w="4961" w:type="dxa"/>
            <w:tcBorders>
              <w:top w:val="single" w:color="auto" w:sz="4" w:space="0"/>
              <w:left w:val="nil"/>
              <w:bottom w:val="single" w:color="auto" w:sz="4" w:space="0"/>
              <w:right w:val="single" w:color="auto" w:sz="4" w:space="0"/>
            </w:tcBorders>
            <w:vAlign w:val="center"/>
          </w:tcPr>
          <w:p w14:paraId="2740321B">
            <w:pPr>
              <w:pStyle w:val="6"/>
              <w:spacing w:line="460" w:lineRule="exact"/>
              <w:rPr>
                <w:rFonts w:hAnsi="宋体"/>
              </w:rPr>
            </w:pPr>
            <w:r>
              <w:rPr>
                <w:rFonts w:hint="eastAsia" w:hAnsi="宋体"/>
              </w:rPr>
              <w:t>单位地址：</w:t>
            </w:r>
          </w:p>
        </w:tc>
      </w:tr>
      <w:tr w14:paraId="4575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7B24944E">
            <w:pPr>
              <w:pStyle w:val="6"/>
              <w:spacing w:line="460" w:lineRule="exact"/>
              <w:rPr>
                <w:rFonts w:hAnsi="宋体"/>
              </w:rPr>
            </w:pPr>
            <w:r>
              <w:rPr>
                <w:rFonts w:hint="eastAsia" w:hAnsi="宋体"/>
              </w:rPr>
              <w:t>法定代表人（负责人）：</w:t>
            </w:r>
          </w:p>
        </w:tc>
        <w:tc>
          <w:tcPr>
            <w:tcW w:w="4961" w:type="dxa"/>
            <w:tcBorders>
              <w:top w:val="single" w:color="auto" w:sz="4" w:space="0"/>
              <w:left w:val="nil"/>
              <w:bottom w:val="single" w:color="auto" w:sz="4" w:space="0"/>
              <w:right w:val="single" w:color="auto" w:sz="4" w:space="0"/>
            </w:tcBorders>
            <w:vAlign w:val="center"/>
          </w:tcPr>
          <w:p w14:paraId="43A11444">
            <w:pPr>
              <w:pStyle w:val="6"/>
              <w:spacing w:line="460" w:lineRule="exact"/>
              <w:rPr>
                <w:rFonts w:hAnsi="宋体"/>
              </w:rPr>
            </w:pPr>
            <w:r>
              <w:rPr>
                <w:rFonts w:hint="eastAsia" w:hAnsi="宋体"/>
              </w:rPr>
              <w:t>法定代表人（负责人）：</w:t>
            </w:r>
          </w:p>
        </w:tc>
      </w:tr>
      <w:tr w14:paraId="2E54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2782C23D">
            <w:pPr>
              <w:pStyle w:val="6"/>
              <w:spacing w:line="460" w:lineRule="exact"/>
              <w:rPr>
                <w:rFonts w:hAnsi="宋体"/>
              </w:rPr>
            </w:pPr>
            <w:r>
              <w:rPr>
                <w:rFonts w:hint="eastAsia" w:hAnsi="宋体"/>
              </w:rPr>
              <w:t>委托代理人：</w:t>
            </w:r>
          </w:p>
        </w:tc>
        <w:tc>
          <w:tcPr>
            <w:tcW w:w="4961" w:type="dxa"/>
            <w:tcBorders>
              <w:top w:val="single" w:color="auto" w:sz="4" w:space="0"/>
              <w:left w:val="nil"/>
              <w:bottom w:val="single" w:color="auto" w:sz="4" w:space="0"/>
              <w:right w:val="single" w:color="auto" w:sz="4" w:space="0"/>
            </w:tcBorders>
            <w:vAlign w:val="center"/>
          </w:tcPr>
          <w:p w14:paraId="017274C5">
            <w:pPr>
              <w:pStyle w:val="6"/>
              <w:spacing w:line="460" w:lineRule="exact"/>
              <w:rPr>
                <w:rFonts w:hAnsi="宋体"/>
              </w:rPr>
            </w:pPr>
            <w:r>
              <w:rPr>
                <w:rFonts w:hint="eastAsia" w:hAnsi="宋体"/>
              </w:rPr>
              <w:t>委托代理人：</w:t>
            </w:r>
          </w:p>
        </w:tc>
      </w:tr>
      <w:tr w14:paraId="4106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1653653D">
            <w:pPr>
              <w:pStyle w:val="6"/>
              <w:spacing w:line="460" w:lineRule="exact"/>
              <w:rPr>
                <w:rFonts w:hAnsi="宋体"/>
              </w:rPr>
            </w:pPr>
            <w:r>
              <w:rPr>
                <w:rFonts w:hint="eastAsia" w:hAnsi="宋体"/>
              </w:rPr>
              <w:t>电话：</w:t>
            </w:r>
          </w:p>
        </w:tc>
        <w:tc>
          <w:tcPr>
            <w:tcW w:w="4961" w:type="dxa"/>
            <w:tcBorders>
              <w:top w:val="single" w:color="auto" w:sz="4" w:space="0"/>
              <w:left w:val="nil"/>
              <w:bottom w:val="single" w:color="auto" w:sz="4" w:space="0"/>
              <w:right w:val="single" w:color="auto" w:sz="4" w:space="0"/>
            </w:tcBorders>
            <w:vAlign w:val="center"/>
          </w:tcPr>
          <w:p w14:paraId="7A32A4AB">
            <w:pPr>
              <w:pStyle w:val="6"/>
              <w:spacing w:line="460" w:lineRule="exact"/>
              <w:rPr>
                <w:rFonts w:hAnsi="宋体"/>
              </w:rPr>
            </w:pPr>
            <w:r>
              <w:rPr>
                <w:rFonts w:hint="eastAsia" w:hAnsi="宋体"/>
              </w:rPr>
              <w:t>电话：</w:t>
            </w:r>
          </w:p>
        </w:tc>
      </w:tr>
      <w:tr w14:paraId="3596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41ED389E">
            <w:pPr>
              <w:pStyle w:val="6"/>
              <w:spacing w:line="460" w:lineRule="exact"/>
              <w:rPr>
                <w:rFonts w:hAnsi="宋体"/>
              </w:rPr>
            </w:pPr>
            <w:r>
              <w:rPr>
                <w:rFonts w:hint="eastAsia" w:hAnsi="宋体"/>
              </w:rPr>
              <w:t>开户名:</w:t>
            </w:r>
          </w:p>
        </w:tc>
        <w:tc>
          <w:tcPr>
            <w:tcW w:w="4961" w:type="dxa"/>
            <w:tcBorders>
              <w:top w:val="single" w:color="auto" w:sz="4" w:space="0"/>
              <w:left w:val="nil"/>
              <w:bottom w:val="single" w:color="auto" w:sz="4" w:space="0"/>
              <w:right w:val="single" w:color="auto" w:sz="4" w:space="0"/>
            </w:tcBorders>
            <w:vAlign w:val="center"/>
          </w:tcPr>
          <w:p w14:paraId="3A0F1D4E">
            <w:pPr>
              <w:pStyle w:val="6"/>
              <w:spacing w:line="460" w:lineRule="exact"/>
              <w:rPr>
                <w:rFonts w:hAnsi="宋体"/>
              </w:rPr>
            </w:pPr>
            <w:r>
              <w:rPr>
                <w:rFonts w:hint="eastAsia" w:hAnsi="宋体"/>
              </w:rPr>
              <w:t>开户名:</w:t>
            </w:r>
          </w:p>
        </w:tc>
      </w:tr>
      <w:tr w14:paraId="3B03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67D49293">
            <w:pPr>
              <w:pStyle w:val="6"/>
              <w:spacing w:line="460" w:lineRule="exact"/>
              <w:rPr>
                <w:rFonts w:hAnsi="宋体"/>
              </w:rPr>
            </w:pPr>
            <w:r>
              <w:rPr>
                <w:rFonts w:hint="eastAsia" w:hAnsi="宋体"/>
              </w:rPr>
              <w:t>开户银行：</w:t>
            </w:r>
          </w:p>
        </w:tc>
        <w:tc>
          <w:tcPr>
            <w:tcW w:w="4961" w:type="dxa"/>
            <w:tcBorders>
              <w:top w:val="single" w:color="auto" w:sz="4" w:space="0"/>
              <w:left w:val="nil"/>
              <w:bottom w:val="single" w:color="auto" w:sz="4" w:space="0"/>
              <w:right w:val="single" w:color="auto" w:sz="4" w:space="0"/>
            </w:tcBorders>
            <w:vAlign w:val="center"/>
          </w:tcPr>
          <w:p w14:paraId="529C4B75">
            <w:pPr>
              <w:pStyle w:val="6"/>
              <w:spacing w:line="460" w:lineRule="exact"/>
              <w:rPr>
                <w:rFonts w:hAnsi="宋体"/>
              </w:rPr>
            </w:pPr>
            <w:r>
              <w:rPr>
                <w:rFonts w:hint="eastAsia" w:hAnsi="宋体"/>
              </w:rPr>
              <w:t>开户银行：</w:t>
            </w:r>
          </w:p>
        </w:tc>
      </w:tr>
      <w:tr w14:paraId="73BC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3919C689">
            <w:pPr>
              <w:pStyle w:val="6"/>
              <w:spacing w:line="460" w:lineRule="exact"/>
              <w:rPr>
                <w:rFonts w:hAnsi="宋体"/>
              </w:rPr>
            </w:pPr>
            <w:r>
              <w:rPr>
                <w:rFonts w:hint="eastAsia" w:hAnsi="宋体"/>
              </w:rPr>
              <w:t>账号：</w:t>
            </w:r>
          </w:p>
        </w:tc>
        <w:tc>
          <w:tcPr>
            <w:tcW w:w="4961" w:type="dxa"/>
            <w:tcBorders>
              <w:top w:val="single" w:color="auto" w:sz="4" w:space="0"/>
              <w:left w:val="nil"/>
              <w:bottom w:val="single" w:color="auto" w:sz="4" w:space="0"/>
              <w:right w:val="single" w:color="auto" w:sz="4" w:space="0"/>
            </w:tcBorders>
            <w:vAlign w:val="center"/>
          </w:tcPr>
          <w:p w14:paraId="2B092867">
            <w:pPr>
              <w:pStyle w:val="6"/>
              <w:spacing w:line="460" w:lineRule="exact"/>
              <w:rPr>
                <w:rFonts w:hAnsi="宋体"/>
              </w:rPr>
            </w:pPr>
            <w:r>
              <w:rPr>
                <w:rFonts w:hint="eastAsia" w:hAnsi="宋体"/>
              </w:rPr>
              <w:t>账号：</w:t>
            </w:r>
          </w:p>
        </w:tc>
      </w:tr>
      <w:tr w14:paraId="03C4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556C2B67">
            <w:pPr>
              <w:pStyle w:val="6"/>
              <w:spacing w:line="460" w:lineRule="exact"/>
              <w:rPr>
                <w:rFonts w:hAnsi="宋体"/>
              </w:rPr>
            </w:pPr>
            <w:r>
              <w:rPr>
                <w:rFonts w:hint="eastAsia" w:hAnsi="宋体"/>
              </w:rPr>
              <w:t>纳税人识别号：</w:t>
            </w:r>
          </w:p>
        </w:tc>
        <w:tc>
          <w:tcPr>
            <w:tcW w:w="4961" w:type="dxa"/>
            <w:tcBorders>
              <w:top w:val="single" w:color="auto" w:sz="4" w:space="0"/>
              <w:left w:val="nil"/>
              <w:bottom w:val="single" w:color="auto" w:sz="4" w:space="0"/>
              <w:right w:val="single" w:color="auto" w:sz="4" w:space="0"/>
            </w:tcBorders>
            <w:vAlign w:val="center"/>
          </w:tcPr>
          <w:p w14:paraId="3CF0C890">
            <w:pPr>
              <w:pStyle w:val="6"/>
              <w:spacing w:line="460" w:lineRule="exact"/>
              <w:rPr>
                <w:rFonts w:hAnsi="宋体"/>
              </w:rPr>
            </w:pPr>
            <w:r>
              <w:rPr>
                <w:rFonts w:hint="eastAsia" w:hAnsi="宋体"/>
              </w:rPr>
              <w:t>纳税人识别号：</w:t>
            </w:r>
          </w:p>
        </w:tc>
      </w:tr>
      <w:tr w14:paraId="0C58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vAlign w:val="center"/>
          </w:tcPr>
          <w:p w14:paraId="3E09B337">
            <w:pPr>
              <w:pStyle w:val="6"/>
              <w:spacing w:line="460" w:lineRule="exact"/>
              <w:rPr>
                <w:rFonts w:hAnsi="宋体"/>
              </w:rPr>
            </w:pPr>
            <w:r>
              <w:rPr>
                <w:rFonts w:hint="eastAsia" w:hAnsi="宋体"/>
              </w:rPr>
              <w:t>邮政编码：</w:t>
            </w:r>
          </w:p>
        </w:tc>
        <w:tc>
          <w:tcPr>
            <w:tcW w:w="4961" w:type="dxa"/>
            <w:tcBorders>
              <w:top w:val="single" w:color="auto" w:sz="4" w:space="0"/>
              <w:left w:val="nil"/>
              <w:bottom w:val="single" w:color="auto" w:sz="4" w:space="0"/>
              <w:right w:val="single" w:color="auto" w:sz="4" w:space="0"/>
            </w:tcBorders>
            <w:vAlign w:val="center"/>
          </w:tcPr>
          <w:p w14:paraId="22FF01DD">
            <w:pPr>
              <w:pStyle w:val="6"/>
              <w:spacing w:line="460" w:lineRule="exact"/>
              <w:rPr>
                <w:rFonts w:hAnsi="宋体"/>
              </w:rPr>
            </w:pPr>
            <w:r>
              <w:rPr>
                <w:rFonts w:hint="eastAsia" w:hAnsi="宋体"/>
              </w:rPr>
              <w:t>邮政编码：</w:t>
            </w:r>
          </w:p>
        </w:tc>
      </w:tr>
      <w:tr w14:paraId="7660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20" w:type="dxa"/>
            <w:tcBorders>
              <w:top w:val="single" w:color="auto" w:sz="4" w:space="0"/>
              <w:left w:val="single" w:color="auto" w:sz="4" w:space="0"/>
              <w:bottom w:val="single" w:color="auto" w:sz="4" w:space="0"/>
              <w:right w:val="single" w:color="auto" w:sz="4" w:space="0"/>
            </w:tcBorders>
          </w:tcPr>
          <w:p w14:paraId="197D93CF">
            <w:pPr>
              <w:pStyle w:val="6"/>
              <w:spacing w:line="460" w:lineRule="exact"/>
              <w:rPr>
                <w:rFonts w:hAnsi="宋体"/>
              </w:rPr>
            </w:pPr>
            <w:r>
              <w:rPr>
                <w:rFonts w:hint="eastAsia" w:hAnsi="宋体"/>
              </w:rPr>
              <w:t>甲方经办人：</w:t>
            </w:r>
          </w:p>
          <w:p w14:paraId="13FA9DCF">
            <w:pPr>
              <w:pStyle w:val="6"/>
              <w:spacing w:line="460" w:lineRule="exact"/>
              <w:rPr>
                <w:rFonts w:hAnsi="宋体"/>
              </w:rPr>
            </w:pPr>
            <w:r>
              <w:rPr>
                <w:rFonts w:hint="eastAsia" w:hAnsi="宋体"/>
              </w:rPr>
              <w:t>电话：</w:t>
            </w:r>
          </w:p>
        </w:tc>
        <w:tc>
          <w:tcPr>
            <w:tcW w:w="4961" w:type="dxa"/>
            <w:tcBorders>
              <w:top w:val="single" w:color="auto" w:sz="4" w:space="0"/>
              <w:left w:val="nil"/>
              <w:bottom w:val="single" w:color="auto" w:sz="4" w:space="0"/>
              <w:right w:val="single" w:color="auto" w:sz="4" w:space="0"/>
            </w:tcBorders>
          </w:tcPr>
          <w:p w14:paraId="104BC7A2">
            <w:pPr>
              <w:pStyle w:val="6"/>
              <w:spacing w:line="460" w:lineRule="exact"/>
              <w:rPr>
                <w:rFonts w:hAnsi="宋体"/>
              </w:rPr>
            </w:pPr>
            <w:r>
              <w:rPr>
                <w:rFonts w:hint="eastAsia" w:hAnsi="宋体"/>
              </w:rPr>
              <w:t>乙方经办人：</w:t>
            </w:r>
          </w:p>
          <w:p w14:paraId="7E85FFAA">
            <w:pPr>
              <w:pStyle w:val="6"/>
              <w:spacing w:line="460" w:lineRule="exact"/>
              <w:rPr>
                <w:rFonts w:hAnsi="宋体"/>
              </w:rPr>
            </w:pPr>
            <w:r>
              <w:rPr>
                <w:rFonts w:hint="eastAsia" w:hAnsi="宋体"/>
              </w:rPr>
              <w:t>电话：</w:t>
            </w:r>
          </w:p>
        </w:tc>
      </w:tr>
      <w:tr w14:paraId="4319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1" w:type="dxa"/>
            <w:gridSpan w:val="2"/>
            <w:tcBorders>
              <w:top w:val="single" w:color="auto" w:sz="4" w:space="0"/>
              <w:left w:val="single" w:color="auto" w:sz="4" w:space="0"/>
              <w:bottom w:val="single" w:color="auto" w:sz="4" w:space="0"/>
              <w:right w:val="single" w:color="auto" w:sz="4" w:space="0"/>
            </w:tcBorders>
            <w:vAlign w:val="center"/>
          </w:tcPr>
          <w:p w14:paraId="7C545CFF">
            <w:pPr>
              <w:pStyle w:val="6"/>
              <w:spacing w:line="460" w:lineRule="exact"/>
              <w:rPr>
                <w:rFonts w:hAnsi="宋体"/>
              </w:rPr>
            </w:pPr>
            <w:r>
              <w:rPr>
                <w:rFonts w:hint="eastAsia" w:hAnsi="宋体"/>
              </w:rPr>
              <w:t>合同签订地点：</w:t>
            </w:r>
          </w:p>
        </w:tc>
      </w:tr>
      <w:tr w14:paraId="4E27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1" w:type="dxa"/>
            <w:gridSpan w:val="2"/>
            <w:tcBorders>
              <w:top w:val="single" w:color="auto" w:sz="4" w:space="0"/>
              <w:left w:val="single" w:color="auto" w:sz="4" w:space="0"/>
              <w:bottom w:val="single" w:color="auto" w:sz="4" w:space="0"/>
              <w:right w:val="single" w:color="auto" w:sz="4" w:space="0"/>
            </w:tcBorders>
            <w:vAlign w:val="center"/>
          </w:tcPr>
          <w:p w14:paraId="1A3AC019">
            <w:pPr>
              <w:pStyle w:val="6"/>
              <w:spacing w:line="460" w:lineRule="exact"/>
              <w:rPr>
                <w:rFonts w:hAnsi="宋体"/>
              </w:rPr>
            </w:pPr>
            <w:bookmarkStart w:id="31" w:name="tip_risk_bookmark_43"/>
            <w:r>
              <w:rPr>
                <w:rFonts w:hint="eastAsia" w:hAnsi="宋体"/>
              </w:rPr>
              <w:t>合同签订日期： 2026年   月   日</w:t>
            </w:r>
            <w:bookmarkEnd w:id="31"/>
          </w:p>
        </w:tc>
      </w:tr>
    </w:tbl>
    <w:p w14:paraId="3BA657A1">
      <w:pPr>
        <w:pStyle w:val="2"/>
        <w:rPr>
          <w:rFonts w:ascii="宋体" w:eastAsia="Times New Roman"/>
          <w:b/>
          <w:bCs/>
          <w:sz w:val="44"/>
        </w:rPr>
      </w:pPr>
    </w:p>
    <w:p w14:paraId="308C69A9">
      <w:pPr>
        <w:pStyle w:val="2"/>
        <w:rPr>
          <w:rFonts w:ascii="宋体" w:eastAsia="Times New Roman"/>
          <w:b/>
          <w:bCs/>
          <w:sz w:val="44"/>
        </w:rPr>
      </w:pPr>
    </w:p>
    <w:p w14:paraId="514AC88F">
      <w:pPr>
        <w:pStyle w:val="2"/>
        <w:rPr>
          <w:rFonts w:ascii="宋体" w:eastAsia="Times New Roman"/>
          <w:b/>
          <w:bCs/>
          <w:sz w:val="44"/>
        </w:rPr>
      </w:pPr>
    </w:p>
    <w:p w14:paraId="79DAE006">
      <w:pPr>
        <w:pStyle w:val="2"/>
        <w:rPr>
          <w:rFonts w:ascii="宋体" w:eastAsia="Times New Roman"/>
          <w:b/>
          <w:bCs/>
          <w:sz w:val="44"/>
        </w:rPr>
      </w:pPr>
    </w:p>
    <w:p w14:paraId="7CCA6994">
      <w:pPr>
        <w:pStyle w:val="2"/>
        <w:rPr>
          <w:rFonts w:ascii="宋体" w:eastAsia="Times New Roman"/>
          <w:b/>
          <w:bCs/>
          <w:sz w:val="44"/>
        </w:rPr>
      </w:pPr>
    </w:p>
    <w:p w14:paraId="5D2A8533">
      <w:pPr>
        <w:pStyle w:val="2"/>
        <w:rPr>
          <w:rFonts w:ascii="宋体" w:eastAsia="Times New Roman"/>
          <w:b/>
          <w:bCs/>
          <w:sz w:val="44"/>
        </w:rPr>
      </w:pPr>
    </w:p>
    <w:p w14:paraId="3629173D">
      <w:pPr>
        <w:pStyle w:val="2"/>
        <w:rPr>
          <w:rFonts w:ascii="宋体" w:eastAsia="Times New Roman"/>
          <w:b/>
          <w:bCs/>
          <w:sz w:val="44"/>
        </w:rPr>
      </w:pPr>
    </w:p>
    <w:p w14:paraId="582FC39C">
      <w:pPr>
        <w:pStyle w:val="2"/>
        <w:rPr>
          <w:rFonts w:ascii="宋体" w:eastAsia="Times New Roman"/>
          <w:b/>
          <w:bCs/>
          <w:sz w:val="44"/>
        </w:rPr>
      </w:pPr>
    </w:p>
    <w:p w14:paraId="5D931CDC">
      <w:pPr>
        <w:pStyle w:val="2"/>
        <w:rPr>
          <w:rFonts w:ascii="宋体" w:eastAsia="Times New Roman"/>
          <w:b/>
          <w:bCs/>
          <w:sz w:val="44"/>
        </w:rPr>
      </w:pPr>
    </w:p>
    <w:p w14:paraId="78B4DF3E">
      <w:pPr>
        <w:pStyle w:val="2"/>
        <w:rPr>
          <w:rFonts w:ascii="宋体" w:eastAsia="Times New Roman"/>
          <w:b/>
          <w:bCs/>
          <w:sz w:val="44"/>
        </w:rPr>
      </w:pPr>
    </w:p>
    <w:p w14:paraId="0362CADD">
      <w:pPr>
        <w:pStyle w:val="2"/>
        <w:rPr>
          <w:rFonts w:ascii="宋体" w:eastAsia="Times New Roman"/>
          <w:b/>
          <w:bCs/>
          <w:sz w:val="44"/>
        </w:rPr>
      </w:pPr>
    </w:p>
    <w:p w14:paraId="2EA59E35">
      <w:pPr>
        <w:pStyle w:val="2"/>
        <w:rPr>
          <w:rFonts w:ascii="宋体" w:eastAsia="Times New Roman"/>
          <w:b/>
          <w:bCs/>
          <w:sz w:val="44"/>
        </w:rPr>
      </w:pPr>
    </w:p>
    <w:p w14:paraId="48D74400">
      <w:pPr>
        <w:pStyle w:val="2"/>
        <w:rPr>
          <w:rFonts w:ascii="宋体" w:eastAsia="Times New Roman"/>
          <w:b/>
          <w:bCs/>
          <w:sz w:val="44"/>
        </w:rPr>
      </w:pPr>
    </w:p>
    <w:p w14:paraId="26F0298E">
      <w:pPr>
        <w:pStyle w:val="2"/>
        <w:rPr>
          <w:rFonts w:ascii="宋体" w:eastAsia="Times New Roman"/>
          <w:b/>
          <w:bCs/>
          <w:sz w:val="44"/>
        </w:rPr>
      </w:pPr>
    </w:p>
    <w:p w14:paraId="3FEE982C">
      <w:pPr>
        <w:pStyle w:val="2"/>
        <w:rPr>
          <w:rFonts w:ascii="宋体" w:eastAsia="Times New Roman"/>
          <w:b/>
          <w:bCs/>
          <w:sz w:val="44"/>
        </w:rPr>
      </w:pPr>
    </w:p>
    <w:p w14:paraId="154C7A1D">
      <w:pPr>
        <w:pStyle w:val="3"/>
        <w:ind w:left="1992" w:hanging="1992"/>
        <w:jc w:val="center"/>
        <w:rPr>
          <w:rFonts w:ascii="隶书" w:eastAsia="隶书"/>
        </w:rPr>
      </w:pPr>
      <w:r>
        <w:rPr>
          <w:rFonts w:hint="eastAsia" w:ascii="隶书" w:eastAsia="隶书"/>
        </w:rPr>
        <w:t>第四章 响应文件（格式）</w:t>
      </w:r>
    </w:p>
    <w:p w14:paraId="2B99D66B">
      <w:pPr>
        <w:spacing w:line="400" w:lineRule="exact"/>
        <w:jc w:val="center"/>
        <w:outlineLvl w:val="0"/>
        <w:rPr>
          <w:rFonts w:hAnsi="宋体"/>
          <w:b/>
          <w:sz w:val="32"/>
          <w:szCs w:val="32"/>
        </w:rPr>
      </w:pPr>
      <w:r>
        <w:rPr>
          <w:sz w:val="24"/>
        </w:rPr>
        <w:br w:type="page"/>
      </w:r>
    </w:p>
    <w:p w14:paraId="6D7DA42E">
      <w:pPr>
        <w:spacing w:line="400" w:lineRule="exact"/>
        <w:ind w:left="431" w:leftChars="172" w:hanging="70" w:hangingChars="25"/>
        <w:jc w:val="center"/>
        <w:rPr>
          <w:rFonts w:ascii="宋体" w:hAnsi="宋体"/>
          <w:b/>
          <w:sz w:val="28"/>
          <w:szCs w:val="28"/>
        </w:rPr>
      </w:pPr>
    </w:p>
    <w:p w14:paraId="719C9D62">
      <w:pPr>
        <w:spacing w:line="400" w:lineRule="exact"/>
        <w:ind w:left="431" w:leftChars="172" w:hanging="70" w:hangingChars="25"/>
        <w:jc w:val="center"/>
        <w:rPr>
          <w:rFonts w:ascii="宋体" w:hAnsi="宋体"/>
          <w:b/>
          <w:sz w:val="28"/>
          <w:szCs w:val="28"/>
        </w:rPr>
      </w:pPr>
      <w:r>
        <w:rPr>
          <w:rFonts w:hint="eastAsia" w:ascii="宋体" w:hAnsi="宋体"/>
          <w:b/>
          <w:sz w:val="28"/>
          <w:szCs w:val="28"/>
        </w:rPr>
        <w:t>响应文件（封面）</w:t>
      </w:r>
    </w:p>
    <w:p w14:paraId="521CC824">
      <w:pPr>
        <w:spacing w:line="360" w:lineRule="auto"/>
        <w:ind w:left="413" w:leftChars="172" w:hanging="52" w:hangingChars="25"/>
        <w:jc w:val="left"/>
        <w:rPr>
          <w:rFonts w:ascii="宋体" w:hAnsi="宋体"/>
          <w:szCs w:val="21"/>
        </w:rPr>
      </w:pPr>
    </w:p>
    <w:p w14:paraId="4DCADE8D">
      <w:pPr>
        <w:spacing w:line="360" w:lineRule="auto"/>
        <w:ind w:left="413" w:leftChars="172" w:hanging="52" w:hangingChars="25"/>
        <w:jc w:val="left"/>
        <w:rPr>
          <w:rFonts w:ascii="宋体" w:hAnsi="宋体"/>
          <w:szCs w:val="21"/>
        </w:rPr>
      </w:pPr>
    </w:p>
    <w:p w14:paraId="6FF5BE36">
      <w:pPr>
        <w:spacing w:line="360" w:lineRule="auto"/>
        <w:ind w:left="431" w:leftChars="172" w:hanging="70" w:hangingChars="25"/>
        <w:jc w:val="left"/>
        <w:rPr>
          <w:rFonts w:ascii="宋体" w:hAnsi="宋体"/>
          <w:sz w:val="28"/>
          <w:szCs w:val="28"/>
        </w:rPr>
      </w:pPr>
      <w:r>
        <w:rPr>
          <w:rFonts w:hint="eastAsia" w:ascii="宋体" w:hAnsi="宋体"/>
          <w:sz w:val="28"/>
          <w:szCs w:val="28"/>
        </w:rPr>
        <w:t xml:space="preserve">项目编号：                                             </w:t>
      </w:r>
    </w:p>
    <w:p w14:paraId="14CAEC96">
      <w:pPr>
        <w:spacing w:line="360" w:lineRule="auto"/>
        <w:ind w:left="431" w:leftChars="172" w:hanging="70" w:hangingChars="25"/>
        <w:jc w:val="left"/>
        <w:rPr>
          <w:rFonts w:ascii="宋体" w:hAnsi="宋体"/>
          <w:sz w:val="28"/>
          <w:szCs w:val="28"/>
        </w:rPr>
      </w:pPr>
      <w:r>
        <w:rPr>
          <w:rFonts w:hint="eastAsia" w:ascii="宋体" w:hAnsi="宋体"/>
          <w:sz w:val="28"/>
          <w:szCs w:val="28"/>
        </w:rPr>
        <w:t>项目名称：</w:t>
      </w:r>
    </w:p>
    <w:p w14:paraId="05D571AD">
      <w:pPr>
        <w:spacing w:line="360" w:lineRule="auto"/>
        <w:ind w:left="431" w:leftChars="172" w:hanging="70" w:hangingChars="25"/>
        <w:jc w:val="left"/>
        <w:rPr>
          <w:rFonts w:ascii="宋体" w:hAnsi="宋体"/>
          <w:sz w:val="28"/>
          <w:szCs w:val="28"/>
        </w:rPr>
      </w:pPr>
      <w:r>
        <w:rPr>
          <w:rFonts w:hint="eastAsia" w:ascii="宋体" w:hAnsi="宋体"/>
          <w:sz w:val="28"/>
          <w:szCs w:val="28"/>
        </w:rPr>
        <w:t>分标号：</w:t>
      </w:r>
    </w:p>
    <w:p w14:paraId="155A6BC1">
      <w:pPr>
        <w:spacing w:line="360" w:lineRule="auto"/>
        <w:ind w:left="431" w:leftChars="172" w:hanging="70" w:hangingChars="25"/>
        <w:jc w:val="left"/>
        <w:rPr>
          <w:rFonts w:ascii="宋体" w:hAnsi="宋体"/>
          <w:sz w:val="28"/>
          <w:szCs w:val="28"/>
        </w:rPr>
      </w:pPr>
      <w:r>
        <w:rPr>
          <w:rFonts w:hint="eastAsia" w:ascii="宋体" w:hAnsi="宋体"/>
          <w:sz w:val="28"/>
          <w:szCs w:val="28"/>
        </w:rPr>
        <w:t xml:space="preserve">                                                       </w:t>
      </w:r>
    </w:p>
    <w:p w14:paraId="7C64AAD9">
      <w:pPr>
        <w:spacing w:line="360" w:lineRule="auto"/>
        <w:ind w:left="431" w:leftChars="172" w:hanging="70" w:hangingChars="25"/>
        <w:jc w:val="left"/>
        <w:rPr>
          <w:rFonts w:ascii="宋体" w:hAnsi="宋体"/>
          <w:sz w:val="28"/>
          <w:szCs w:val="28"/>
        </w:rPr>
      </w:pPr>
    </w:p>
    <w:p w14:paraId="626F975D">
      <w:pPr>
        <w:spacing w:line="360" w:lineRule="auto"/>
        <w:ind w:left="431" w:leftChars="172" w:hanging="70" w:hangingChars="25"/>
        <w:jc w:val="left"/>
        <w:rPr>
          <w:rFonts w:ascii="宋体" w:hAnsi="宋体"/>
          <w:sz w:val="28"/>
          <w:szCs w:val="28"/>
        </w:rPr>
      </w:pPr>
    </w:p>
    <w:p w14:paraId="2195188C">
      <w:pPr>
        <w:pStyle w:val="2"/>
        <w:rPr>
          <w:sz w:val="28"/>
          <w:szCs w:val="28"/>
        </w:rPr>
      </w:pPr>
    </w:p>
    <w:p w14:paraId="119D31B3">
      <w:pPr>
        <w:pStyle w:val="2"/>
        <w:rPr>
          <w:sz w:val="28"/>
          <w:szCs w:val="28"/>
        </w:rPr>
      </w:pPr>
    </w:p>
    <w:p w14:paraId="68CD1591">
      <w:pPr>
        <w:pStyle w:val="2"/>
        <w:rPr>
          <w:sz w:val="28"/>
          <w:szCs w:val="28"/>
        </w:rPr>
      </w:pPr>
    </w:p>
    <w:p w14:paraId="071C2424">
      <w:pPr>
        <w:pStyle w:val="2"/>
        <w:rPr>
          <w:sz w:val="28"/>
          <w:szCs w:val="28"/>
        </w:rPr>
      </w:pPr>
    </w:p>
    <w:p w14:paraId="5B96B6CC">
      <w:pPr>
        <w:pStyle w:val="2"/>
        <w:rPr>
          <w:sz w:val="28"/>
          <w:szCs w:val="28"/>
        </w:rPr>
      </w:pPr>
    </w:p>
    <w:p w14:paraId="24F2C241">
      <w:pPr>
        <w:pStyle w:val="2"/>
        <w:rPr>
          <w:sz w:val="28"/>
          <w:szCs w:val="28"/>
        </w:rPr>
      </w:pPr>
    </w:p>
    <w:p w14:paraId="10ACCAB8">
      <w:pPr>
        <w:pStyle w:val="2"/>
        <w:rPr>
          <w:sz w:val="28"/>
          <w:szCs w:val="28"/>
        </w:rPr>
      </w:pPr>
    </w:p>
    <w:p w14:paraId="7440FCB7">
      <w:pPr>
        <w:spacing w:line="360" w:lineRule="auto"/>
        <w:jc w:val="center"/>
        <w:rPr>
          <w:rFonts w:ascii="宋体" w:hAnsi="宋体"/>
          <w:sz w:val="28"/>
          <w:szCs w:val="28"/>
        </w:rPr>
      </w:pPr>
      <w:r>
        <w:rPr>
          <w:rFonts w:hint="eastAsia" w:ascii="宋体" w:hAnsi="宋体"/>
          <w:sz w:val="28"/>
          <w:szCs w:val="28"/>
        </w:rPr>
        <w:t>（遴选供应商名称）</w:t>
      </w:r>
    </w:p>
    <w:p w14:paraId="14465317">
      <w:pPr>
        <w:pStyle w:val="6"/>
        <w:spacing w:line="380" w:lineRule="exact"/>
        <w:jc w:val="center"/>
        <w:rPr>
          <w:rFonts w:hAnsi="宋体"/>
          <w:sz w:val="28"/>
          <w:szCs w:val="28"/>
        </w:rPr>
      </w:pPr>
      <w:r>
        <w:rPr>
          <w:rFonts w:hint="eastAsia" w:hAnsi="宋体"/>
          <w:sz w:val="28"/>
          <w:szCs w:val="28"/>
        </w:rPr>
        <w:t>年   月    日</w:t>
      </w:r>
    </w:p>
    <w:p w14:paraId="461F4D95">
      <w:pPr>
        <w:pStyle w:val="6"/>
        <w:spacing w:line="380" w:lineRule="exact"/>
        <w:jc w:val="center"/>
        <w:rPr>
          <w:rFonts w:hAnsi="宋体"/>
          <w:sz w:val="28"/>
          <w:szCs w:val="28"/>
        </w:rPr>
      </w:pPr>
    </w:p>
    <w:p w14:paraId="4D612E3A">
      <w:pPr>
        <w:pStyle w:val="6"/>
        <w:spacing w:line="380" w:lineRule="exact"/>
        <w:jc w:val="center"/>
        <w:rPr>
          <w:rFonts w:hAnsi="宋体"/>
          <w:sz w:val="28"/>
          <w:szCs w:val="28"/>
        </w:rPr>
      </w:pPr>
    </w:p>
    <w:p w14:paraId="3A0B4675">
      <w:pPr>
        <w:spacing w:line="400" w:lineRule="exact"/>
        <w:jc w:val="center"/>
        <w:rPr>
          <w:rFonts w:ascii="宋体" w:hAnsi="宋体"/>
          <w:b/>
          <w:sz w:val="28"/>
          <w:szCs w:val="28"/>
        </w:rPr>
      </w:pPr>
      <w:r>
        <w:rPr>
          <w:rFonts w:ascii="宋体" w:hAnsi="宋体"/>
          <w:b/>
          <w:sz w:val="28"/>
          <w:szCs w:val="28"/>
        </w:rPr>
        <w:br w:type="page"/>
      </w:r>
      <w:r>
        <w:rPr>
          <w:rFonts w:hint="eastAsia" w:ascii="宋体" w:hAnsi="宋体"/>
          <w:b/>
          <w:sz w:val="28"/>
          <w:szCs w:val="28"/>
        </w:rPr>
        <w:t>报价表</w:t>
      </w:r>
    </w:p>
    <w:p w14:paraId="06B6CAEA">
      <w:pPr>
        <w:spacing w:line="400" w:lineRule="exact"/>
        <w:jc w:val="center"/>
        <w:rPr>
          <w:rFonts w:ascii="宋体" w:hAnsi="宋体"/>
          <w:b/>
          <w:sz w:val="28"/>
          <w:szCs w:val="28"/>
        </w:rPr>
      </w:pPr>
    </w:p>
    <w:p w14:paraId="15D4152E">
      <w:pPr>
        <w:spacing w:line="360" w:lineRule="auto"/>
        <w:jc w:val="left"/>
        <w:rPr>
          <w:rFonts w:ascii="宋体" w:hAnsi="宋体"/>
          <w:b/>
          <w:sz w:val="28"/>
          <w:szCs w:val="28"/>
        </w:rPr>
      </w:pPr>
      <w:r>
        <w:rPr>
          <w:rFonts w:hint="eastAsia" w:ascii="宋体" w:hAnsi="宋体"/>
          <w:szCs w:val="21"/>
        </w:rPr>
        <w:t xml:space="preserve">项目编号：                                                         </w:t>
      </w:r>
    </w:p>
    <w:p w14:paraId="434EF63E">
      <w:pPr>
        <w:spacing w:line="360" w:lineRule="auto"/>
        <w:jc w:val="left"/>
        <w:rPr>
          <w:rFonts w:ascii="宋体" w:hAnsi="宋体"/>
          <w:szCs w:val="21"/>
        </w:rPr>
      </w:pPr>
      <w:r>
        <w:rPr>
          <w:rFonts w:hint="eastAsia" w:ascii="宋体" w:hAnsi="宋体"/>
          <w:szCs w:val="21"/>
        </w:rPr>
        <w:t xml:space="preserve">项目名称：  </w:t>
      </w:r>
    </w:p>
    <w:p w14:paraId="72A5B9C0">
      <w:pPr>
        <w:spacing w:line="360" w:lineRule="auto"/>
        <w:jc w:val="left"/>
        <w:rPr>
          <w:rFonts w:ascii="宋体" w:hAnsi="宋体"/>
          <w:szCs w:val="21"/>
        </w:rPr>
      </w:pPr>
      <w:r>
        <w:rPr>
          <w:rFonts w:hint="eastAsia" w:ascii="宋体" w:hAnsi="宋体"/>
          <w:szCs w:val="21"/>
        </w:rPr>
        <w:t>分标号：</w:t>
      </w:r>
    </w:p>
    <w:p w14:paraId="7F099A60">
      <w:pPr>
        <w:pStyle w:val="2"/>
      </w:pPr>
    </w:p>
    <w:tbl>
      <w:tblPr>
        <w:tblStyle w:val="10"/>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17"/>
        <w:gridCol w:w="2033"/>
        <w:gridCol w:w="3041"/>
        <w:gridCol w:w="521"/>
        <w:gridCol w:w="1033"/>
        <w:gridCol w:w="1174"/>
      </w:tblGrid>
      <w:tr w14:paraId="2F07F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21" w:type="pct"/>
            <w:tcBorders>
              <w:top w:val="single" w:color="auto" w:sz="4" w:space="0"/>
              <w:left w:val="single" w:color="auto" w:sz="4" w:space="0"/>
              <w:bottom w:val="single" w:color="auto" w:sz="4" w:space="0"/>
              <w:right w:val="single" w:color="auto" w:sz="4" w:space="0"/>
            </w:tcBorders>
            <w:vAlign w:val="center"/>
          </w:tcPr>
          <w:p w14:paraId="61635B40">
            <w:pPr>
              <w:snapToGrid w:val="0"/>
              <w:spacing w:before="50" w:after="50"/>
              <w:jc w:val="center"/>
              <w:rPr>
                <w:rFonts w:ascii="宋体" w:hAnsi="宋体"/>
                <w:b/>
                <w:szCs w:val="21"/>
              </w:rPr>
            </w:pPr>
            <w:r>
              <w:rPr>
                <w:rFonts w:hint="eastAsia" w:ascii="宋体" w:hAnsi="宋体"/>
                <w:b/>
                <w:szCs w:val="21"/>
              </w:rPr>
              <w:t>序号</w:t>
            </w:r>
          </w:p>
        </w:tc>
        <w:tc>
          <w:tcPr>
            <w:tcW w:w="1193" w:type="pct"/>
            <w:tcBorders>
              <w:top w:val="single" w:color="auto" w:sz="4" w:space="0"/>
              <w:left w:val="single" w:color="auto" w:sz="4" w:space="0"/>
              <w:bottom w:val="single" w:color="auto" w:sz="4" w:space="0"/>
              <w:right w:val="single" w:color="auto" w:sz="4" w:space="0"/>
            </w:tcBorders>
            <w:vAlign w:val="center"/>
          </w:tcPr>
          <w:p w14:paraId="752E5136">
            <w:pPr>
              <w:snapToGrid w:val="0"/>
              <w:spacing w:before="50" w:after="50"/>
              <w:jc w:val="center"/>
              <w:rPr>
                <w:rFonts w:ascii="宋体" w:hAnsi="宋体"/>
                <w:b/>
                <w:szCs w:val="21"/>
              </w:rPr>
            </w:pPr>
            <w:r>
              <w:rPr>
                <w:rFonts w:hint="eastAsia" w:ascii="宋体" w:hAnsi="宋体"/>
                <w:b/>
                <w:szCs w:val="21"/>
              </w:rPr>
              <w:t>服务名称</w:t>
            </w:r>
          </w:p>
        </w:tc>
        <w:tc>
          <w:tcPr>
            <w:tcW w:w="1785" w:type="pct"/>
            <w:tcBorders>
              <w:top w:val="single" w:color="auto" w:sz="4" w:space="0"/>
              <w:left w:val="single" w:color="auto" w:sz="4" w:space="0"/>
              <w:bottom w:val="single" w:color="auto" w:sz="4" w:space="0"/>
              <w:right w:val="single" w:color="auto" w:sz="4" w:space="0"/>
            </w:tcBorders>
            <w:vAlign w:val="center"/>
          </w:tcPr>
          <w:p w14:paraId="7A0ED22B">
            <w:pPr>
              <w:snapToGrid w:val="0"/>
              <w:spacing w:before="50" w:after="50"/>
              <w:jc w:val="center"/>
              <w:rPr>
                <w:rFonts w:ascii="宋体" w:hAnsi="宋体"/>
                <w:b/>
                <w:szCs w:val="21"/>
              </w:rPr>
            </w:pPr>
            <w:r>
              <w:rPr>
                <w:rFonts w:hint="eastAsia" w:ascii="宋体" w:hAnsi="宋体"/>
                <w:b/>
                <w:szCs w:val="21"/>
              </w:rPr>
              <w:t>服务内容</w:t>
            </w:r>
          </w:p>
        </w:tc>
        <w:tc>
          <w:tcPr>
            <w:tcW w:w="306" w:type="pct"/>
            <w:tcBorders>
              <w:top w:val="single" w:color="auto" w:sz="4" w:space="0"/>
              <w:left w:val="single" w:color="auto" w:sz="4" w:space="0"/>
              <w:bottom w:val="single" w:color="auto" w:sz="4" w:space="0"/>
              <w:right w:val="single" w:color="auto" w:sz="4" w:space="0"/>
            </w:tcBorders>
            <w:vAlign w:val="center"/>
          </w:tcPr>
          <w:p w14:paraId="63429998">
            <w:pPr>
              <w:snapToGrid w:val="0"/>
              <w:spacing w:before="50" w:after="50"/>
              <w:jc w:val="center"/>
              <w:rPr>
                <w:rFonts w:ascii="宋体" w:hAnsi="宋体"/>
                <w:b/>
                <w:szCs w:val="21"/>
              </w:rPr>
            </w:pPr>
            <w:r>
              <w:rPr>
                <w:rFonts w:hint="eastAsia" w:ascii="宋体" w:hAnsi="宋体"/>
                <w:b/>
                <w:szCs w:val="21"/>
              </w:rPr>
              <w:t>数量</w:t>
            </w:r>
          </w:p>
        </w:tc>
        <w:tc>
          <w:tcPr>
            <w:tcW w:w="606" w:type="pct"/>
            <w:tcBorders>
              <w:top w:val="single" w:color="auto" w:sz="4" w:space="0"/>
              <w:left w:val="single" w:color="auto" w:sz="4" w:space="0"/>
              <w:bottom w:val="single" w:color="auto" w:sz="4" w:space="0"/>
              <w:right w:val="single" w:color="auto" w:sz="4" w:space="0"/>
            </w:tcBorders>
            <w:vAlign w:val="center"/>
          </w:tcPr>
          <w:p w14:paraId="260FBA7D">
            <w:pPr>
              <w:snapToGrid w:val="0"/>
              <w:spacing w:before="50" w:after="50"/>
              <w:jc w:val="center"/>
              <w:rPr>
                <w:rFonts w:ascii="宋体" w:hAnsi="宋体"/>
                <w:b/>
                <w:szCs w:val="21"/>
              </w:rPr>
            </w:pPr>
            <w:r>
              <w:rPr>
                <w:rFonts w:hint="eastAsia" w:ascii="宋体" w:hAnsi="宋体"/>
                <w:b/>
                <w:szCs w:val="21"/>
              </w:rPr>
              <w:t>报价</w:t>
            </w:r>
          </w:p>
          <w:p w14:paraId="7F549C68">
            <w:pPr>
              <w:snapToGrid w:val="0"/>
              <w:spacing w:before="50" w:after="50"/>
              <w:jc w:val="center"/>
              <w:rPr>
                <w:rFonts w:ascii="宋体" w:hAnsi="宋体"/>
                <w:b/>
                <w:szCs w:val="21"/>
              </w:rPr>
            </w:pPr>
            <w:r>
              <w:rPr>
                <w:rFonts w:hint="eastAsia" w:ascii="宋体" w:hAnsi="宋体"/>
                <w:b/>
                <w:szCs w:val="21"/>
              </w:rPr>
              <w:t>（折扣率）</w:t>
            </w:r>
          </w:p>
        </w:tc>
        <w:tc>
          <w:tcPr>
            <w:tcW w:w="685" w:type="pct"/>
            <w:tcBorders>
              <w:top w:val="single" w:color="auto" w:sz="4" w:space="0"/>
              <w:left w:val="single" w:color="auto" w:sz="4" w:space="0"/>
              <w:bottom w:val="single" w:color="auto" w:sz="4" w:space="0"/>
              <w:right w:val="single" w:color="auto" w:sz="4" w:space="0"/>
            </w:tcBorders>
            <w:vAlign w:val="center"/>
          </w:tcPr>
          <w:p w14:paraId="1F57280A">
            <w:pPr>
              <w:snapToGrid w:val="0"/>
              <w:spacing w:before="50" w:after="50"/>
              <w:jc w:val="center"/>
              <w:rPr>
                <w:rFonts w:ascii="宋体" w:hAnsi="宋体"/>
                <w:b/>
                <w:szCs w:val="21"/>
              </w:rPr>
            </w:pPr>
            <w:r>
              <w:rPr>
                <w:rFonts w:hint="eastAsia" w:ascii="宋体" w:hAnsi="宋体"/>
                <w:b/>
                <w:szCs w:val="21"/>
              </w:rPr>
              <w:t>备注</w:t>
            </w:r>
          </w:p>
        </w:tc>
      </w:tr>
      <w:tr w14:paraId="59AFD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56" w:hRule="atLeast"/>
          <w:jc w:val="center"/>
        </w:trPr>
        <w:tc>
          <w:tcPr>
            <w:tcW w:w="421" w:type="pct"/>
            <w:tcBorders>
              <w:top w:val="single" w:color="auto" w:sz="4" w:space="0"/>
              <w:left w:val="single" w:color="auto" w:sz="4" w:space="0"/>
              <w:bottom w:val="single" w:color="auto" w:sz="4" w:space="0"/>
              <w:right w:val="single" w:color="auto" w:sz="4" w:space="0"/>
            </w:tcBorders>
            <w:vAlign w:val="center"/>
          </w:tcPr>
          <w:p w14:paraId="1D5D3B5B">
            <w:pPr>
              <w:jc w:val="center"/>
              <w:rPr>
                <w:rFonts w:ascii="宋体" w:hAnsi="宋体"/>
                <w:szCs w:val="21"/>
              </w:rPr>
            </w:pPr>
          </w:p>
        </w:tc>
        <w:tc>
          <w:tcPr>
            <w:tcW w:w="1193" w:type="pct"/>
            <w:tcBorders>
              <w:top w:val="single" w:color="auto" w:sz="4" w:space="0"/>
              <w:left w:val="single" w:color="auto" w:sz="4" w:space="0"/>
              <w:bottom w:val="single" w:color="auto" w:sz="4" w:space="0"/>
              <w:right w:val="single" w:color="auto" w:sz="4" w:space="0"/>
            </w:tcBorders>
            <w:vAlign w:val="center"/>
          </w:tcPr>
          <w:p w14:paraId="5C77EE27">
            <w:pPr>
              <w:jc w:val="center"/>
              <w:rPr>
                <w:rFonts w:ascii="宋体" w:hAnsi="宋体"/>
                <w:szCs w:val="21"/>
              </w:rPr>
            </w:pPr>
          </w:p>
        </w:tc>
        <w:tc>
          <w:tcPr>
            <w:tcW w:w="1785" w:type="pct"/>
            <w:tcBorders>
              <w:top w:val="single" w:color="auto" w:sz="4" w:space="0"/>
              <w:left w:val="single" w:color="auto" w:sz="4" w:space="0"/>
              <w:bottom w:val="single" w:color="auto" w:sz="4" w:space="0"/>
              <w:right w:val="single" w:color="auto" w:sz="4" w:space="0"/>
            </w:tcBorders>
            <w:vAlign w:val="center"/>
          </w:tcPr>
          <w:p w14:paraId="394CE1A5">
            <w:pPr>
              <w:adjustRightInd w:val="0"/>
              <w:snapToGrid w:val="0"/>
              <w:spacing w:line="360" w:lineRule="auto"/>
              <w:jc w:val="center"/>
              <w:rPr>
                <w:rFonts w:ascii="宋体" w:hAnsi="宋体" w:cs="宋体"/>
                <w:szCs w:val="21"/>
              </w:rPr>
            </w:pPr>
          </w:p>
        </w:tc>
        <w:tc>
          <w:tcPr>
            <w:tcW w:w="306" w:type="pct"/>
            <w:tcBorders>
              <w:top w:val="single" w:color="auto" w:sz="4" w:space="0"/>
              <w:left w:val="single" w:color="auto" w:sz="4" w:space="0"/>
              <w:bottom w:val="single" w:color="auto" w:sz="4" w:space="0"/>
              <w:right w:val="single" w:color="auto" w:sz="4" w:space="0"/>
            </w:tcBorders>
            <w:vAlign w:val="center"/>
          </w:tcPr>
          <w:p w14:paraId="4EE3C1D4">
            <w:pPr>
              <w:jc w:val="center"/>
              <w:rPr>
                <w:szCs w:val="21"/>
              </w:rPr>
            </w:pPr>
            <w:r>
              <w:rPr>
                <w:rFonts w:hint="eastAsia"/>
                <w:szCs w:val="21"/>
              </w:rPr>
              <w:t>1项</w:t>
            </w:r>
          </w:p>
        </w:tc>
        <w:tc>
          <w:tcPr>
            <w:tcW w:w="606" w:type="pct"/>
            <w:tcBorders>
              <w:top w:val="single" w:color="auto" w:sz="4" w:space="0"/>
              <w:left w:val="single" w:color="auto" w:sz="4" w:space="0"/>
              <w:bottom w:val="single" w:color="auto" w:sz="4" w:space="0"/>
              <w:right w:val="single" w:color="auto" w:sz="4" w:space="0"/>
            </w:tcBorders>
            <w:vAlign w:val="center"/>
          </w:tcPr>
          <w:p w14:paraId="7857528D">
            <w:pPr>
              <w:snapToGrid w:val="0"/>
              <w:spacing w:before="50" w:after="50"/>
              <w:rPr>
                <w:rFonts w:ascii="宋体" w:hAnsi="宋体"/>
                <w:szCs w:val="21"/>
              </w:rPr>
            </w:pPr>
          </w:p>
        </w:tc>
        <w:tc>
          <w:tcPr>
            <w:tcW w:w="685" w:type="pct"/>
            <w:tcBorders>
              <w:top w:val="single" w:color="auto" w:sz="4" w:space="0"/>
              <w:left w:val="single" w:color="auto" w:sz="4" w:space="0"/>
              <w:bottom w:val="single" w:color="auto" w:sz="4" w:space="0"/>
              <w:right w:val="single" w:color="auto" w:sz="4" w:space="0"/>
            </w:tcBorders>
          </w:tcPr>
          <w:p w14:paraId="2EEABBA0">
            <w:pPr>
              <w:snapToGrid w:val="0"/>
              <w:spacing w:before="50" w:after="50"/>
              <w:rPr>
                <w:rFonts w:ascii="宋体" w:hAnsi="宋体"/>
                <w:szCs w:val="21"/>
              </w:rPr>
            </w:pPr>
          </w:p>
        </w:tc>
      </w:tr>
      <w:tr w14:paraId="574842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000" w:type="pct"/>
            <w:gridSpan w:val="6"/>
            <w:tcBorders>
              <w:top w:val="single" w:color="auto" w:sz="4" w:space="0"/>
              <w:left w:val="single" w:color="auto" w:sz="4" w:space="0"/>
              <w:bottom w:val="single" w:color="auto" w:sz="4" w:space="0"/>
              <w:right w:val="single" w:color="auto" w:sz="4" w:space="0"/>
            </w:tcBorders>
          </w:tcPr>
          <w:p w14:paraId="2B19108A">
            <w:pPr>
              <w:snapToGrid w:val="0"/>
              <w:spacing w:before="50" w:after="50"/>
              <w:rPr>
                <w:rFonts w:ascii="宋体" w:hAnsi="宋体"/>
                <w:szCs w:val="21"/>
              </w:rPr>
            </w:pPr>
            <w:r>
              <w:rPr>
                <w:rFonts w:hint="eastAsia" w:ascii="宋体" w:hAnsi="宋体"/>
                <w:szCs w:val="21"/>
              </w:rPr>
              <w:t>服务期：</w:t>
            </w:r>
          </w:p>
        </w:tc>
      </w:tr>
    </w:tbl>
    <w:p w14:paraId="2F2A1E60">
      <w:pPr>
        <w:spacing w:line="400" w:lineRule="exact"/>
        <w:ind w:firstLine="562" w:firstLineChars="200"/>
        <w:rPr>
          <w:rFonts w:ascii="宋体" w:hAnsi="宋体"/>
          <w:b/>
          <w:sz w:val="28"/>
          <w:szCs w:val="28"/>
        </w:rPr>
      </w:pPr>
    </w:p>
    <w:p w14:paraId="6D9ACEA6">
      <w:pPr>
        <w:pStyle w:val="6"/>
        <w:spacing w:line="500" w:lineRule="exact"/>
        <w:rPr>
          <w:rFonts w:hAnsi="宋体"/>
        </w:rPr>
      </w:pPr>
    </w:p>
    <w:p w14:paraId="27755584">
      <w:pPr>
        <w:pStyle w:val="6"/>
        <w:spacing w:line="500" w:lineRule="exact"/>
        <w:rPr>
          <w:rFonts w:hAnsi="宋体"/>
        </w:rPr>
      </w:pPr>
      <w:r>
        <w:rPr>
          <w:rFonts w:hint="eastAsia" w:hAnsi="宋体"/>
        </w:rPr>
        <w:t xml:space="preserve">　　　　　　　　　　　　　  法定代表人或法定代表人授权代表（签字）:              </w:t>
      </w:r>
    </w:p>
    <w:p w14:paraId="7D512DD0">
      <w:pPr>
        <w:pStyle w:val="6"/>
        <w:spacing w:line="500" w:lineRule="exact"/>
        <w:rPr>
          <w:rFonts w:hAnsi="宋体"/>
        </w:rPr>
      </w:pPr>
      <w:r>
        <w:rPr>
          <w:rFonts w:hint="eastAsia" w:hAnsi="宋体"/>
        </w:rPr>
        <w:t xml:space="preserve">　　　　　　　　　　　　　　供应商名称（签章）：                              </w:t>
      </w:r>
    </w:p>
    <w:p w14:paraId="3DACEA70">
      <w:pPr>
        <w:pStyle w:val="6"/>
        <w:spacing w:line="500" w:lineRule="exact"/>
        <w:rPr>
          <w:rFonts w:hAnsi="宋体"/>
        </w:rPr>
      </w:pPr>
      <w:r>
        <w:rPr>
          <w:rFonts w:hint="eastAsia" w:hAnsi="宋体"/>
        </w:rPr>
        <w:t xml:space="preserve">　　　　　　　　　　　　　　报价时间：     年     月    日 </w:t>
      </w:r>
    </w:p>
    <w:p w14:paraId="402E7660">
      <w:pPr>
        <w:spacing w:line="400" w:lineRule="exact"/>
        <w:ind w:left="431" w:leftChars="172" w:hanging="70" w:hangingChars="25"/>
        <w:rPr>
          <w:rFonts w:ascii="宋体" w:hAnsi="宋体"/>
          <w:b/>
          <w:sz w:val="28"/>
          <w:szCs w:val="28"/>
        </w:rPr>
      </w:pPr>
      <w:r>
        <w:rPr>
          <w:rFonts w:ascii="宋体" w:hAnsi="宋体"/>
          <w:b/>
          <w:sz w:val="28"/>
          <w:szCs w:val="28"/>
        </w:rPr>
        <w:br w:type="page"/>
      </w:r>
    </w:p>
    <w:p w14:paraId="7039383D">
      <w:pPr>
        <w:spacing w:line="400" w:lineRule="exact"/>
        <w:ind w:left="431" w:leftChars="172" w:hanging="70" w:hangingChars="25"/>
        <w:rPr>
          <w:rFonts w:ascii="宋体" w:hAnsi="宋体"/>
          <w:b/>
          <w:sz w:val="28"/>
          <w:szCs w:val="28"/>
        </w:rPr>
      </w:pPr>
      <w:r>
        <w:rPr>
          <w:rFonts w:hint="eastAsia" w:ascii="宋体" w:hAnsi="宋体"/>
          <w:b/>
          <w:sz w:val="28"/>
          <w:szCs w:val="28"/>
        </w:rPr>
        <w:t>附件一</w:t>
      </w:r>
    </w:p>
    <w:p w14:paraId="2097A9A0">
      <w:pPr>
        <w:spacing w:line="400" w:lineRule="exact"/>
        <w:jc w:val="center"/>
        <w:rPr>
          <w:rFonts w:ascii="宋体" w:hAnsi="宋体"/>
          <w:b/>
          <w:sz w:val="28"/>
          <w:szCs w:val="28"/>
        </w:rPr>
      </w:pPr>
      <w:r>
        <w:rPr>
          <w:rFonts w:hint="eastAsia" w:ascii="宋体" w:hAnsi="宋体"/>
          <w:b/>
          <w:sz w:val="28"/>
          <w:szCs w:val="28"/>
        </w:rPr>
        <w:t>声 明 书</w:t>
      </w:r>
    </w:p>
    <w:p w14:paraId="256C78E9">
      <w:pPr>
        <w:spacing w:line="400" w:lineRule="exact"/>
        <w:rPr>
          <w:rFonts w:ascii="宋体" w:hAnsi="宋体"/>
          <w:szCs w:val="21"/>
        </w:rPr>
      </w:pPr>
      <w:r>
        <w:rPr>
          <w:rFonts w:hint="eastAsia" w:ascii="宋体" w:hAnsi="宋体"/>
          <w:szCs w:val="21"/>
        </w:rPr>
        <w:t>（采购人名称）：</w:t>
      </w:r>
    </w:p>
    <w:p w14:paraId="54000B71">
      <w:pPr>
        <w:spacing w:line="400" w:lineRule="exact"/>
        <w:ind w:left="-181" w:leftChars="-86" w:firstLine="420" w:firstLineChars="200"/>
        <w:rPr>
          <w:rFonts w:ascii="宋体" w:hAnsi="宋体"/>
          <w:szCs w:val="21"/>
        </w:rPr>
      </w:pPr>
      <w:r>
        <w:rPr>
          <w:rFonts w:hint="eastAsia" w:ascii="宋体" w:hAnsi="宋体"/>
          <w:szCs w:val="21"/>
        </w:rPr>
        <w:t>依据贵方（项目名称/文件编号）项目采购的遴选邀请，我方（姓名和职务）经正式授权并代表供应商（遴选供应商名称、地址）提交下述响应文件商务和技术文件正本一份和副本三份：</w:t>
      </w:r>
    </w:p>
    <w:p w14:paraId="6B22CC0B">
      <w:pPr>
        <w:numPr>
          <w:ilvl w:val="1"/>
          <w:numId w:val="4"/>
        </w:numPr>
        <w:spacing w:line="400" w:lineRule="exact"/>
        <w:rPr>
          <w:rFonts w:ascii="宋体" w:hAnsi="宋体" w:cs="宋体"/>
          <w:szCs w:val="21"/>
        </w:rPr>
      </w:pPr>
      <w:r>
        <w:rPr>
          <w:rFonts w:hint="eastAsia" w:ascii="宋体" w:hAnsi="宋体"/>
          <w:szCs w:val="21"/>
        </w:rPr>
        <w:t>服务方案</w:t>
      </w:r>
      <w:r>
        <w:rPr>
          <w:rFonts w:hint="eastAsia" w:ascii="宋体" w:hAnsi="宋体"/>
          <w:kern w:val="0"/>
          <w:szCs w:val="21"/>
        </w:rPr>
        <w:t>；</w:t>
      </w:r>
    </w:p>
    <w:p w14:paraId="3F550DA6">
      <w:pPr>
        <w:numPr>
          <w:ilvl w:val="1"/>
          <w:numId w:val="4"/>
        </w:numPr>
        <w:spacing w:line="400" w:lineRule="exact"/>
        <w:rPr>
          <w:rFonts w:ascii="宋体" w:hAnsi="宋体" w:cs="宋体"/>
          <w:szCs w:val="21"/>
        </w:rPr>
      </w:pPr>
      <w:r>
        <w:rPr>
          <w:rFonts w:hint="eastAsia" w:ascii="宋体" w:hAnsi="宋体"/>
          <w:szCs w:val="21"/>
        </w:rPr>
        <w:t>报价表；</w:t>
      </w:r>
    </w:p>
    <w:p w14:paraId="562D4221">
      <w:pPr>
        <w:numPr>
          <w:ilvl w:val="1"/>
          <w:numId w:val="4"/>
        </w:numPr>
        <w:spacing w:line="400" w:lineRule="exact"/>
        <w:rPr>
          <w:rFonts w:ascii="宋体" w:hAnsi="宋体" w:cs="宋体"/>
          <w:szCs w:val="21"/>
        </w:rPr>
      </w:pPr>
      <w:r>
        <w:rPr>
          <w:rFonts w:hint="eastAsia" w:ascii="宋体" w:hAnsi="宋体"/>
          <w:szCs w:val="21"/>
        </w:rPr>
        <w:t>按遴选文件遴选须知和技术规格要求提供的有关文件；</w:t>
      </w:r>
    </w:p>
    <w:p w14:paraId="2FEBA372">
      <w:pPr>
        <w:numPr>
          <w:ilvl w:val="1"/>
          <w:numId w:val="4"/>
        </w:numPr>
        <w:spacing w:line="400" w:lineRule="exact"/>
        <w:rPr>
          <w:rFonts w:ascii="宋体" w:hAnsi="宋体" w:cs="宋体"/>
          <w:szCs w:val="21"/>
        </w:rPr>
      </w:pPr>
      <w:r>
        <w:rPr>
          <w:rFonts w:hint="eastAsia" w:ascii="宋体" w:hAnsi="宋体"/>
          <w:szCs w:val="21"/>
        </w:rPr>
        <w:t>资格证明文件。</w:t>
      </w:r>
    </w:p>
    <w:p w14:paraId="0D465A49">
      <w:pPr>
        <w:spacing w:line="400" w:lineRule="exact"/>
        <w:ind w:left="420"/>
        <w:rPr>
          <w:rFonts w:ascii="宋体" w:hAnsi="宋体"/>
          <w:szCs w:val="21"/>
        </w:rPr>
      </w:pPr>
      <w:r>
        <w:rPr>
          <w:rFonts w:hint="eastAsia" w:ascii="宋体" w:hAnsi="宋体"/>
          <w:szCs w:val="21"/>
        </w:rPr>
        <w:t>因此，授权代表宣布同意如下：</w:t>
      </w:r>
    </w:p>
    <w:p w14:paraId="4DF23238">
      <w:pPr>
        <w:numPr>
          <w:ilvl w:val="0"/>
          <w:numId w:val="5"/>
        </w:numPr>
        <w:spacing w:line="400" w:lineRule="exact"/>
        <w:rPr>
          <w:rFonts w:ascii="宋体" w:hAnsi="宋体"/>
          <w:szCs w:val="21"/>
        </w:rPr>
      </w:pPr>
      <w:r>
        <w:rPr>
          <w:rFonts w:hint="eastAsia" w:ascii="宋体" w:hAnsi="宋体"/>
          <w:szCs w:val="21"/>
        </w:rPr>
        <w:t>将按遴选文件的约定履行合同责任和义务；</w:t>
      </w:r>
    </w:p>
    <w:p w14:paraId="34957780">
      <w:pPr>
        <w:numPr>
          <w:ilvl w:val="0"/>
          <w:numId w:val="5"/>
        </w:numPr>
        <w:spacing w:line="400" w:lineRule="exact"/>
        <w:rPr>
          <w:rFonts w:ascii="宋体" w:hAnsi="宋体" w:cs="宋体"/>
          <w:szCs w:val="21"/>
        </w:rPr>
      </w:pPr>
      <w:r>
        <w:rPr>
          <w:rFonts w:hint="eastAsia" w:ascii="宋体" w:hAnsi="宋体"/>
          <w:szCs w:val="21"/>
        </w:rPr>
        <w:t>已详细审查全部遴选文件，包括(补遗文件)（如有）；我们完全理解并同意放弃对这方面有不明及误解的权利；</w:t>
      </w:r>
    </w:p>
    <w:p w14:paraId="248CED48">
      <w:pPr>
        <w:numPr>
          <w:ilvl w:val="0"/>
          <w:numId w:val="5"/>
        </w:numPr>
        <w:spacing w:line="400" w:lineRule="exact"/>
        <w:rPr>
          <w:rFonts w:ascii="宋体" w:hAnsi="宋体" w:cs="宋体"/>
          <w:szCs w:val="21"/>
        </w:rPr>
      </w:pPr>
      <w:r>
        <w:rPr>
          <w:rFonts w:hint="eastAsia" w:ascii="宋体" w:hAnsi="宋体" w:cs="宋体"/>
          <w:szCs w:val="21"/>
        </w:rPr>
        <w:t>供应商同意本响应文件中“报价表”和成交后签订的采购合同可用于公示，其中所有内容不涉及供应商商业秘密，并承诺可向招标采购单位提供相关电子文档。</w:t>
      </w:r>
    </w:p>
    <w:p w14:paraId="526D69F6">
      <w:pPr>
        <w:numPr>
          <w:ilvl w:val="0"/>
          <w:numId w:val="5"/>
        </w:numPr>
        <w:spacing w:line="400" w:lineRule="exact"/>
        <w:rPr>
          <w:rFonts w:ascii="宋体" w:hAnsi="宋体" w:cs="宋体"/>
          <w:szCs w:val="21"/>
        </w:rPr>
      </w:pPr>
      <w:r>
        <w:rPr>
          <w:rFonts w:hint="eastAsia" w:ascii="宋体" w:hAnsi="宋体"/>
          <w:szCs w:val="21"/>
        </w:rPr>
        <w:t>同意提供按照贵方可能要求的与其遴选有关的一切数据或资料；</w:t>
      </w:r>
    </w:p>
    <w:p w14:paraId="47015B16">
      <w:pPr>
        <w:numPr>
          <w:ilvl w:val="0"/>
          <w:numId w:val="5"/>
        </w:numPr>
        <w:spacing w:line="400" w:lineRule="exact"/>
        <w:rPr>
          <w:rFonts w:ascii="宋体" w:hAnsi="宋体" w:cs="宋体"/>
          <w:szCs w:val="21"/>
        </w:rPr>
      </w:pPr>
      <w:r>
        <w:rPr>
          <w:rFonts w:hint="eastAsia" w:ascii="宋体" w:hAnsi="宋体"/>
          <w:szCs w:val="21"/>
        </w:rPr>
        <w:t xml:space="preserve">与本遴选有关的一切正式往来信函请寄：                                 </w:t>
      </w:r>
    </w:p>
    <w:p w14:paraId="106B1F96">
      <w:pPr>
        <w:snapToGrid w:val="0"/>
        <w:spacing w:line="400" w:lineRule="exact"/>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r>
        <w:rPr>
          <w:rFonts w:hint="eastAsia" w:ascii="宋体" w:hAnsi="宋体" w:cs="宋体"/>
          <w:szCs w:val="21"/>
        </w:rPr>
        <w:t>邮编：</w:t>
      </w:r>
      <w:r>
        <w:rPr>
          <w:rFonts w:hint="eastAsia" w:ascii="宋体" w:hAnsi="宋体" w:cs="宋体"/>
          <w:szCs w:val="21"/>
          <w:u w:val="single"/>
        </w:rPr>
        <w:t xml:space="preserve">              </w:t>
      </w:r>
      <w:r>
        <w:rPr>
          <w:rFonts w:hint="eastAsia" w:ascii="宋体" w:hAnsi="宋体" w:cs="宋体"/>
          <w:szCs w:val="21"/>
        </w:rPr>
        <w:t>座机</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p>
    <w:p w14:paraId="04687C3C">
      <w:pPr>
        <w:snapToGrid w:val="0"/>
        <w:spacing w:line="400" w:lineRule="exact"/>
        <w:rPr>
          <w:rFonts w:ascii="宋体" w:hAnsi="宋体" w:cs="宋体"/>
          <w:szCs w:val="21"/>
          <w:u w:val="single"/>
        </w:rPr>
      </w:pPr>
      <w:r>
        <w:rPr>
          <w:rFonts w:hint="eastAsia" w:ascii="宋体" w:hAnsi="宋体" w:cs="宋体"/>
          <w:szCs w:val="21"/>
        </w:rPr>
        <w:t>电子邮箱：</w:t>
      </w:r>
      <w:r>
        <w:rPr>
          <w:rFonts w:hint="eastAsia" w:ascii="宋体" w:hAnsi="宋体" w:cs="宋体"/>
          <w:szCs w:val="21"/>
          <w:u w:val="single"/>
        </w:rPr>
        <w:t xml:space="preserve">                       </w:t>
      </w:r>
      <w:r>
        <w:rPr>
          <w:rFonts w:hint="eastAsia" w:ascii="宋体" w:hAnsi="宋体"/>
          <w:szCs w:val="21"/>
        </w:rPr>
        <w:t>供应商授权委托代理人</w:t>
      </w: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14:paraId="6B089665">
      <w:pPr>
        <w:snapToGrid w:val="0"/>
        <w:spacing w:line="400" w:lineRule="exact"/>
        <w:rPr>
          <w:rFonts w:ascii="宋体" w:hAnsi="宋体" w:cs="宋体"/>
          <w:szCs w:val="21"/>
        </w:rPr>
      </w:pPr>
      <w:r>
        <w:rPr>
          <w:rFonts w:hint="eastAsia" w:ascii="宋体" w:hAnsi="宋体"/>
          <w:szCs w:val="21"/>
        </w:rPr>
        <w:t>供应商</w:t>
      </w:r>
      <w:r>
        <w:rPr>
          <w:rFonts w:hint="eastAsia" w:ascii="宋体" w:hAnsi="宋体" w:cs="宋体"/>
          <w:szCs w:val="21"/>
        </w:rPr>
        <w:t>企业工商营业执照号码：</w:t>
      </w:r>
      <w:r>
        <w:rPr>
          <w:rFonts w:hint="eastAsia" w:ascii="宋体" w:hAnsi="宋体" w:cs="宋体"/>
          <w:szCs w:val="21"/>
          <w:u w:val="single"/>
        </w:rPr>
        <w:t xml:space="preserve">                                  </w:t>
      </w:r>
    </w:p>
    <w:p w14:paraId="303EBA7D">
      <w:pPr>
        <w:snapToGrid w:val="0"/>
        <w:spacing w:line="400" w:lineRule="exact"/>
        <w:rPr>
          <w:rFonts w:ascii="宋体" w:hAnsi="宋体" w:cs="宋体"/>
          <w:szCs w:val="21"/>
          <w:u w:val="single"/>
        </w:rPr>
      </w:pPr>
      <w:r>
        <w:rPr>
          <w:rFonts w:hint="eastAsia" w:ascii="宋体" w:hAnsi="宋体" w:cs="宋体"/>
          <w:szCs w:val="21"/>
        </w:rPr>
        <w:t>法定代表人姓名：</w:t>
      </w:r>
      <w:r>
        <w:rPr>
          <w:rFonts w:hint="eastAsia" w:ascii="宋体" w:hAnsi="宋体" w:cs="宋体"/>
          <w:szCs w:val="21"/>
          <w:u w:val="single"/>
        </w:rPr>
        <w:t xml:space="preserve">                </w:t>
      </w:r>
      <w:r>
        <w:rPr>
          <w:rFonts w:hint="eastAsia" w:ascii="宋体" w:hAnsi="宋体" w:cs="宋体"/>
          <w:szCs w:val="21"/>
        </w:rPr>
        <w:t xml:space="preserve">            法定代表人身份证号码：</w:t>
      </w:r>
      <w:r>
        <w:rPr>
          <w:rFonts w:hint="eastAsia" w:ascii="宋体" w:hAnsi="宋体" w:cs="宋体"/>
          <w:szCs w:val="21"/>
          <w:u w:val="single"/>
        </w:rPr>
        <w:t xml:space="preserve">                      </w:t>
      </w:r>
    </w:p>
    <w:p w14:paraId="4DDF819E">
      <w:pPr>
        <w:snapToGrid w:val="0"/>
        <w:spacing w:line="400" w:lineRule="exact"/>
        <w:rPr>
          <w:rFonts w:ascii="宋体" w:hAnsi="宋体" w:cs="宋体"/>
          <w:szCs w:val="21"/>
          <w:u w:val="single"/>
        </w:rPr>
      </w:pPr>
      <w:r>
        <w:rPr>
          <w:rFonts w:hint="eastAsia" w:ascii="宋体" w:hAnsi="宋体" w:cs="宋体"/>
          <w:szCs w:val="21"/>
        </w:rPr>
        <w:t>授权委托代理人姓名：</w:t>
      </w:r>
      <w:r>
        <w:rPr>
          <w:rFonts w:hint="eastAsia" w:ascii="宋体" w:hAnsi="宋体" w:cs="宋体"/>
          <w:szCs w:val="21"/>
          <w:u w:val="single"/>
        </w:rPr>
        <w:t xml:space="preserve">           </w:t>
      </w:r>
      <w:r>
        <w:rPr>
          <w:rFonts w:hint="eastAsia" w:ascii="宋体" w:hAnsi="宋体" w:cs="宋体"/>
          <w:szCs w:val="21"/>
        </w:rPr>
        <w:t xml:space="preserve">             授权委托代理人身份证号码：</w:t>
      </w:r>
      <w:r>
        <w:rPr>
          <w:rFonts w:hint="eastAsia" w:ascii="宋体" w:hAnsi="宋体" w:cs="宋体"/>
          <w:szCs w:val="21"/>
          <w:u w:val="single"/>
        </w:rPr>
        <w:t xml:space="preserve">                      </w:t>
      </w:r>
    </w:p>
    <w:p w14:paraId="1372C4AE">
      <w:pPr>
        <w:snapToGrid w:val="0"/>
        <w:spacing w:line="400" w:lineRule="exact"/>
        <w:rPr>
          <w:rFonts w:ascii="宋体" w:hAnsi="宋体"/>
          <w:szCs w:val="21"/>
        </w:rPr>
      </w:pPr>
    </w:p>
    <w:p w14:paraId="5E26F902">
      <w:pPr>
        <w:snapToGrid w:val="0"/>
        <w:spacing w:line="400" w:lineRule="exact"/>
        <w:rPr>
          <w:rFonts w:ascii="宋体" w:hAnsi="宋体" w:cs="宋体"/>
          <w:szCs w:val="21"/>
        </w:rPr>
      </w:pPr>
      <w:r>
        <w:rPr>
          <w:rFonts w:hint="eastAsia" w:ascii="宋体" w:hAnsi="宋体"/>
          <w:szCs w:val="21"/>
        </w:rPr>
        <w:t>供应商</w:t>
      </w:r>
      <w:r>
        <w:rPr>
          <w:rFonts w:hint="eastAsia" w:ascii="宋体" w:hAnsi="宋体" w:cs="宋体"/>
          <w:szCs w:val="21"/>
        </w:rPr>
        <w:t>开票资料：</w:t>
      </w:r>
    </w:p>
    <w:p w14:paraId="77D8DCC6">
      <w:pPr>
        <w:snapToGrid w:val="0"/>
        <w:spacing w:line="400" w:lineRule="exact"/>
        <w:rPr>
          <w:rFonts w:ascii="宋体" w:hAnsi="宋体" w:cs="宋体"/>
          <w:szCs w:val="21"/>
        </w:rPr>
      </w:pPr>
      <w:r>
        <w:rPr>
          <w:rFonts w:hint="eastAsia" w:ascii="宋体" w:hAnsi="宋体" w:cs="宋体"/>
          <w:szCs w:val="21"/>
        </w:rPr>
        <w:t xml:space="preserve">名称：                                                              </w:t>
      </w:r>
    </w:p>
    <w:p w14:paraId="1F0CB5E8">
      <w:pPr>
        <w:snapToGrid w:val="0"/>
        <w:spacing w:line="400" w:lineRule="exact"/>
        <w:rPr>
          <w:rFonts w:ascii="宋体" w:hAnsi="宋体" w:cs="宋体"/>
          <w:szCs w:val="21"/>
        </w:rPr>
      </w:pPr>
      <w:r>
        <w:rPr>
          <w:rFonts w:hint="eastAsia" w:ascii="宋体" w:hAnsi="宋体" w:cs="宋体"/>
          <w:szCs w:val="21"/>
        </w:rPr>
        <w:t>纳税人识别号：</w:t>
      </w:r>
    </w:p>
    <w:p w14:paraId="1EC67499">
      <w:pPr>
        <w:snapToGrid w:val="0"/>
        <w:spacing w:line="400" w:lineRule="exact"/>
        <w:rPr>
          <w:rFonts w:ascii="宋体" w:hAnsi="宋体" w:cs="宋体"/>
          <w:szCs w:val="21"/>
        </w:rPr>
      </w:pPr>
      <w:r>
        <w:rPr>
          <w:rFonts w:hint="eastAsia" w:ascii="宋体" w:hAnsi="宋体" w:cs="宋体"/>
          <w:szCs w:val="21"/>
        </w:rPr>
        <w:t>地址、电话：</w:t>
      </w:r>
    </w:p>
    <w:p w14:paraId="074EC04D">
      <w:pPr>
        <w:snapToGrid w:val="0"/>
        <w:spacing w:line="400" w:lineRule="exact"/>
        <w:rPr>
          <w:rFonts w:ascii="宋体" w:hAnsi="宋体" w:cs="宋体"/>
          <w:szCs w:val="21"/>
        </w:rPr>
      </w:pPr>
      <w:r>
        <w:rPr>
          <w:rFonts w:hint="eastAsia" w:ascii="宋体" w:hAnsi="宋体" w:cs="宋体"/>
          <w:szCs w:val="21"/>
        </w:rPr>
        <w:t>开户行及账号：</w:t>
      </w:r>
    </w:p>
    <w:p w14:paraId="174AABEB">
      <w:pPr>
        <w:snapToGrid w:val="0"/>
        <w:spacing w:line="400" w:lineRule="exact"/>
        <w:jc w:val="center"/>
        <w:rPr>
          <w:rFonts w:ascii="宋体" w:hAnsi="宋体" w:cs="宋体"/>
          <w:szCs w:val="21"/>
        </w:rPr>
      </w:pPr>
      <w:r>
        <w:rPr>
          <w:rFonts w:hint="eastAsia" w:ascii="宋体" w:hAnsi="宋体" w:cs="宋体"/>
          <w:kern w:val="0"/>
          <w:szCs w:val="21"/>
        </w:rPr>
        <w:t xml:space="preserve">                      法定代表人或其委托代理人（签字）</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 xml:space="preserve">                             </w:t>
      </w:r>
    </w:p>
    <w:p w14:paraId="352F8B85">
      <w:pPr>
        <w:snapToGrid w:val="0"/>
        <w:spacing w:line="400" w:lineRule="exact"/>
        <w:jc w:val="center"/>
        <w:rPr>
          <w:rFonts w:ascii="宋体" w:hAnsi="宋体" w:cs="宋体"/>
          <w:szCs w:val="21"/>
        </w:rPr>
      </w:pPr>
      <w:r>
        <w:rPr>
          <w:rFonts w:hint="eastAsia" w:ascii="宋体" w:hAnsi="宋体" w:cs="宋体"/>
          <w:szCs w:val="21"/>
        </w:rPr>
        <w:t xml:space="preserve">      供应商名称（公章）：</w:t>
      </w:r>
    </w:p>
    <w:p w14:paraId="043D9CC2">
      <w:pPr>
        <w:snapToGrid w:val="0"/>
        <w:spacing w:line="400" w:lineRule="exact"/>
        <w:jc w:val="right"/>
        <w:rPr>
          <w:rFonts w:ascii="宋体" w:hAnsi="宋体" w:cs="宋体"/>
          <w:szCs w:val="21"/>
        </w:rPr>
      </w:pPr>
      <w:r>
        <w:rPr>
          <w:rFonts w:hint="eastAsia" w:ascii="宋体" w:hAnsi="宋体" w:cs="宋体"/>
          <w:szCs w:val="21"/>
        </w:rPr>
        <w:t xml:space="preserve"> </w:t>
      </w:r>
    </w:p>
    <w:p w14:paraId="259B5CCD">
      <w:pPr>
        <w:snapToGrid w:val="0"/>
        <w:spacing w:line="400" w:lineRule="exact"/>
        <w:rPr>
          <w:rFonts w:ascii="宋体" w:hAnsi="宋体"/>
          <w:szCs w:val="21"/>
        </w:r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szCs w:val="21"/>
        </w:rPr>
        <w:t xml:space="preserve">                                    </w:t>
      </w:r>
    </w:p>
    <w:p w14:paraId="540AD850">
      <w:pPr>
        <w:spacing w:line="300" w:lineRule="auto"/>
        <w:rPr>
          <w:rFonts w:ascii="宋体" w:hAnsi="宋体"/>
          <w:b/>
          <w:sz w:val="28"/>
          <w:szCs w:val="28"/>
        </w:rPr>
      </w:pPr>
      <w:r>
        <w:rPr>
          <w:rFonts w:ascii="宋体" w:hAnsi="宋体"/>
          <w:b/>
          <w:sz w:val="28"/>
          <w:szCs w:val="28"/>
        </w:rPr>
        <w:br w:type="page"/>
      </w:r>
      <w:r>
        <w:rPr>
          <w:rFonts w:hint="eastAsia" w:ascii="宋体" w:hAnsi="宋体"/>
          <w:b/>
          <w:sz w:val="28"/>
          <w:szCs w:val="28"/>
        </w:rPr>
        <w:t>附件二</w:t>
      </w:r>
    </w:p>
    <w:p w14:paraId="2737179A">
      <w:pPr>
        <w:adjustRightInd w:val="0"/>
        <w:snapToGrid w:val="0"/>
        <w:spacing w:line="300" w:lineRule="auto"/>
        <w:ind w:left="-88" w:leftChars="-42"/>
        <w:jc w:val="center"/>
        <w:rPr>
          <w:rFonts w:ascii="宋体" w:hAnsi="宋体"/>
          <w:b/>
          <w:sz w:val="32"/>
          <w:szCs w:val="32"/>
        </w:rPr>
      </w:pPr>
      <w:r>
        <w:rPr>
          <w:rFonts w:hint="eastAsia" w:ascii="宋体" w:hAnsi="宋体"/>
          <w:b/>
          <w:sz w:val="32"/>
          <w:szCs w:val="32"/>
        </w:rPr>
        <w:t>服务方案</w:t>
      </w:r>
    </w:p>
    <w:p w14:paraId="4A71CD7E">
      <w:pPr>
        <w:adjustRightInd w:val="0"/>
        <w:snapToGrid w:val="0"/>
        <w:spacing w:line="300" w:lineRule="auto"/>
        <w:ind w:left="-88" w:leftChars="-42"/>
        <w:jc w:val="center"/>
        <w:rPr>
          <w:rFonts w:ascii="宋体" w:hAnsi="宋体"/>
          <w:color w:val="000000"/>
          <w:szCs w:val="21"/>
        </w:rPr>
      </w:pPr>
      <w:r>
        <w:rPr>
          <w:rFonts w:hint="eastAsia" w:ascii="宋体" w:hAnsi="宋体"/>
          <w:color w:val="000000"/>
          <w:szCs w:val="21"/>
        </w:rPr>
        <w:t>（具备针对该项目的技术方案、实施方案、质量保证措施、售后服务等，格式自拟）</w:t>
      </w:r>
    </w:p>
    <w:p w14:paraId="730AD29B">
      <w:pPr>
        <w:adjustRightInd w:val="0"/>
        <w:snapToGrid w:val="0"/>
        <w:spacing w:line="300" w:lineRule="auto"/>
        <w:ind w:left="-88" w:leftChars="-42"/>
        <w:jc w:val="center"/>
        <w:rPr>
          <w:rFonts w:ascii="宋体" w:hAnsi="宋体"/>
          <w:b/>
          <w:sz w:val="28"/>
          <w:szCs w:val="28"/>
        </w:rPr>
      </w:pPr>
    </w:p>
    <w:p w14:paraId="5DED4AB3">
      <w:pPr>
        <w:spacing w:line="300" w:lineRule="auto"/>
        <w:rPr>
          <w:rFonts w:ascii="宋体" w:hAnsi="宋体"/>
          <w:szCs w:val="21"/>
        </w:rPr>
      </w:pPr>
      <w:r>
        <w:rPr>
          <w:rFonts w:hint="eastAsia" w:ascii="宋体" w:hAnsi="宋体"/>
          <w:szCs w:val="21"/>
        </w:rPr>
        <w:t xml:space="preserve">               </w:t>
      </w:r>
    </w:p>
    <w:p w14:paraId="71F30A61">
      <w:pPr>
        <w:spacing w:line="300" w:lineRule="auto"/>
        <w:rPr>
          <w:rFonts w:ascii="宋体" w:hAnsi="宋体"/>
          <w:szCs w:val="21"/>
        </w:rPr>
      </w:pPr>
    </w:p>
    <w:p w14:paraId="516E1E64">
      <w:pPr>
        <w:spacing w:line="300" w:lineRule="auto"/>
        <w:rPr>
          <w:rFonts w:ascii="宋体" w:hAnsi="宋体"/>
          <w:szCs w:val="21"/>
        </w:rPr>
      </w:pPr>
    </w:p>
    <w:p w14:paraId="5FBA359D">
      <w:pPr>
        <w:spacing w:line="300" w:lineRule="auto"/>
        <w:rPr>
          <w:rFonts w:ascii="宋体" w:hAnsi="宋体"/>
          <w:szCs w:val="21"/>
        </w:rPr>
      </w:pPr>
    </w:p>
    <w:p w14:paraId="1E7428CA">
      <w:pPr>
        <w:spacing w:line="300" w:lineRule="auto"/>
        <w:rPr>
          <w:rFonts w:ascii="宋体" w:hAnsi="宋体"/>
          <w:szCs w:val="21"/>
        </w:rPr>
      </w:pPr>
    </w:p>
    <w:p w14:paraId="1B166AD9">
      <w:pPr>
        <w:adjustRightInd w:val="0"/>
        <w:snapToGrid w:val="0"/>
        <w:spacing w:line="500" w:lineRule="exact"/>
        <w:ind w:firstLine="3780" w:firstLineChars="1800"/>
        <w:rPr>
          <w:rFonts w:ascii="宋体" w:hAnsi="宋体"/>
          <w:szCs w:val="21"/>
        </w:rPr>
      </w:pPr>
      <w:r>
        <w:rPr>
          <w:rFonts w:hint="eastAsia" w:ascii="宋体" w:hAnsi="宋体"/>
          <w:szCs w:val="21"/>
        </w:rPr>
        <w:t xml:space="preserve">法定代表人或法定代表人授权代表签字：              </w:t>
      </w:r>
    </w:p>
    <w:p w14:paraId="01A8D6DF">
      <w:pPr>
        <w:pStyle w:val="6"/>
        <w:spacing w:line="500" w:lineRule="exact"/>
        <w:ind w:firstLine="3780" w:firstLineChars="1800"/>
        <w:rPr>
          <w:rFonts w:hAnsi="宋体"/>
        </w:rPr>
      </w:pPr>
      <w:r>
        <w:rPr>
          <w:rFonts w:hint="eastAsia" w:hAnsi="宋体"/>
        </w:rPr>
        <w:t xml:space="preserve">遴选供应商名称（签章）：                              </w:t>
      </w:r>
    </w:p>
    <w:p w14:paraId="3A3ACAC0">
      <w:pPr>
        <w:spacing w:line="300" w:lineRule="auto"/>
        <w:jc w:val="right"/>
        <w:rPr>
          <w:rFonts w:ascii="宋体" w:hAnsi="宋体"/>
          <w:szCs w:val="21"/>
        </w:rPr>
      </w:pPr>
      <w:r>
        <w:rPr>
          <w:rFonts w:hint="eastAsia" w:ascii="宋体" w:hAnsi="宋体"/>
          <w:szCs w:val="21"/>
        </w:rPr>
        <w:t>日期：</w:t>
      </w:r>
      <w:r>
        <w:rPr>
          <w:rFonts w:hint="eastAsia" w:ascii="宋体" w:hAnsi="宋体"/>
        </w:rPr>
        <w:t xml:space="preserve">      年   月   日</w:t>
      </w:r>
    </w:p>
    <w:p w14:paraId="5FFA0311">
      <w:pPr>
        <w:spacing w:line="300" w:lineRule="auto"/>
        <w:rPr>
          <w:rFonts w:ascii="宋体" w:hAnsi="宋体"/>
          <w:szCs w:val="21"/>
        </w:rPr>
      </w:pPr>
    </w:p>
    <w:p w14:paraId="39CD9257">
      <w:pPr>
        <w:spacing w:line="300" w:lineRule="auto"/>
        <w:rPr>
          <w:rFonts w:ascii="宋体" w:hAnsi="宋体"/>
          <w:b/>
          <w:sz w:val="28"/>
          <w:szCs w:val="28"/>
        </w:rPr>
      </w:pPr>
    </w:p>
    <w:p w14:paraId="533ECA72">
      <w:pPr>
        <w:spacing w:line="300" w:lineRule="auto"/>
        <w:rPr>
          <w:rFonts w:ascii="宋体" w:hAnsi="宋体"/>
          <w:b/>
          <w:sz w:val="28"/>
          <w:szCs w:val="28"/>
        </w:rPr>
      </w:pPr>
    </w:p>
    <w:p w14:paraId="7148D954">
      <w:pPr>
        <w:spacing w:line="300" w:lineRule="auto"/>
        <w:rPr>
          <w:rFonts w:ascii="宋体" w:hAnsi="宋体"/>
          <w:b/>
          <w:sz w:val="28"/>
          <w:szCs w:val="28"/>
        </w:rPr>
      </w:pPr>
    </w:p>
    <w:p w14:paraId="01C3EACE">
      <w:pPr>
        <w:spacing w:line="300" w:lineRule="auto"/>
        <w:rPr>
          <w:rFonts w:ascii="宋体" w:hAnsi="宋体"/>
          <w:b/>
          <w:sz w:val="28"/>
          <w:szCs w:val="28"/>
        </w:rPr>
      </w:pPr>
    </w:p>
    <w:p w14:paraId="750F3AE2">
      <w:pPr>
        <w:spacing w:line="300" w:lineRule="auto"/>
        <w:rPr>
          <w:rFonts w:ascii="宋体" w:hAnsi="宋体"/>
          <w:b/>
          <w:sz w:val="28"/>
          <w:szCs w:val="28"/>
        </w:rPr>
      </w:pPr>
    </w:p>
    <w:p w14:paraId="2E6DA588">
      <w:pPr>
        <w:spacing w:line="300" w:lineRule="auto"/>
        <w:rPr>
          <w:rFonts w:ascii="宋体" w:hAnsi="宋体"/>
          <w:b/>
          <w:sz w:val="28"/>
          <w:szCs w:val="28"/>
        </w:rPr>
      </w:pPr>
    </w:p>
    <w:p w14:paraId="1C07FE5E">
      <w:pPr>
        <w:spacing w:line="300" w:lineRule="auto"/>
        <w:rPr>
          <w:rFonts w:ascii="宋体" w:hAnsi="宋体"/>
          <w:b/>
          <w:sz w:val="28"/>
          <w:szCs w:val="28"/>
        </w:rPr>
      </w:pPr>
      <w:r>
        <w:rPr>
          <w:rFonts w:ascii="宋体" w:hAnsi="宋体"/>
          <w:b/>
          <w:sz w:val="28"/>
          <w:szCs w:val="28"/>
        </w:rPr>
        <w:br w:type="page"/>
      </w:r>
    </w:p>
    <w:p w14:paraId="7D3FDB46">
      <w:pPr>
        <w:spacing w:line="300" w:lineRule="auto"/>
        <w:rPr>
          <w:rFonts w:ascii="宋体" w:hAnsi="宋体"/>
          <w:b/>
          <w:sz w:val="28"/>
          <w:szCs w:val="28"/>
        </w:rPr>
      </w:pPr>
      <w:r>
        <w:rPr>
          <w:rFonts w:hint="eastAsia" w:ascii="宋体" w:hAnsi="宋体"/>
          <w:b/>
          <w:sz w:val="28"/>
          <w:szCs w:val="28"/>
        </w:rPr>
        <w:t>附件三</w:t>
      </w:r>
    </w:p>
    <w:p w14:paraId="0870A4F9">
      <w:pPr>
        <w:snapToGrid w:val="0"/>
        <w:spacing w:before="50" w:after="156" w:afterLines="50"/>
        <w:jc w:val="center"/>
        <w:rPr>
          <w:rFonts w:ascii="黑体" w:hAnsi="宋体" w:eastAsia="黑体"/>
          <w:sz w:val="24"/>
        </w:rPr>
      </w:pPr>
      <w:r>
        <w:rPr>
          <w:rFonts w:hint="eastAsia" w:ascii="黑体" w:hAnsi="宋体" w:eastAsia="黑体"/>
          <w:sz w:val="24"/>
        </w:rPr>
        <w:t>拟投入项目人员情况一览表</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341"/>
        <w:gridCol w:w="1793"/>
        <w:gridCol w:w="2350"/>
        <w:gridCol w:w="1973"/>
      </w:tblGrid>
      <w:tr w14:paraId="4434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623" w:type="pct"/>
            <w:vAlign w:val="center"/>
          </w:tcPr>
          <w:p w14:paraId="57FD5DA2">
            <w:pPr>
              <w:snapToGrid w:val="0"/>
              <w:spacing w:before="50" w:after="156" w:afterLines="50"/>
              <w:jc w:val="center"/>
              <w:rPr>
                <w:rFonts w:ascii="宋体" w:hAnsi="宋体"/>
                <w:szCs w:val="16"/>
              </w:rPr>
            </w:pPr>
            <w:r>
              <w:rPr>
                <w:rFonts w:hint="eastAsia" w:ascii="宋体" w:hAnsi="宋体"/>
                <w:szCs w:val="16"/>
              </w:rPr>
              <w:t>姓名</w:t>
            </w:r>
          </w:p>
        </w:tc>
        <w:tc>
          <w:tcPr>
            <w:tcW w:w="787" w:type="pct"/>
            <w:vAlign w:val="center"/>
          </w:tcPr>
          <w:p w14:paraId="3982B5F0">
            <w:pPr>
              <w:snapToGrid w:val="0"/>
              <w:spacing w:before="50" w:after="156" w:afterLines="50"/>
              <w:jc w:val="center"/>
              <w:rPr>
                <w:rFonts w:ascii="宋体" w:hAnsi="宋体"/>
                <w:szCs w:val="16"/>
              </w:rPr>
            </w:pPr>
            <w:r>
              <w:rPr>
                <w:rFonts w:hint="eastAsia" w:ascii="宋体" w:hAnsi="宋体"/>
                <w:szCs w:val="16"/>
              </w:rPr>
              <w:t>在本项目担任的职务</w:t>
            </w:r>
          </w:p>
        </w:tc>
        <w:tc>
          <w:tcPr>
            <w:tcW w:w="1052" w:type="pct"/>
            <w:vAlign w:val="center"/>
          </w:tcPr>
          <w:p w14:paraId="0FC2BC87">
            <w:pPr>
              <w:snapToGrid w:val="0"/>
              <w:spacing w:before="50" w:after="156" w:afterLines="50"/>
              <w:jc w:val="center"/>
              <w:rPr>
                <w:rFonts w:ascii="宋体" w:hAnsi="宋体"/>
                <w:szCs w:val="16"/>
              </w:rPr>
            </w:pPr>
            <w:r>
              <w:rPr>
                <w:rFonts w:hint="eastAsia" w:ascii="宋体" w:hAnsi="宋体"/>
                <w:szCs w:val="16"/>
              </w:rPr>
              <w:t>职称</w:t>
            </w:r>
          </w:p>
        </w:tc>
        <w:tc>
          <w:tcPr>
            <w:tcW w:w="1379" w:type="pct"/>
            <w:vAlign w:val="center"/>
          </w:tcPr>
          <w:p w14:paraId="37DD067A">
            <w:pPr>
              <w:snapToGrid w:val="0"/>
              <w:spacing w:before="50" w:after="156" w:afterLines="50"/>
              <w:jc w:val="center"/>
              <w:rPr>
                <w:rFonts w:ascii="宋体" w:hAnsi="宋体"/>
                <w:szCs w:val="16"/>
              </w:rPr>
            </w:pPr>
            <w:r>
              <w:rPr>
                <w:rFonts w:hint="eastAsia" w:ascii="宋体" w:hAnsi="宋体"/>
                <w:szCs w:val="16"/>
              </w:rPr>
              <w:t>专业技术资格</w:t>
            </w:r>
          </w:p>
        </w:tc>
        <w:tc>
          <w:tcPr>
            <w:tcW w:w="1157" w:type="pct"/>
            <w:vAlign w:val="center"/>
          </w:tcPr>
          <w:p w14:paraId="355F6A11">
            <w:pPr>
              <w:snapToGrid w:val="0"/>
              <w:spacing w:before="50" w:after="156" w:afterLines="50"/>
              <w:jc w:val="center"/>
              <w:rPr>
                <w:rFonts w:ascii="宋体" w:hAnsi="宋体"/>
                <w:szCs w:val="16"/>
              </w:rPr>
            </w:pPr>
            <w:r>
              <w:rPr>
                <w:rFonts w:hint="eastAsia" w:ascii="宋体" w:hAnsi="宋体"/>
                <w:szCs w:val="16"/>
              </w:rPr>
              <w:t>备注</w:t>
            </w:r>
          </w:p>
        </w:tc>
      </w:tr>
      <w:tr w14:paraId="103E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23" w:type="pct"/>
            <w:vAlign w:val="center"/>
          </w:tcPr>
          <w:p w14:paraId="1F8E6C7C">
            <w:pPr>
              <w:snapToGrid w:val="0"/>
              <w:spacing w:before="50" w:after="156" w:afterLines="50"/>
              <w:jc w:val="center"/>
              <w:rPr>
                <w:rFonts w:ascii="宋体" w:hAnsi="宋体"/>
                <w:szCs w:val="16"/>
              </w:rPr>
            </w:pPr>
          </w:p>
        </w:tc>
        <w:tc>
          <w:tcPr>
            <w:tcW w:w="787" w:type="pct"/>
            <w:vAlign w:val="center"/>
          </w:tcPr>
          <w:p w14:paraId="6DCA6B2E">
            <w:pPr>
              <w:snapToGrid w:val="0"/>
              <w:spacing w:before="50" w:after="156" w:afterLines="50"/>
              <w:jc w:val="center"/>
              <w:rPr>
                <w:rFonts w:ascii="宋体" w:hAnsi="宋体"/>
                <w:szCs w:val="16"/>
              </w:rPr>
            </w:pPr>
          </w:p>
        </w:tc>
        <w:tc>
          <w:tcPr>
            <w:tcW w:w="1052" w:type="pct"/>
            <w:vAlign w:val="center"/>
          </w:tcPr>
          <w:p w14:paraId="646201F6">
            <w:pPr>
              <w:snapToGrid w:val="0"/>
              <w:spacing w:before="50" w:after="156" w:afterLines="50"/>
              <w:jc w:val="center"/>
              <w:rPr>
                <w:rFonts w:ascii="宋体" w:hAnsi="宋体"/>
                <w:szCs w:val="16"/>
              </w:rPr>
            </w:pPr>
          </w:p>
        </w:tc>
        <w:tc>
          <w:tcPr>
            <w:tcW w:w="1379" w:type="pct"/>
            <w:vAlign w:val="center"/>
          </w:tcPr>
          <w:p w14:paraId="1190EA1B">
            <w:pPr>
              <w:snapToGrid w:val="0"/>
              <w:spacing w:before="50" w:after="156" w:afterLines="50"/>
              <w:jc w:val="center"/>
              <w:rPr>
                <w:rFonts w:ascii="宋体" w:hAnsi="宋体"/>
                <w:szCs w:val="16"/>
              </w:rPr>
            </w:pPr>
          </w:p>
        </w:tc>
        <w:tc>
          <w:tcPr>
            <w:tcW w:w="1157" w:type="pct"/>
            <w:vAlign w:val="center"/>
          </w:tcPr>
          <w:p w14:paraId="39AB7DEA">
            <w:pPr>
              <w:snapToGrid w:val="0"/>
              <w:spacing w:before="50" w:after="156" w:afterLines="50"/>
              <w:jc w:val="center"/>
              <w:rPr>
                <w:rFonts w:ascii="宋体" w:hAnsi="宋体"/>
                <w:szCs w:val="16"/>
              </w:rPr>
            </w:pPr>
          </w:p>
        </w:tc>
      </w:tr>
      <w:tr w14:paraId="7385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23" w:type="pct"/>
            <w:vAlign w:val="center"/>
          </w:tcPr>
          <w:p w14:paraId="76A262FA">
            <w:pPr>
              <w:snapToGrid w:val="0"/>
              <w:spacing w:before="50" w:after="156" w:afterLines="50"/>
              <w:jc w:val="center"/>
              <w:rPr>
                <w:rFonts w:ascii="宋体" w:hAnsi="宋体"/>
                <w:szCs w:val="16"/>
              </w:rPr>
            </w:pPr>
          </w:p>
        </w:tc>
        <w:tc>
          <w:tcPr>
            <w:tcW w:w="787" w:type="pct"/>
            <w:vAlign w:val="center"/>
          </w:tcPr>
          <w:p w14:paraId="3DDD0FE4">
            <w:pPr>
              <w:snapToGrid w:val="0"/>
              <w:spacing w:before="50" w:after="156" w:afterLines="50"/>
              <w:jc w:val="center"/>
              <w:rPr>
                <w:rFonts w:ascii="宋体" w:hAnsi="宋体"/>
                <w:szCs w:val="16"/>
              </w:rPr>
            </w:pPr>
          </w:p>
        </w:tc>
        <w:tc>
          <w:tcPr>
            <w:tcW w:w="1052" w:type="pct"/>
            <w:vAlign w:val="center"/>
          </w:tcPr>
          <w:p w14:paraId="6E8A57A4">
            <w:pPr>
              <w:snapToGrid w:val="0"/>
              <w:spacing w:before="50" w:after="156" w:afterLines="50"/>
              <w:jc w:val="center"/>
              <w:rPr>
                <w:rFonts w:ascii="宋体" w:hAnsi="宋体"/>
                <w:szCs w:val="16"/>
              </w:rPr>
            </w:pPr>
          </w:p>
        </w:tc>
        <w:tc>
          <w:tcPr>
            <w:tcW w:w="1379" w:type="pct"/>
            <w:vAlign w:val="center"/>
          </w:tcPr>
          <w:p w14:paraId="37FDF6AF">
            <w:pPr>
              <w:snapToGrid w:val="0"/>
              <w:spacing w:before="50" w:after="156" w:afterLines="50"/>
              <w:jc w:val="center"/>
              <w:rPr>
                <w:rFonts w:ascii="宋体" w:hAnsi="宋体"/>
                <w:szCs w:val="16"/>
              </w:rPr>
            </w:pPr>
          </w:p>
        </w:tc>
        <w:tc>
          <w:tcPr>
            <w:tcW w:w="1157" w:type="pct"/>
            <w:vAlign w:val="center"/>
          </w:tcPr>
          <w:p w14:paraId="7F8D1350">
            <w:pPr>
              <w:snapToGrid w:val="0"/>
              <w:spacing w:before="50" w:after="156" w:afterLines="50"/>
              <w:jc w:val="center"/>
              <w:rPr>
                <w:rFonts w:ascii="宋体" w:hAnsi="宋体"/>
                <w:szCs w:val="16"/>
              </w:rPr>
            </w:pPr>
          </w:p>
        </w:tc>
      </w:tr>
      <w:tr w14:paraId="15D2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23" w:type="pct"/>
            <w:vAlign w:val="center"/>
          </w:tcPr>
          <w:p w14:paraId="38D9187C">
            <w:pPr>
              <w:snapToGrid w:val="0"/>
              <w:spacing w:before="50" w:after="156" w:afterLines="50"/>
              <w:jc w:val="center"/>
              <w:rPr>
                <w:rFonts w:ascii="宋体" w:hAnsi="宋体"/>
                <w:szCs w:val="16"/>
              </w:rPr>
            </w:pPr>
          </w:p>
        </w:tc>
        <w:tc>
          <w:tcPr>
            <w:tcW w:w="787" w:type="pct"/>
            <w:vAlign w:val="center"/>
          </w:tcPr>
          <w:p w14:paraId="3319554B">
            <w:pPr>
              <w:snapToGrid w:val="0"/>
              <w:spacing w:before="50" w:after="156" w:afterLines="50"/>
              <w:jc w:val="center"/>
              <w:rPr>
                <w:rFonts w:ascii="宋体" w:hAnsi="宋体"/>
                <w:szCs w:val="16"/>
              </w:rPr>
            </w:pPr>
          </w:p>
        </w:tc>
        <w:tc>
          <w:tcPr>
            <w:tcW w:w="1052" w:type="pct"/>
            <w:vAlign w:val="center"/>
          </w:tcPr>
          <w:p w14:paraId="2EDB0CBC">
            <w:pPr>
              <w:snapToGrid w:val="0"/>
              <w:spacing w:before="50" w:after="156" w:afterLines="50"/>
              <w:jc w:val="center"/>
              <w:rPr>
                <w:rFonts w:ascii="宋体" w:hAnsi="宋体"/>
                <w:szCs w:val="16"/>
              </w:rPr>
            </w:pPr>
          </w:p>
        </w:tc>
        <w:tc>
          <w:tcPr>
            <w:tcW w:w="1379" w:type="pct"/>
            <w:vAlign w:val="center"/>
          </w:tcPr>
          <w:p w14:paraId="3613CA3F">
            <w:pPr>
              <w:snapToGrid w:val="0"/>
              <w:spacing w:before="50" w:after="156" w:afterLines="50"/>
              <w:jc w:val="center"/>
              <w:rPr>
                <w:rFonts w:ascii="宋体" w:hAnsi="宋体"/>
                <w:szCs w:val="16"/>
              </w:rPr>
            </w:pPr>
          </w:p>
        </w:tc>
        <w:tc>
          <w:tcPr>
            <w:tcW w:w="1157" w:type="pct"/>
            <w:vAlign w:val="center"/>
          </w:tcPr>
          <w:p w14:paraId="682E0880">
            <w:pPr>
              <w:snapToGrid w:val="0"/>
              <w:spacing w:before="50" w:after="156" w:afterLines="50"/>
              <w:jc w:val="center"/>
              <w:rPr>
                <w:rFonts w:ascii="宋体" w:hAnsi="宋体"/>
                <w:szCs w:val="16"/>
              </w:rPr>
            </w:pPr>
          </w:p>
        </w:tc>
      </w:tr>
      <w:tr w14:paraId="6EF5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23" w:type="pct"/>
            <w:vAlign w:val="center"/>
          </w:tcPr>
          <w:p w14:paraId="50BF5FFE">
            <w:pPr>
              <w:snapToGrid w:val="0"/>
              <w:spacing w:before="50" w:after="156" w:afterLines="50"/>
              <w:jc w:val="center"/>
              <w:rPr>
                <w:rFonts w:ascii="宋体" w:hAnsi="宋体"/>
                <w:szCs w:val="16"/>
              </w:rPr>
            </w:pPr>
          </w:p>
        </w:tc>
        <w:tc>
          <w:tcPr>
            <w:tcW w:w="787" w:type="pct"/>
            <w:vAlign w:val="center"/>
          </w:tcPr>
          <w:p w14:paraId="1BA217FB">
            <w:pPr>
              <w:snapToGrid w:val="0"/>
              <w:spacing w:before="50" w:after="156" w:afterLines="50"/>
              <w:jc w:val="center"/>
              <w:rPr>
                <w:rFonts w:ascii="宋体" w:hAnsi="宋体"/>
                <w:szCs w:val="16"/>
              </w:rPr>
            </w:pPr>
          </w:p>
        </w:tc>
        <w:tc>
          <w:tcPr>
            <w:tcW w:w="1052" w:type="pct"/>
            <w:vAlign w:val="center"/>
          </w:tcPr>
          <w:p w14:paraId="432E425D">
            <w:pPr>
              <w:snapToGrid w:val="0"/>
              <w:spacing w:before="50" w:after="156" w:afterLines="50"/>
              <w:jc w:val="center"/>
              <w:rPr>
                <w:rFonts w:ascii="宋体" w:hAnsi="宋体"/>
                <w:szCs w:val="16"/>
              </w:rPr>
            </w:pPr>
          </w:p>
        </w:tc>
        <w:tc>
          <w:tcPr>
            <w:tcW w:w="1379" w:type="pct"/>
            <w:vAlign w:val="center"/>
          </w:tcPr>
          <w:p w14:paraId="3CDDFEF6">
            <w:pPr>
              <w:snapToGrid w:val="0"/>
              <w:spacing w:before="50" w:after="156" w:afterLines="50"/>
              <w:jc w:val="center"/>
              <w:rPr>
                <w:rFonts w:ascii="宋体" w:hAnsi="宋体"/>
                <w:szCs w:val="16"/>
              </w:rPr>
            </w:pPr>
          </w:p>
        </w:tc>
        <w:tc>
          <w:tcPr>
            <w:tcW w:w="1157" w:type="pct"/>
            <w:vAlign w:val="center"/>
          </w:tcPr>
          <w:p w14:paraId="0157106B">
            <w:pPr>
              <w:snapToGrid w:val="0"/>
              <w:spacing w:before="50" w:after="156" w:afterLines="50"/>
              <w:jc w:val="center"/>
              <w:rPr>
                <w:rFonts w:ascii="宋体" w:hAnsi="宋体"/>
                <w:szCs w:val="16"/>
              </w:rPr>
            </w:pPr>
          </w:p>
        </w:tc>
      </w:tr>
    </w:tbl>
    <w:p w14:paraId="20101190">
      <w:pPr>
        <w:snapToGrid w:val="0"/>
        <w:spacing w:before="50" w:after="156" w:afterLines="50"/>
        <w:jc w:val="left"/>
        <w:rPr>
          <w:rFonts w:ascii="宋体" w:hAnsi="宋体"/>
          <w:szCs w:val="16"/>
        </w:rPr>
      </w:pPr>
      <w:r>
        <w:rPr>
          <w:rFonts w:hint="eastAsia" w:ascii="宋体" w:hAnsi="宋体"/>
          <w:szCs w:val="16"/>
        </w:rPr>
        <w:t>注：在填写时，如本表格不适合遴选单位的实际情况，可根据本表格式自行制表补充填写。</w:t>
      </w:r>
    </w:p>
    <w:p w14:paraId="386E0C08">
      <w:pPr>
        <w:snapToGrid w:val="0"/>
        <w:spacing w:before="50" w:after="50"/>
        <w:rPr>
          <w:rFonts w:ascii="宋体" w:hAnsi="宋体"/>
          <w:szCs w:val="21"/>
        </w:rPr>
      </w:pPr>
    </w:p>
    <w:p w14:paraId="1AC05E87">
      <w:pPr>
        <w:snapToGrid w:val="0"/>
        <w:spacing w:before="50" w:after="50"/>
        <w:rPr>
          <w:rFonts w:ascii="宋体" w:hAnsi="宋体"/>
          <w:spacing w:val="20"/>
          <w:szCs w:val="16"/>
          <w:u w:val="single"/>
        </w:rPr>
      </w:pPr>
      <w:r>
        <w:rPr>
          <w:rFonts w:hint="eastAsia" w:ascii="宋体" w:hAnsi="宋体"/>
          <w:szCs w:val="21"/>
        </w:rPr>
        <w:t>法定代表人（负责人）或授权代理人</w:t>
      </w:r>
      <w:r>
        <w:rPr>
          <w:rFonts w:hint="eastAsia" w:ascii="宋体" w:hAnsi="宋体"/>
          <w:spacing w:val="20"/>
          <w:szCs w:val="21"/>
        </w:rPr>
        <w:t>签名：</w:t>
      </w:r>
      <w:r>
        <w:rPr>
          <w:rFonts w:hint="eastAsia" w:ascii="宋体" w:hAnsi="宋体"/>
          <w:spacing w:val="20"/>
          <w:szCs w:val="21"/>
          <w:u w:val="single"/>
        </w:rPr>
        <w:t xml:space="preserve">        </w:t>
      </w:r>
    </w:p>
    <w:p w14:paraId="1053B01E">
      <w:pPr>
        <w:autoSpaceDE w:val="0"/>
        <w:autoSpaceDN w:val="0"/>
        <w:spacing w:line="300" w:lineRule="auto"/>
        <w:ind w:left="480" w:hanging="480"/>
        <w:rPr>
          <w:rFonts w:ascii="宋体" w:hAnsi="宋体"/>
          <w:spacing w:val="20"/>
          <w:szCs w:val="21"/>
        </w:rPr>
      </w:pPr>
    </w:p>
    <w:p w14:paraId="7B724BB7">
      <w:pPr>
        <w:autoSpaceDE w:val="0"/>
        <w:autoSpaceDN w:val="0"/>
        <w:spacing w:line="300" w:lineRule="auto"/>
        <w:ind w:left="480" w:hanging="480"/>
        <w:rPr>
          <w:rFonts w:ascii="宋体" w:hAnsi="宋体"/>
          <w:spacing w:val="20"/>
          <w:szCs w:val="21"/>
          <w:u w:val="single"/>
        </w:rPr>
      </w:pPr>
      <w:r>
        <w:rPr>
          <w:rFonts w:hint="eastAsia" w:ascii="宋体" w:hAnsi="宋体"/>
          <w:spacing w:val="20"/>
          <w:szCs w:val="21"/>
        </w:rPr>
        <w:t>供应商（公章）：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14:paraId="650FF8D4">
      <w:pPr>
        <w:autoSpaceDE w:val="0"/>
        <w:autoSpaceDN w:val="0"/>
        <w:spacing w:line="300" w:lineRule="auto"/>
        <w:ind w:left="480" w:hanging="480"/>
        <w:rPr>
          <w:rFonts w:ascii="宋体" w:hAnsi="宋体"/>
          <w:spacing w:val="20"/>
          <w:szCs w:val="21"/>
          <w:u w:val="single"/>
        </w:rPr>
      </w:pPr>
    </w:p>
    <w:p w14:paraId="6DB5D696">
      <w:pPr>
        <w:spacing w:line="300" w:lineRule="auto"/>
        <w:rPr>
          <w:rFonts w:ascii="宋体" w:hAnsi="宋体"/>
          <w:b/>
          <w:sz w:val="28"/>
          <w:szCs w:val="28"/>
        </w:rPr>
      </w:pPr>
      <w:r>
        <w:rPr>
          <w:rFonts w:ascii="宋体" w:hAnsi="宋体"/>
          <w:b/>
          <w:sz w:val="28"/>
          <w:szCs w:val="28"/>
        </w:rPr>
        <w:br w:type="page"/>
      </w:r>
      <w:r>
        <w:rPr>
          <w:rFonts w:hint="eastAsia" w:ascii="宋体" w:hAnsi="宋体"/>
          <w:b/>
          <w:sz w:val="28"/>
          <w:szCs w:val="28"/>
        </w:rPr>
        <w:t>附件四</w:t>
      </w:r>
    </w:p>
    <w:p w14:paraId="252D5112">
      <w:pPr>
        <w:spacing w:line="300" w:lineRule="auto"/>
        <w:jc w:val="center"/>
        <w:rPr>
          <w:rFonts w:ascii="宋体" w:hAnsi="宋体"/>
          <w:b/>
          <w:sz w:val="32"/>
          <w:szCs w:val="32"/>
        </w:rPr>
      </w:pPr>
    </w:p>
    <w:p w14:paraId="5CB6EA41">
      <w:pPr>
        <w:adjustRightInd w:val="0"/>
        <w:snapToGrid w:val="0"/>
        <w:spacing w:line="300" w:lineRule="auto"/>
        <w:jc w:val="center"/>
        <w:rPr>
          <w:rFonts w:ascii="宋体" w:hAnsi="宋体"/>
          <w:b/>
          <w:sz w:val="28"/>
          <w:szCs w:val="28"/>
        </w:rPr>
      </w:pPr>
      <w:r>
        <w:rPr>
          <w:rFonts w:hint="eastAsia" w:ascii="宋体" w:hAnsi="宋体"/>
          <w:b/>
          <w:sz w:val="28"/>
          <w:szCs w:val="28"/>
        </w:rPr>
        <w:t>法定代表人授权书</w:t>
      </w:r>
    </w:p>
    <w:p w14:paraId="2B46E3B7">
      <w:pPr>
        <w:spacing w:line="520" w:lineRule="exact"/>
        <w:rPr>
          <w:rFonts w:ascii="宋体" w:hAnsi="宋体"/>
          <w:szCs w:val="21"/>
        </w:rPr>
      </w:pPr>
      <w:r>
        <w:rPr>
          <w:rFonts w:hint="eastAsia" w:ascii="宋体" w:hAnsi="宋体"/>
          <w:szCs w:val="21"/>
        </w:rPr>
        <w:t>（采购人名称）：</w:t>
      </w:r>
    </w:p>
    <w:p w14:paraId="78068E25">
      <w:pPr>
        <w:spacing w:line="520" w:lineRule="exact"/>
        <w:ind w:firstLine="420" w:firstLineChars="200"/>
        <w:rPr>
          <w:rFonts w:ascii="宋体" w:hAnsi="宋体"/>
          <w:szCs w:val="21"/>
        </w:rPr>
      </w:pPr>
      <w:r>
        <w:rPr>
          <w:rFonts w:hint="eastAsia" w:ascii="宋体" w:hAnsi="宋体"/>
          <w:szCs w:val="21"/>
        </w:rPr>
        <w:t>兹授权      同志为我公司参加贵单位组织的</w:t>
      </w:r>
      <w:r>
        <w:rPr>
          <w:rFonts w:hint="eastAsia" w:ascii="宋体" w:hAnsi="宋体"/>
          <w:szCs w:val="18"/>
        </w:rPr>
        <w:t xml:space="preserve">             </w:t>
      </w:r>
      <w:r>
        <w:rPr>
          <w:rFonts w:hint="eastAsia" w:ascii="宋体" w:hAnsi="宋体"/>
        </w:rPr>
        <w:t>项目(项目编号：</w:t>
      </w:r>
      <w:r>
        <w:rPr>
          <w:rFonts w:hint="eastAsia" w:ascii="宋体" w:hAnsi="宋体"/>
          <w:szCs w:val="18"/>
        </w:rPr>
        <w:t xml:space="preserve">             </w:t>
      </w:r>
      <w:r>
        <w:rPr>
          <w:rFonts w:hint="eastAsia" w:ascii="宋体" w:hAnsi="宋体"/>
        </w:rPr>
        <w:t>)遴选</w:t>
      </w:r>
      <w:r>
        <w:rPr>
          <w:rFonts w:hint="eastAsia" w:ascii="宋体" w:hAnsi="宋体"/>
          <w:szCs w:val="21"/>
        </w:rPr>
        <w:t xml:space="preserve">活动的代表人，全权代表我公司处理在该项目磋商活动中的一切事宜。代理期限从     年   月   日起至     年   月   日止。 </w:t>
      </w:r>
    </w:p>
    <w:p w14:paraId="08F2F6E2">
      <w:pPr>
        <w:spacing w:line="520" w:lineRule="exact"/>
        <w:rPr>
          <w:rFonts w:ascii="宋体" w:hAnsi="宋体"/>
          <w:szCs w:val="21"/>
        </w:rPr>
      </w:pPr>
      <w:r>
        <w:rPr>
          <w:rFonts w:hint="eastAsia" w:ascii="宋体" w:hAnsi="宋体"/>
          <w:szCs w:val="21"/>
        </w:rPr>
        <w:t xml:space="preserve">授权单位（盖章）：                         </w:t>
      </w:r>
    </w:p>
    <w:p w14:paraId="493DC70A">
      <w:pPr>
        <w:spacing w:line="520" w:lineRule="exact"/>
        <w:rPr>
          <w:rFonts w:ascii="宋体" w:hAnsi="宋体"/>
          <w:szCs w:val="21"/>
        </w:rPr>
      </w:pPr>
      <w:r>
        <w:rPr>
          <w:rFonts w:hint="eastAsia" w:ascii="宋体" w:hAnsi="宋体"/>
          <w:szCs w:val="21"/>
        </w:rPr>
        <w:t xml:space="preserve">法定代表人（签字或签章）：                 </w:t>
      </w:r>
    </w:p>
    <w:p w14:paraId="686660B6">
      <w:pPr>
        <w:spacing w:line="520" w:lineRule="exact"/>
        <w:rPr>
          <w:rFonts w:ascii="宋体" w:hAnsi="宋体"/>
          <w:szCs w:val="21"/>
        </w:rPr>
      </w:pPr>
      <w:r>
        <w:rPr>
          <w:rFonts w:hint="eastAsia" w:ascii="宋体" w:hAnsi="宋体"/>
          <w:szCs w:val="21"/>
        </w:rPr>
        <w:t>签发日期：      年    月   日</w:t>
      </w:r>
    </w:p>
    <w:p w14:paraId="3A9819EC">
      <w:pPr>
        <w:adjustRightInd w:val="0"/>
        <w:snapToGrid w:val="0"/>
        <w:spacing w:line="520" w:lineRule="exact"/>
        <w:ind w:firstLine="420" w:firstLineChars="200"/>
        <w:rPr>
          <w:rFonts w:ascii="宋体" w:hAnsi="宋体"/>
          <w:szCs w:val="21"/>
        </w:rPr>
      </w:pPr>
      <w:r>
        <w:rPr>
          <w:rFonts w:hint="eastAsia" w:ascii="宋体" w:hAnsi="宋体"/>
          <w:szCs w:val="21"/>
        </w:rPr>
        <w:t xml:space="preserve">                          </w:t>
      </w:r>
    </w:p>
    <w:tbl>
      <w:tblPr>
        <w:tblStyle w:val="10"/>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1"/>
      </w:tblGrid>
      <w:tr w14:paraId="728F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7" w:hRule="atLeast"/>
        </w:trPr>
        <w:tc>
          <w:tcPr>
            <w:tcW w:w="8861" w:type="dxa"/>
          </w:tcPr>
          <w:p w14:paraId="68B32DBE">
            <w:pPr>
              <w:spacing w:line="300" w:lineRule="auto"/>
              <w:rPr>
                <w:rFonts w:ascii="宋体" w:hAnsi="宋体"/>
                <w:szCs w:val="21"/>
              </w:rPr>
            </w:pPr>
            <w:r>
              <w:rPr>
                <w:rFonts w:hint="eastAsia" w:ascii="宋体" w:hAnsi="宋体"/>
                <w:szCs w:val="21"/>
              </w:rPr>
              <w:t>粘贴被授权人身份证（正反面复印件）</w:t>
            </w:r>
          </w:p>
        </w:tc>
      </w:tr>
      <w:tr w14:paraId="04C9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7" w:hRule="atLeast"/>
        </w:trPr>
        <w:tc>
          <w:tcPr>
            <w:tcW w:w="8861" w:type="dxa"/>
          </w:tcPr>
          <w:p w14:paraId="3BB4E8D9">
            <w:pPr>
              <w:spacing w:line="300" w:lineRule="auto"/>
              <w:rPr>
                <w:rFonts w:ascii="宋体" w:hAnsi="宋体"/>
                <w:szCs w:val="21"/>
              </w:rPr>
            </w:pPr>
            <w:r>
              <w:rPr>
                <w:rFonts w:hint="eastAsia" w:ascii="宋体" w:hAnsi="宋体"/>
                <w:szCs w:val="21"/>
              </w:rPr>
              <w:t>粘贴法定代表人身份证（正反面复印件）</w:t>
            </w:r>
          </w:p>
        </w:tc>
      </w:tr>
    </w:tbl>
    <w:p w14:paraId="142DE975">
      <w:pPr>
        <w:pStyle w:val="6"/>
        <w:spacing w:line="400" w:lineRule="exact"/>
        <w:rPr>
          <w:rFonts w:hAnsi="宋体"/>
          <w:b/>
          <w:sz w:val="28"/>
          <w:szCs w:val="28"/>
        </w:rPr>
      </w:pPr>
    </w:p>
    <w:p w14:paraId="5A8F0BAF">
      <w:pPr>
        <w:pStyle w:val="6"/>
        <w:spacing w:line="400" w:lineRule="exact"/>
        <w:rPr>
          <w:rFonts w:hAnsi="宋体" w:cs="宋体"/>
          <w:b/>
        </w:rPr>
      </w:pPr>
      <w:r>
        <w:rPr>
          <w:rFonts w:hint="eastAsia" w:hAnsi="宋体"/>
          <w:b/>
          <w:sz w:val="28"/>
          <w:szCs w:val="28"/>
        </w:rPr>
        <w:br w:type="page"/>
      </w:r>
      <w:r>
        <w:rPr>
          <w:rFonts w:hint="eastAsia" w:hAnsi="宋体"/>
          <w:b/>
          <w:sz w:val="28"/>
          <w:szCs w:val="28"/>
        </w:rPr>
        <w:t xml:space="preserve">附件五 </w:t>
      </w:r>
      <w:r>
        <w:rPr>
          <w:rFonts w:hint="eastAsia" w:hAnsi="宋体" w:cs="宋体"/>
          <w:b/>
        </w:rPr>
        <w:t>信用声明函（格式）：</w:t>
      </w:r>
    </w:p>
    <w:p w14:paraId="23F03D8A">
      <w:pPr>
        <w:pStyle w:val="6"/>
        <w:spacing w:line="400" w:lineRule="exact"/>
        <w:rPr>
          <w:rFonts w:hAnsi="宋体" w:cs="宋体"/>
        </w:rPr>
      </w:pPr>
    </w:p>
    <w:p w14:paraId="121D12CF">
      <w:pPr>
        <w:pStyle w:val="6"/>
        <w:spacing w:line="420" w:lineRule="exact"/>
        <w:jc w:val="center"/>
        <w:rPr>
          <w:rFonts w:hAnsi="宋体" w:cs="宋体"/>
          <w:b/>
          <w:sz w:val="28"/>
          <w:szCs w:val="28"/>
        </w:rPr>
      </w:pPr>
      <w:r>
        <w:rPr>
          <w:rFonts w:hint="eastAsia" w:hAnsi="宋体" w:cs="宋体"/>
          <w:b/>
          <w:sz w:val="28"/>
          <w:szCs w:val="28"/>
        </w:rPr>
        <w:t>信用声明函（格式）</w:t>
      </w:r>
    </w:p>
    <w:p w14:paraId="44E041B7">
      <w:pPr>
        <w:pStyle w:val="6"/>
        <w:spacing w:line="420" w:lineRule="exact"/>
        <w:jc w:val="center"/>
        <w:rPr>
          <w:rFonts w:hAnsi="宋体" w:cs="宋体"/>
          <w:b/>
          <w:sz w:val="30"/>
          <w:szCs w:val="30"/>
        </w:rPr>
      </w:pPr>
    </w:p>
    <w:p w14:paraId="1132671E">
      <w:pPr>
        <w:tabs>
          <w:tab w:val="left" w:pos="7200"/>
        </w:tabs>
        <w:spacing w:line="420" w:lineRule="exact"/>
        <w:rPr>
          <w:rFonts w:ascii="宋体" w:hAnsi="宋体" w:cs="宋体"/>
        </w:rPr>
      </w:pPr>
      <w:r>
        <w:rPr>
          <w:rFonts w:hint="eastAsia" w:ascii="宋体" w:hAnsi="宋体" w:cs="宋体"/>
        </w:rPr>
        <w:t>致：                      （采购人名称）</w:t>
      </w:r>
    </w:p>
    <w:p w14:paraId="67521309">
      <w:pPr>
        <w:tabs>
          <w:tab w:val="left" w:pos="7200"/>
        </w:tabs>
        <w:spacing w:line="420" w:lineRule="exact"/>
        <w:ind w:firstLine="420" w:firstLineChars="200"/>
        <w:jc w:val="left"/>
        <w:rPr>
          <w:rFonts w:ascii="宋体" w:hAnsi="宋体" w:cs="宋体"/>
        </w:rPr>
      </w:pPr>
    </w:p>
    <w:p w14:paraId="24586BE2">
      <w:pPr>
        <w:tabs>
          <w:tab w:val="left" w:pos="7200"/>
        </w:tabs>
        <w:spacing w:line="420" w:lineRule="exact"/>
        <w:ind w:firstLine="420" w:firstLineChars="200"/>
        <w:jc w:val="left"/>
        <w:rPr>
          <w:rFonts w:ascii="宋体" w:hAnsi="宋体" w:cs="宋体"/>
        </w:rPr>
      </w:pPr>
      <w:r>
        <w:rPr>
          <w:rFonts w:hint="eastAsia" w:ascii="宋体" w:hAnsi="宋体" w:cs="宋体"/>
        </w:rPr>
        <w:t>我方愿意参加贵方组织的     (项目名称)          （项目编号：       ）项目的遴选，为便于贵方公正、择优地确定供应商及其响应服务成果和服务，我方就本次投标有关事项郑重声明如下：</w:t>
      </w:r>
    </w:p>
    <w:p w14:paraId="5E32CB5D">
      <w:pPr>
        <w:tabs>
          <w:tab w:val="left" w:pos="7200"/>
        </w:tabs>
        <w:spacing w:line="420" w:lineRule="exact"/>
        <w:ind w:firstLine="420" w:firstLineChars="200"/>
        <w:rPr>
          <w:rFonts w:ascii="宋体" w:hAnsi="宋体" w:cs="宋体"/>
        </w:rPr>
      </w:pPr>
      <w:r>
        <w:rPr>
          <w:rFonts w:hint="eastAsia" w:ascii="宋体" w:hAnsi="宋体" w:cs="宋体"/>
        </w:rPr>
        <w:t>1.经查询，在规定的查询时间内，“信用中国”和“中国政府采购网”网站我方未被列入失信被执行人、重大税收违法案件当事人名单、政府采购严重违法失信行为记录名单。</w:t>
      </w:r>
    </w:p>
    <w:p w14:paraId="13EFDEC4">
      <w:pPr>
        <w:tabs>
          <w:tab w:val="left" w:pos="7200"/>
        </w:tabs>
        <w:spacing w:line="420" w:lineRule="exact"/>
        <w:ind w:firstLine="420" w:firstLineChars="200"/>
        <w:rPr>
          <w:rFonts w:ascii="宋体" w:hAnsi="宋体" w:cs="宋体"/>
        </w:rPr>
      </w:pPr>
      <w:r>
        <w:rPr>
          <w:rFonts w:hint="eastAsia" w:ascii="宋体" w:hAnsi="宋体" w:cs="宋体"/>
        </w:rPr>
        <w:t>2.以上事项如有虚假或隐瞒，我方愿意承担一切后果，并不再寻求任何旨在减轻或免除法律责任的辩解。</w:t>
      </w:r>
    </w:p>
    <w:p w14:paraId="62BDA3E1">
      <w:pPr>
        <w:tabs>
          <w:tab w:val="left" w:pos="7200"/>
        </w:tabs>
        <w:spacing w:line="420" w:lineRule="exact"/>
        <w:rPr>
          <w:rFonts w:ascii="宋体" w:hAnsi="宋体" w:cs="宋体"/>
        </w:rPr>
      </w:pPr>
    </w:p>
    <w:p w14:paraId="43B59C59">
      <w:pPr>
        <w:tabs>
          <w:tab w:val="left" w:pos="7200"/>
        </w:tabs>
        <w:spacing w:line="420" w:lineRule="exact"/>
        <w:rPr>
          <w:rFonts w:ascii="宋体" w:hAnsi="宋体" w:cs="宋体"/>
        </w:rPr>
      </w:pPr>
      <w:r>
        <w:rPr>
          <w:rFonts w:hint="eastAsia" w:ascii="宋体" w:hAnsi="宋体" w:cs="宋体"/>
        </w:rPr>
        <w:t>说明：</w:t>
      </w:r>
    </w:p>
    <w:p w14:paraId="245228F6">
      <w:pPr>
        <w:spacing w:line="420" w:lineRule="exact"/>
        <w:ind w:firstLine="420" w:firstLineChars="200"/>
        <w:jc w:val="left"/>
        <w:rPr>
          <w:rFonts w:ascii="宋体" w:hAnsi="宋体" w:cs="宋体"/>
        </w:rPr>
      </w:pPr>
      <w:r>
        <w:rPr>
          <w:rFonts w:hint="eastAsia" w:ascii="宋体" w:hAnsi="宋体" w:cs="宋体"/>
        </w:rPr>
        <w:t>1.供应商应当通过 “信用中国”（www.creditchina.gov.cn）和“中国政府采购网”网站（www.ccgp.gov.cn）查询遴选供应商相关主体的信用记录。查询时间为本项目响应文件递交截止时间前5日至响应文件递交截止时间中任意一天。对列入失信被执行人、重大税收违法案件当事人名单、政府采购严重违法失信行为记录名单的磋商供应商，将被拒绝参与本项目政府采购活动。</w:t>
      </w:r>
    </w:p>
    <w:p w14:paraId="643238C9">
      <w:pPr>
        <w:spacing w:line="420" w:lineRule="exact"/>
        <w:ind w:firstLine="420" w:firstLineChars="200"/>
        <w:jc w:val="left"/>
        <w:rPr>
          <w:rFonts w:ascii="宋体" w:hAnsi="宋体" w:cs="宋体"/>
        </w:rPr>
      </w:pPr>
      <w:r>
        <w:rPr>
          <w:rFonts w:hint="eastAsia" w:ascii="宋体" w:hAnsi="宋体" w:cs="宋体"/>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D61463C">
      <w:pPr>
        <w:spacing w:line="420" w:lineRule="exact"/>
        <w:ind w:firstLine="420" w:firstLineChars="200"/>
        <w:jc w:val="left"/>
        <w:rPr>
          <w:rFonts w:ascii="宋体" w:hAnsi="宋体" w:cs="宋体"/>
        </w:rPr>
      </w:pPr>
    </w:p>
    <w:p w14:paraId="3FC9FD95">
      <w:pPr>
        <w:tabs>
          <w:tab w:val="left" w:pos="7200"/>
        </w:tabs>
        <w:spacing w:line="420" w:lineRule="exact"/>
        <w:ind w:firstLine="839" w:firstLineChars="398"/>
        <w:rPr>
          <w:rFonts w:ascii="宋体" w:hAnsi="宋体" w:cs="宋体"/>
          <w:b/>
        </w:rPr>
      </w:pPr>
      <w:r>
        <w:rPr>
          <w:rFonts w:hint="eastAsia" w:ascii="宋体" w:hAnsi="宋体" w:cs="宋体"/>
          <w:b/>
        </w:rPr>
        <w:t xml:space="preserve">                              法定代表人或委托代理人签字：             </w:t>
      </w:r>
    </w:p>
    <w:p w14:paraId="7DD17FAE">
      <w:pPr>
        <w:tabs>
          <w:tab w:val="left" w:pos="7200"/>
        </w:tabs>
        <w:spacing w:line="420" w:lineRule="exact"/>
        <w:ind w:left="6635" w:leftChars="2000" w:hanging="2435" w:hangingChars="1155"/>
        <w:jc w:val="left"/>
        <w:rPr>
          <w:rFonts w:ascii="宋体" w:hAnsi="宋体" w:cs="宋体"/>
          <w:b/>
        </w:rPr>
      </w:pPr>
      <w:r>
        <w:rPr>
          <w:rFonts w:hint="eastAsia" w:ascii="宋体" w:hAnsi="宋体" w:cs="宋体"/>
          <w:b/>
        </w:rPr>
        <w:t xml:space="preserve">供应商（盖章）：                                  </w:t>
      </w:r>
    </w:p>
    <w:p w14:paraId="0704D78D">
      <w:pPr>
        <w:tabs>
          <w:tab w:val="left" w:pos="7200"/>
        </w:tabs>
        <w:spacing w:line="420" w:lineRule="exact"/>
        <w:ind w:left="6635" w:leftChars="2000" w:hanging="2435" w:hangingChars="1155"/>
        <w:jc w:val="left"/>
        <w:rPr>
          <w:rFonts w:ascii="宋体" w:hAnsi="宋体" w:cs="宋体"/>
          <w:b/>
        </w:rPr>
      </w:pPr>
      <w:r>
        <w:rPr>
          <w:rFonts w:hint="eastAsia" w:ascii="宋体" w:hAnsi="宋体" w:cs="宋体"/>
          <w:b/>
        </w:rPr>
        <w:t xml:space="preserve"> </w:t>
      </w:r>
    </w:p>
    <w:p w14:paraId="0EA77641">
      <w:pPr>
        <w:pStyle w:val="6"/>
        <w:spacing w:line="300" w:lineRule="auto"/>
        <w:jc w:val="right"/>
        <w:rPr>
          <w:rFonts w:hAnsi="宋体"/>
          <w:spacing w:val="20"/>
          <w:sz w:val="18"/>
          <w:szCs w:val="21"/>
        </w:rPr>
      </w:pPr>
      <w:r>
        <w:rPr>
          <w:rFonts w:hint="eastAsia" w:hAnsi="宋体" w:cs="宋体"/>
          <w:b/>
        </w:rPr>
        <w:t xml:space="preserve"> 年    月    日</w:t>
      </w:r>
    </w:p>
    <w:p w14:paraId="27DAC90F">
      <w:pPr>
        <w:pStyle w:val="6"/>
        <w:spacing w:line="300" w:lineRule="auto"/>
        <w:rPr>
          <w:rFonts w:hAnsi="宋体"/>
          <w:b/>
          <w:sz w:val="28"/>
          <w:szCs w:val="28"/>
        </w:rPr>
      </w:pPr>
    </w:p>
    <w:p w14:paraId="5736293E">
      <w:pPr>
        <w:pStyle w:val="6"/>
        <w:spacing w:line="300" w:lineRule="auto"/>
        <w:rPr>
          <w:rFonts w:hAnsi="宋体" w:cs="宋体"/>
          <w:sz w:val="24"/>
        </w:rPr>
      </w:pPr>
      <w:r>
        <w:rPr>
          <w:rFonts w:hAnsi="宋体"/>
          <w:b/>
          <w:sz w:val="28"/>
          <w:szCs w:val="28"/>
        </w:rPr>
        <w:br w:type="page"/>
      </w:r>
    </w:p>
    <w:p w14:paraId="6EBA2A5C">
      <w:pPr>
        <w:pStyle w:val="6"/>
        <w:jc w:val="center"/>
        <w:rPr>
          <w:rFonts w:hAnsi="宋体"/>
          <w:szCs w:val="21"/>
        </w:rPr>
      </w:pPr>
    </w:p>
    <w:p w14:paraId="25C4404A">
      <w:pPr>
        <w:pStyle w:val="6"/>
        <w:rPr>
          <w:rFonts w:hAnsi="宋体"/>
          <w:szCs w:val="21"/>
        </w:rPr>
      </w:pPr>
    </w:p>
    <w:p w14:paraId="28172080">
      <w:pPr>
        <w:pStyle w:val="6"/>
        <w:spacing w:line="320" w:lineRule="exact"/>
        <w:ind w:firstLine="325"/>
        <w:rPr>
          <w:rFonts w:hAnsi="宋体"/>
          <w:sz w:val="24"/>
          <w:szCs w:val="24"/>
        </w:rPr>
      </w:pPr>
    </w:p>
    <w:p w14:paraId="54052BAB">
      <w:pPr>
        <w:pStyle w:val="6"/>
        <w:spacing w:line="440" w:lineRule="exact"/>
        <w:jc w:val="center"/>
        <w:rPr>
          <w:rFonts w:hAnsi="宋体"/>
          <w:sz w:val="24"/>
          <w:szCs w:val="24"/>
        </w:rPr>
      </w:pPr>
    </w:p>
    <w:p w14:paraId="0D59983C">
      <w:pPr>
        <w:pStyle w:val="6"/>
        <w:spacing w:line="440" w:lineRule="exact"/>
        <w:jc w:val="center"/>
        <w:rPr>
          <w:rFonts w:hAnsi="宋体"/>
          <w:sz w:val="24"/>
          <w:szCs w:val="24"/>
        </w:rPr>
      </w:pPr>
    </w:p>
    <w:p w14:paraId="30AA6816">
      <w:pPr>
        <w:pStyle w:val="6"/>
        <w:spacing w:line="440" w:lineRule="exact"/>
        <w:rPr>
          <w:rFonts w:hAnsi="宋体"/>
          <w:sz w:val="24"/>
          <w:szCs w:val="24"/>
        </w:rPr>
      </w:pPr>
    </w:p>
    <w:p w14:paraId="3F89B452">
      <w:pPr>
        <w:pStyle w:val="6"/>
        <w:spacing w:line="440" w:lineRule="exact"/>
        <w:jc w:val="center"/>
        <w:rPr>
          <w:rFonts w:hAnsi="宋体"/>
          <w:sz w:val="24"/>
          <w:szCs w:val="24"/>
        </w:rPr>
      </w:pPr>
    </w:p>
    <w:p w14:paraId="4E687386">
      <w:pPr>
        <w:pStyle w:val="6"/>
        <w:rPr>
          <w:rFonts w:ascii="隶书" w:eastAsia="隶书"/>
          <w:sz w:val="24"/>
          <w:szCs w:val="24"/>
        </w:rPr>
      </w:pPr>
    </w:p>
    <w:p w14:paraId="51DF344C">
      <w:pPr>
        <w:pStyle w:val="6"/>
        <w:jc w:val="center"/>
        <w:rPr>
          <w:rFonts w:ascii="隶书" w:eastAsia="隶书"/>
          <w:sz w:val="24"/>
          <w:szCs w:val="24"/>
        </w:rPr>
      </w:pPr>
    </w:p>
    <w:p w14:paraId="4705BB83">
      <w:pPr>
        <w:pStyle w:val="3"/>
        <w:ind w:left="1992" w:hanging="1992"/>
        <w:jc w:val="center"/>
        <w:rPr>
          <w:rFonts w:ascii="隶书" w:eastAsia="隶书"/>
        </w:rPr>
      </w:pPr>
      <w:r>
        <w:rPr>
          <w:rFonts w:hint="eastAsia" w:ascii="隶书" w:eastAsia="隶书"/>
        </w:rPr>
        <w:t>第五章</w:t>
      </w:r>
      <w:r>
        <w:rPr>
          <w:rFonts w:ascii="隶书" w:eastAsia="隶书"/>
        </w:rPr>
        <w:t xml:space="preserve"> </w:t>
      </w:r>
      <w:r>
        <w:rPr>
          <w:rFonts w:hint="eastAsia" w:ascii="隶书" w:eastAsia="隶书"/>
        </w:rPr>
        <w:t>评标方法和评标标准</w:t>
      </w:r>
    </w:p>
    <w:p w14:paraId="3CF5936B">
      <w:pPr>
        <w:pStyle w:val="6"/>
        <w:spacing w:line="440" w:lineRule="exact"/>
        <w:jc w:val="center"/>
        <w:rPr>
          <w:sz w:val="24"/>
          <w:szCs w:val="24"/>
        </w:rPr>
      </w:pPr>
    </w:p>
    <w:p w14:paraId="122A60B7">
      <w:pPr>
        <w:pStyle w:val="6"/>
        <w:spacing w:line="440" w:lineRule="exact"/>
        <w:jc w:val="center"/>
        <w:rPr>
          <w:sz w:val="24"/>
          <w:szCs w:val="24"/>
        </w:rPr>
      </w:pPr>
    </w:p>
    <w:p w14:paraId="69F722F4">
      <w:pPr>
        <w:pStyle w:val="6"/>
        <w:spacing w:line="440" w:lineRule="exact"/>
        <w:jc w:val="center"/>
        <w:rPr>
          <w:sz w:val="24"/>
          <w:szCs w:val="24"/>
        </w:rPr>
      </w:pPr>
    </w:p>
    <w:p w14:paraId="51511184">
      <w:pPr>
        <w:pStyle w:val="6"/>
        <w:spacing w:line="440" w:lineRule="exact"/>
        <w:jc w:val="center"/>
        <w:rPr>
          <w:sz w:val="24"/>
          <w:szCs w:val="24"/>
        </w:rPr>
      </w:pPr>
    </w:p>
    <w:p w14:paraId="0CC572B0">
      <w:pPr>
        <w:pStyle w:val="6"/>
        <w:spacing w:line="440" w:lineRule="exact"/>
        <w:jc w:val="center"/>
        <w:rPr>
          <w:sz w:val="24"/>
          <w:szCs w:val="24"/>
        </w:rPr>
      </w:pPr>
    </w:p>
    <w:p w14:paraId="40C825FC">
      <w:pPr>
        <w:pStyle w:val="6"/>
        <w:spacing w:line="440" w:lineRule="exact"/>
        <w:jc w:val="center"/>
        <w:rPr>
          <w:sz w:val="24"/>
          <w:szCs w:val="24"/>
        </w:rPr>
      </w:pPr>
    </w:p>
    <w:p w14:paraId="10C263A4">
      <w:pPr>
        <w:pStyle w:val="6"/>
        <w:spacing w:line="440" w:lineRule="exact"/>
        <w:jc w:val="center"/>
        <w:rPr>
          <w:sz w:val="24"/>
          <w:szCs w:val="24"/>
        </w:rPr>
      </w:pPr>
    </w:p>
    <w:p w14:paraId="488566F0">
      <w:pPr>
        <w:pStyle w:val="6"/>
        <w:jc w:val="center"/>
        <w:rPr>
          <w:rFonts w:hAnsi="宋体"/>
          <w:b/>
          <w:szCs w:val="21"/>
          <w:lang w:val="zh-CN"/>
        </w:rPr>
      </w:pPr>
      <w:r>
        <w:rPr>
          <w:b/>
          <w:sz w:val="24"/>
          <w:szCs w:val="24"/>
        </w:rPr>
        <w:br w:type="page"/>
      </w:r>
      <w:r>
        <w:rPr>
          <w:rFonts w:hint="eastAsia" w:hAnsi="宋体"/>
          <w:b/>
          <w:sz w:val="28"/>
          <w:szCs w:val="28"/>
        </w:rPr>
        <w:t>评标方法和评标标准</w:t>
      </w:r>
    </w:p>
    <w:p w14:paraId="322DD827">
      <w:pPr>
        <w:snapToGrid w:val="0"/>
        <w:spacing w:line="380" w:lineRule="exact"/>
        <w:rPr>
          <w:rFonts w:hAnsi="宋体"/>
          <w:b/>
          <w:bCs/>
        </w:rPr>
      </w:pPr>
      <w:r>
        <w:rPr>
          <w:rFonts w:hint="eastAsia" w:hAnsi="宋体"/>
          <w:b/>
          <w:bCs/>
        </w:rPr>
        <w:t>一、评标原则</w:t>
      </w:r>
    </w:p>
    <w:p w14:paraId="42204CA4">
      <w:pPr>
        <w:snapToGrid w:val="0"/>
        <w:spacing w:line="380" w:lineRule="exact"/>
        <w:rPr>
          <w:rFonts w:hAnsi="宋体"/>
        </w:rPr>
      </w:pPr>
      <w:r>
        <w:rPr>
          <w:rFonts w:hint="eastAsia" w:hAnsi="宋体"/>
        </w:rPr>
        <w:t>（一）评标依据：评标委员会将以遴选文件为评标依据，对遴选响应文件的报价、服务方案、信誉业绩等三方面内容按百分制打分。</w:t>
      </w:r>
    </w:p>
    <w:p w14:paraId="415F1769">
      <w:pPr>
        <w:snapToGrid w:val="0"/>
        <w:spacing w:line="380" w:lineRule="exact"/>
        <w:rPr>
          <w:rFonts w:hAnsi="宋体"/>
          <w:b/>
          <w:bCs/>
        </w:rPr>
      </w:pPr>
      <w:r>
        <w:rPr>
          <w:rFonts w:hint="eastAsia" w:hAnsi="宋体"/>
          <w:b/>
          <w:bCs/>
        </w:rPr>
        <w:t>二、评定方法</w:t>
      </w:r>
    </w:p>
    <w:p w14:paraId="6C665043">
      <w:pPr>
        <w:snapToGrid w:val="0"/>
        <w:spacing w:line="380" w:lineRule="exact"/>
        <w:rPr>
          <w:rFonts w:hAnsi="宋体"/>
        </w:rPr>
      </w:pPr>
      <w:r>
        <w:rPr>
          <w:rFonts w:hint="eastAsia" w:hAnsi="宋体"/>
        </w:rPr>
        <w:t>（一）对进入详评的，采用百分制综合评分法。</w:t>
      </w:r>
    </w:p>
    <w:p w14:paraId="118F9AA7">
      <w:pPr>
        <w:snapToGrid w:val="0"/>
        <w:spacing w:line="380" w:lineRule="exact"/>
        <w:rPr>
          <w:rFonts w:hAnsi="宋体"/>
        </w:rPr>
      </w:pPr>
      <w:r>
        <w:rPr>
          <w:rFonts w:hint="eastAsia" w:hAnsi="宋体"/>
        </w:rPr>
        <w:t>（二）计分办法（按四舍五入取至百分位）：</w:t>
      </w:r>
    </w:p>
    <w:p w14:paraId="6C62687B">
      <w:pPr>
        <w:snapToGrid w:val="0"/>
        <w:spacing w:line="380" w:lineRule="exact"/>
        <w:outlineLvl w:val="0"/>
        <w:rPr>
          <w:rFonts w:hAnsi="宋体"/>
          <w:b/>
          <w:bCs/>
        </w:rPr>
      </w:pPr>
      <w:r>
        <w:rPr>
          <w:rFonts w:hint="eastAsia" w:hAnsi="宋体"/>
          <w:b/>
          <w:bCs/>
        </w:rPr>
        <w:t>A分标</w:t>
      </w:r>
    </w:p>
    <w:tbl>
      <w:tblPr>
        <w:tblStyle w:val="10"/>
        <w:tblW w:w="9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959"/>
        <w:gridCol w:w="6976"/>
        <w:gridCol w:w="1007"/>
      </w:tblGrid>
      <w:tr w14:paraId="217B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blHeader/>
          <w:jc w:val="center"/>
        </w:trPr>
        <w:tc>
          <w:tcPr>
            <w:tcW w:w="801" w:type="dxa"/>
            <w:vAlign w:val="center"/>
          </w:tcPr>
          <w:p w14:paraId="24124CF7">
            <w:pPr>
              <w:spacing w:line="400" w:lineRule="exact"/>
              <w:jc w:val="center"/>
              <w:rPr>
                <w:rFonts w:ascii="宋体" w:hAnsi="宋体"/>
                <w:b/>
                <w:kern w:val="0"/>
                <w:szCs w:val="21"/>
              </w:rPr>
            </w:pPr>
            <w:r>
              <w:rPr>
                <w:rFonts w:ascii="宋体" w:hAnsi="宋体"/>
                <w:szCs w:val="21"/>
              </w:rPr>
              <w:br w:type="page"/>
            </w:r>
            <w:r>
              <w:rPr>
                <w:rFonts w:hint="eastAsia" w:ascii="宋体" w:hAnsi="宋体"/>
                <w:b/>
                <w:kern w:val="0"/>
                <w:szCs w:val="21"/>
              </w:rPr>
              <w:t>序号</w:t>
            </w:r>
          </w:p>
        </w:tc>
        <w:tc>
          <w:tcPr>
            <w:tcW w:w="959" w:type="dxa"/>
            <w:vAlign w:val="center"/>
          </w:tcPr>
          <w:p w14:paraId="7232D234">
            <w:pPr>
              <w:spacing w:line="400" w:lineRule="exact"/>
              <w:jc w:val="center"/>
              <w:rPr>
                <w:rFonts w:ascii="宋体" w:hAnsi="宋体"/>
                <w:b/>
                <w:kern w:val="0"/>
                <w:szCs w:val="21"/>
              </w:rPr>
            </w:pPr>
            <w:r>
              <w:rPr>
                <w:rFonts w:hint="eastAsia" w:ascii="宋体" w:hAnsi="宋体"/>
                <w:b/>
                <w:kern w:val="0"/>
                <w:szCs w:val="21"/>
              </w:rPr>
              <w:t>评审因素</w:t>
            </w:r>
          </w:p>
        </w:tc>
        <w:tc>
          <w:tcPr>
            <w:tcW w:w="6976" w:type="dxa"/>
            <w:vAlign w:val="center"/>
          </w:tcPr>
          <w:p w14:paraId="04B89FC9">
            <w:pPr>
              <w:spacing w:line="400" w:lineRule="exact"/>
              <w:jc w:val="center"/>
              <w:rPr>
                <w:rFonts w:ascii="宋体" w:hAnsi="宋体"/>
                <w:b/>
                <w:kern w:val="0"/>
                <w:szCs w:val="21"/>
              </w:rPr>
            </w:pPr>
            <w:r>
              <w:rPr>
                <w:rFonts w:hint="eastAsia" w:ascii="宋体" w:hAnsi="宋体"/>
                <w:b/>
                <w:kern w:val="0"/>
                <w:szCs w:val="21"/>
              </w:rPr>
              <w:t>评审因素具体内容</w:t>
            </w:r>
          </w:p>
        </w:tc>
        <w:tc>
          <w:tcPr>
            <w:tcW w:w="1007" w:type="dxa"/>
            <w:vAlign w:val="center"/>
          </w:tcPr>
          <w:p w14:paraId="3BAB0220">
            <w:pPr>
              <w:spacing w:line="400" w:lineRule="exact"/>
              <w:jc w:val="center"/>
              <w:rPr>
                <w:rFonts w:ascii="宋体" w:hAnsi="宋体"/>
                <w:b/>
                <w:kern w:val="0"/>
                <w:szCs w:val="21"/>
              </w:rPr>
            </w:pPr>
            <w:r>
              <w:rPr>
                <w:rFonts w:hint="eastAsia" w:ascii="宋体" w:hAnsi="宋体"/>
                <w:b/>
                <w:kern w:val="0"/>
                <w:szCs w:val="21"/>
              </w:rPr>
              <w:t>满分</w:t>
            </w:r>
          </w:p>
        </w:tc>
      </w:tr>
      <w:tr w14:paraId="0DF9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01" w:type="dxa"/>
            <w:vAlign w:val="center"/>
          </w:tcPr>
          <w:p w14:paraId="6BDA620B">
            <w:pPr>
              <w:spacing w:line="400" w:lineRule="exact"/>
              <w:jc w:val="center"/>
              <w:rPr>
                <w:rFonts w:ascii="宋体" w:hAnsi="宋体"/>
                <w:b/>
                <w:kern w:val="0"/>
                <w:szCs w:val="21"/>
              </w:rPr>
            </w:pPr>
            <w:r>
              <w:rPr>
                <w:rFonts w:hint="eastAsia" w:ascii="宋体" w:hAnsi="宋体"/>
                <w:b/>
                <w:kern w:val="0"/>
                <w:szCs w:val="21"/>
              </w:rPr>
              <w:t>1</w:t>
            </w:r>
          </w:p>
        </w:tc>
        <w:tc>
          <w:tcPr>
            <w:tcW w:w="959" w:type="dxa"/>
            <w:vAlign w:val="center"/>
          </w:tcPr>
          <w:p w14:paraId="51568526">
            <w:pPr>
              <w:spacing w:line="400" w:lineRule="exact"/>
              <w:jc w:val="center"/>
              <w:rPr>
                <w:rFonts w:ascii="宋体" w:hAnsi="宋体"/>
                <w:b/>
                <w:kern w:val="0"/>
                <w:szCs w:val="21"/>
              </w:rPr>
            </w:pPr>
            <w:r>
              <w:rPr>
                <w:rFonts w:hint="eastAsia" w:ascii="宋体" w:hAnsi="宋体"/>
                <w:b/>
                <w:kern w:val="0"/>
                <w:szCs w:val="21"/>
              </w:rPr>
              <w:t>价格分</w:t>
            </w:r>
          </w:p>
        </w:tc>
        <w:tc>
          <w:tcPr>
            <w:tcW w:w="6976" w:type="dxa"/>
            <w:vAlign w:val="center"/>
          </w:tcPr>
          <w:p w14:paraId="05752752">
            <w:pPr>
              <w:spacing w:line="400" w:lineRule="exact"/>
              <w:rPr>
                <w:rFonts w:ascii="宋体" w:hAnsi="宋体"/>
                <w:szCs w:val="21"/>
              </w:rPr>
            </w:pPr>
            <w:r>
              <w:rPr>
                <w:rFonts w:hint="eastAsia" w:ascii="宋体" w:hAnsi="宋体"/>
                <w:szCs w:val="21"/>
              </w:rPr>
              <w:t>（1）采用折扣率报价，标段内各项具体服务内容，统一采用一个折扣率。</w:t>
            </w:r>
          </w:p>
          <w:p w14:paraId="7D1DDD3F">
            <w:pPr>
              <w:spacing w:line="400" w:lineRule="exact"/>
            </w:pPr>
            <w:r>
              <w:rPr>
                <w:rFonts w:hint="eastAsia"/>
              </w:rPr>
              <w:t>（2）为保证服务质量，规避不合理的异常低价，设定折扣率区间值为85</w:t>
            </w:r>
            <w:r>
              <w:rPr>
                <w:rFonts w:hint="eastAsia"/>
                <w:b/>
                <w:bCs/>
              </w:rPr>
              <w:t>%-100%（含）</w:t>
            </w:r>
            <w:r>
              <w:rPr>
                <w:rFonts w:hint="eastAsia"/>
              </w:rPr>
              <w:t>，供应商需在区间值内报价。</w:t>
            </w:r>
          </w:p>
          <w:p w14:paraId="61574A86">
            <w:pPr>
              <w:spacing w:line="400" w:lineRule="exact"/>
              <w:rPr>
                <w:rFonts w:ascii="宋体" w:hAnsi="宋体"/>
                <w:szCs w:val="21"/>
              </w:rPr>
            </w:pPr>
            <w:r>
              <w:rPr>
                <w:rFonts w:hint="eastAsia" w:ascii="宋体" w:hAnsi="宋体"/>
                <w:szCs w:val="21"/>
              </w:rPr>
              <w:t>（3）以进入比较与评价环节的最低的评审报价为基准价，基准价得分为10分。</w:t>
            </w:r>
          </w:p>
          <w:p w14:paraId="40ADF2DB">
            <w:pPr>
              <w:spacing w:line="400" w:lineRule="exact"/>
              <w:rPr>
                <w:rFonts w:ascii="宋体" w:hAnsi="宋体"/>
                <w:b/>
                <w:kern w:val="0"/>
                <w:szCs w:val="21"/>
              </w:rPr>
            </w:pPr>
            <w:r>
              <w:rPr>
                <w:rFonts w:hint="eastAsia" w:ascii="宋体" w:hAnsi="宋体"/>
                <w:szCs w:val="21"/>
              </w:rPr>
              <w:t>（4）价格分计算公式：报价得分=（基准价/最后报价）×10分。</w:t>
            </w:r>
          </w:p>
        </w:tc>
        <w:tc>
          <w:tcPr>
            <w:tcW w:w="1007" w:type="dxa"/>
            <w:vAlign w:val="center"/>
          </w:tcPr>
          <w:p w14:paraId="62AF2F1E">
            <w:pPr>
              <w:spacing w:line="400" w:lineRule="exact"/>
              <w:jc w:val="center"/>
              <w:rPr>
                <w:rFonts w:ascii="宋体" w:hAnsi="宋体"/>
                <w:b/>
                <w:kern w:val="0"/>
                <w:szCs w:val="21"/>
              </w:rPr>
            </w:pPr>
            <w:r>
              <w:rPr>
                <w:rFonts w:hint="eastAsia" w:ascii="宋体" w:hAnsi="宋体"/>
                <w:b/>
                <w:kern w:val="0"/>
                <w:szCs w:val="21"/>
              </w:rPr>
              <w:t>10分</w:t>
            </w:r>
          </w:p>
        </w:tc>
      </w:tr>
      <w:tr w14:paraId="3E0A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01" w:type="dxa"/>
            <w:vAlign w:val="center"/>
          </w:tcPr>
          <w:p w14:paraId="22B67843">
            <w:pPr>
              <w:spacing w:line="400" w:lineRule="exact"/>
              <w:jc w:val="center"/>
              <w:rPr>
                <w:rFonts w:ascii="宋体" w:hAnsi="宋体" w:cs="Tahoma"/>
                <w:b/>
                <w:kern w:val="0"/>
                <w:szCs w:val="21"/>
              </w:rPr>
            </w:pPr>
            <w:r>
              <w:rPr>
                <w:rFonts w:hint="eastAsia" w:ascii="宋体" w:hAnsi="宋体"/>
                <w:b/>
                <w:kern w:val="0"/>
                <w:szCs w:val="21"/>
              </w:rPr>
              <w:t>2</w:t>
            </w:r>
          </w:p>
        </w:tc>
        <w:tc>
          <w:tcPr>
            <w:tcW w:w="959" w:type="dxa"/>
            <w:vAlign w:val="center"/>
          </w:tcPr>
          <w:p w14:paraId="6F21596C">
            <w:pPr>
              <w:spacing w:line="400" w:lineRule="exact"/>
              <w:jc w:val="center"/>
              <w:rPr>
                <w:rFonts w:ascii="宋体" w:hAnsi="宋体" w:cs="Tahoma"/>
                <w:b/>
                <w:kern w:val="0"/>
                <w:szCs w:val="21"/>
              </w:rPr>
            </w:pPr>
            <w:r>
              <w:rPr>
                <w:rFonts w:hint="eastAsia" w:ascii="宋体" w:hAnsi="宋体"/>
                <w:b/>
                <w:kern w:val="0"/>
                <w:szCs w:val="21"/>
              </w:rPr>
              <w:t>技术分</w:t>
            </w:r>
          </w:p>
        </w:tc>
        <w:tc>
          <w:tcPr>
            <w:tcW w:w="6976" w:type="dxa"/>
            <w:vAlign w:val="center"/>
          </w:tcPr>
          <w:p w14:paraId="0D9566DD">
            <w:pPr>
              <w:spacing w:line="400" w:lineRule="exact"/>
              <w:jc w:val="center"/>
              <w:rPr>
                <w:rFonts w:ascii="宋体" w:hAnsi="宋体"/>
                <w:b/>
                <w:kern w:val="0"/>
                <w:szCs w:val="21"/>
              </w:rPr>
            </w:pPr>
            <w:r>
              <w:rPr>
                <w:rFonts w:hint="eastAsia" w:ascii="宋体" w:hAnsi="宋体"/>
                <w:b/>
                <w:kern w:val="0"/>
                <w:szCs w:val="21"/>
              </w:rPr>
              <w:t>评审因素</w:t>
            </w:r>
          </w:p>
        </w:tc>
        <w:tc>
          <w:tcPr>
            <w:tcW w:w="1007" w:type="dxa"/>
            <w:vAlign w:val="center"/>
          </w:tcPr>
          <w:p w14:paraId="4302E50F">
            <w:pPr>
              <w:spacing w:line="400" w:lineRule="exact"/>
              <w:jc w:val="center"/>
              <w:rPr>
                <w:rFonts w:ascii="宋体" w:hAnsi="宋体"/>
                <w:b/>
                <w:kern w:val="0"/>
                <w:szCs w:val="21"/>
              </w:rPr>
            </w:pPr>
            <w:r>
              <w:rPr>
                <w:rFonts w:hint="eastAsia" w:ascii="宋体" w:hAnsi="宋体"/>
                <w:b/>
                <w:kern w:val="0"/>
                <w:szCs w:val="21"/>
              </w:rPr>
              <w:t>74分</w:t>
            </w:r>
          </w:p>
        </w:tc>
      </w:tr>
      <w:tr w14:paraId="4F93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5" w:hRule="atLeast"/>
          <w:jc w:val="center"/>
        </w:trPr>
        <w:tc>
          <w:tcPr>
            <w:tcW w:w="801" w:type="dxa"/>
            <w:vAlign w:val="center"/>
          </w:tcPr>
          <w:p w14:paraId="49AF9048">
            <w:pPr>
              <w:spacing w:line="400" w:lineRule="exact"/>
              <w:jc w:val="center"/>
              <w:rPr>
                <w:rFonts w:ascii="宋体" w:hAnsi="宋体"/>
                <w:kern w:val="0"/>
                <w:szCs w:val="21"/>
              </w:rPr>
            </w:pPr>
            <w:r>
              <w:rPr>
                <w:rFonts w:hint="eastAsia" w:ascii="宋体" w:hAnsi="宋体"/>
                <w:kern w:val="0"/>
                <w:szCs w:val="21"/>
              </w:rPr>
              <w:t>2.1</w:t>
            </w:r>
          </w:p>
        </w:tc>
        <w:tc>
          <w:tcPr>
            <w:tcW w:w="959" w:type="dxa"/>
            <w:vAlign w:val="center"/>
          </w:tcPr>
          <w:p w14:paraId="1BF68F58">
            <w:pPr>
              <w:spacing w:line="400" w:lineRule="exact"/>
              <w:jc w:val="center"/>
              <w:rPr>
                <w:rFonts w:ascii="宋体" w:hAnsi="宋体"/>
                <w:kern w:val="0"/>
                <w:szCs w:val="21"/>
              </w:rPr>
            </w:pPr>
            <w:r>
              <w:rPr>
                <w:rFonts w:ascii="宋体" w:hAnsi="宋体"/>
                <w:kern w:val="0"/>
                <w:szCs w:val="21"/>
              </w:rPr>
              <w:t>设计服务方案分</w:t>
            </w:r>
          </w:p>
        </w:tc>
        <w:tc>
          <w:tcPr>
            <w:tcW w:w="6976" w:type="dxa"/>
          </w:tcPr>
          <w:p w14:paraId="332F2C36">
            <w:pPr>
              <w:widowControl/>
              <w:spacing w:line="400" w:lineRule="exact"/>
              <w:jc w:val="left"/>
              <w:rPr>
                <w:rFonts w:ascii="宋体" w:hAnsi="宋体" w:cs="宋体"/>
                <w:kern w:val="0"/>
                <w:szCs w:val="21"/>
                <w:lang w:bidi="ar"/>
              </w:rPr>
            </w:pPr>
            <w:r>
              <w:rPr>
                <w:rFonts w:hint="eastAsia" w:ascii="宋体" w:hAnsi="宋体" w:cs="宋体"/>
                <w:kern w:val="0"/>
                <w:szCs w:val="21"/>
                <w:lang w:bidi="ar"/>
              </w:rPr>
              <w:t>不满足一档不得分。</w:t>
            </w:r>
          </w:p>
          <w:p w14:paraId="16304051">
            <w:pPr>
              <w:widowControl/>
              <w:spacing w:line="400" w:lineRule="exact"/>
              <w:jc w:val="left"/>
              <w:rPr>
                <w:rFonts w:ascii="宋体" w:hAnsi="宋体"/>
                <w:kern w:val="0"/>
                <w:szCs w:val="21"/>
              </w:rPr>
            </w:pPr>
            <w:r>
              <w:rPr>
                <w:rFonts w:hint="eastAsia" w:ascii="宋体" w:hAnsi="宋体"/>
                <w:kern w:val="0"/>
                <w:szCs w:val="21"/>
              </w:rPr>
              <w:t>一档（2分）：供应商对成本控制、技术措施方案、项目合理化设计方案表述不够明确、清晰，没有体现经济性、合理性和先进性；方案基本合理，针对性一般，基本满足采购文件要求。整体评价一般。</w:t>
            </w:r>
          </w:p>
          <w:p w14:paraId="643A55F4">
            <w:pPr>
              <w:widowControl/>
              <w:spacing w:line="400" w:lineRule="exact"/>
              <w:jc w:val="left"/>
              <w:rPr>
                <w:rFonts w:ascii="宋体" w:hAnsi="宋体"/>
                <w:kern w:val="0"/>
                <w:szCs w:val="21"/>
              </w:rPr>
            </w:pPr>
            <w:r>
              <w:rPr>
                <w:rFonts w:hint="eastAsia" w:ascii="宋体" w:hAnsi="宋体"/>
                <w:kern w:val="0"/>
                <w:szCs w:val="21"/>
              </w:rPr>
              <w:t>二档（6分）：供应商对成本控制、技术措施方案、项目合理化建议表述比较明确清晰，内容比较全面，经济性、合理性和先进性不够明显，方案较合理，具有一定的针对性。整体评价良好。</w:t>
            </w:r>
          </w:p>
          <w:p w14:paraId="140A325C">
            <w:pPr>
              <w:widowControl/>
              <w:spacing w:line="400" w:lineRule="exact"/>
              <w:jc w:val="left"/>
              <w:rPr>
                <w:rFonts w:ascii="宋体" w:hAnsi="宋体"/>
                <w:kern w:val="0"/>
                <w:szCs w:val="21"/>
              </w:rPr>
            </w:pPr>
            <w:r>
              <w:rPr>
                <w:rFonts w:hint="eastAsia" w:ascii="宋体" w:hAnsi="宋体"/>
                <w:kern w:val="0"/>
                <w:szCs w:val="21"/>
              </w:rPr>
              <w:t>三档（10分）：供应商对成本控制、技术措施方案、项目合理化建议表述清晰、体现经济性、合理性和先进性，方案可行、详细、操作性强，有专项针对本项目情况的分析，完全满足采购文件要求，整体评价优秀。</w:t>
            </w:r>
          </w:p>
        </w:tc>
        <w:tc>
          <w:tcPr>
            <w:tcW w:w="1007" w:type="dxa"/>
            <w:vAlign w:val="center"/>
          </w:tcPr>
          <w:p w14:paraId="52145638">
            <w:pPr>
              <w:spacing w:line="400" w:lineRule="exact"/>
              <w:jc w:val="center"/>
              <w:rPr>
                <w:rFonts w:ascii="宋体" w:hAnsi="宋体"/>
                <w:kern w:val="0"/>
                <w:szCs w:val="21"/>
              </w:rPr>
            </w:pPr>
            <w:r>
              <w:rPr>
                <w:rFonts w:hint="eastAsia" w:ascii="宋体" w:hAnsi="宋体"/>
                <w:kern w:val="0"/>
                <w:szCs w:val="21"/>
              </w:rPr>
              <w:t>10分</w:t>
            </w:r>
          </w:p>
        </w:tc>
      </w:tr>
      <w:tr w14:paraId="1C0A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vAlign w:val="center"/>
          </w:tcPr>
          <w:p w14:paraId="3C541471">
            <w:pPr>
              <w:spacing w:line="400" w:lineRule="exact"/>
              <w:jc w:val="center"/>
              <w:rPr>
                <w:rFonts w:ascii="宋体" w:hAnsi="宋体"/>
                <w:kern w:val="0"/>
                <w:szCs w:val="21"/>
              </w:rPr>
            </w:pPr>
            <w:r>
              <w:rPr>
                <w:rFonts w:hint="eastAsia" w:ascii="宋体" w:hAnsi="宋体"/>
                <w:kern w:val="0"/>
                <w:szCs w:val="21"/>
              </w:rPr>
              <w:t>2.2</w:t>
            </w:r>
          </w:p>
        </w:tc>
        <w:tc>
          <w:tcPr>
            <w:tcW w:w="959" w:type="dxa"/>
            <w:vAlign w:val="center"/>
          </w:tcPr>
          <w:p w14:paraId="611F6180">
            <w:pPr>
              <w:widowControl/>
              <w:jc w:val="center"/>
              <w:rPr>
                <w:rFonts w:ascii="宋体" w:hAnsi="宋体"/>
                <w:kern w:val="0"/>
                <w:szCs w:val="21"/>
              </w:rPr>
            </w:pPr>
            <w:r>
              <w:rPr>
                <w:rFonts w:hint="eastAsia" w:ascii="宋体" w:hAnsi="宋体"/>
                <w:kern w:val="0"/>
                <w:szCs w:val="21"/>
              </w:rPr>
              <w:t>概预算编制方案分</w:t>
            </w:r>
          </w:p>
        </w:tc>
        <w:tc>
          <w:tcPr>
            <w:tcW w:w="6976" w:type="dxa"/>
          </w:tcPr>
          <w:p w14:paraId="051EED8F">
            <w:pPr>
              <w:widowControl/>
              <w:spacing w:line="400" w:lineRule="exact"/>
              <w:jc w:val="left"/>
              <w:rPr>
                <w:rFonts w:ascii="宋体" w:hAnsi="宋体" w:cs="宋体"/>
                <w:kern w:val="0"/>
                <w:szCs w:val="21"/>
                <w:lang w:bidi="ar"/>
              </w:rPr>
            </w:pPr>
            <w:r>
              <w:rPr>
                <w:rFonts w:hint="eastAsia" w:ascii="宋体" w:hAnsi="宋体" w:cs="宋体"/>
                <w:kern w:val="0"/>
                <w:szCs w:val="21"/>
                <w:lang w:bidi="ar"/>
              </w:rPr>
              <w:t>不满足一档不得分。</w:t>
            </w:r>
          </w:p>
          <w:p w14:paraId="43201732">
            <w:pPr>
              <w:widowControl/>
              <w:spacing w:line="400" w:lineRule="exact"/>
              <w:jc w:val="left"/>
              <w:rPr>
                <w:rFonts w:ascii="宋体" w:hAnsi="宋体"/>
                <w:kern w:val="0"/>
                <w:szCs w:val="21"/>
              </w:rPr>
            </w:pPr>
            <w:r>
              <w:rPr>
                <w:rFonts w:hint="eastAsia" w:ascii="宋体" w:hAnsi="宋体"/>
                <w:kern w:val="0"/>
                <w:szCs w:val="21"/>
              </w:rPr>
              <w:t>一档（2分）：供应商提供有项目概预算政策依据、编制方法、编制内容等内容描述简单，符合项目评审及项目建设要求；</w:t>
            </w:r>
          </w:p>
          <w:p w14:paraId="4FC3BC2C">
            <w:pPr>
              <w:widowControl/>
              <w:spacing w:line="400" w:lineRule="exact"/>
              <w:jc w:val="left"/>
              <w:rPr>
                <w:rFonts w:ascii="宋体" w:hAnsi="宋体"/>
                <w:kern w:val="0"/>
                <w:szCs w:val="21"/>
              </w:rPr>
            </w:pPr>
            <w:r>
              <w:rPr>
                <w:rFonts w:hint="eastAsia" w:ascii="宋体" w:hAnsi="宋体"/>
                <w:kern w:val="0"/>
                <w:szCs w:val="21"/>
              </w:rPr>
              <w:t>二档（6分）：在一档的基础上，供应商提供有项目概预算各项费用构成、概预算使用工具等内容描述清晰、明确，方案符合项目实际需求，完整、可行；</w:t>
            </w:r>
          </w:p>
          <w:p w14:paraId="7F27ECF0">
            <w:pPr>
              <w:widowControl/>
              <w:spacing w:line="400" w:lineRule="exact"/>
              <w:jc w:val="left"/>
              <w:rPr>
                <w:rFonts w:ascii="宋体" w:hAnsi="宋体"/>
                <w:kern w:val="0"/>
                <w:szCs w:val="21"/>
              </w:rPr>
            </w:pPr>
            <w:r>
              <w:rPr>
                <w:rFonts w:hint="eastAsia" w:ascii="宋体" w:hAnsi="宋体"/>
                <w:kern w:val="0"/>
                <w:szCs w:val="21"/>
              </w:rPr>
              <w:t>三档（10分）：在二档的基础上，供应商能结合项目实际需求，依据相关标准要求套用造价定额，编制概预算书框架等内容，方案详细全面、可操作性强，预算针对性强，各项费用措施齐全。</w:t>
            </w:r>
          </w:p>
        </w:tc>
        <w:tc>
          <w:tcPr>
            <w:tcW w:w="1007" w:type="dxa"/>
            <w:vAlign w:val="center"/>
          </w:tcPr>
          <w:p w14:paraId="660A6AF0">
            <w:pPr>
              <w:spacing w:line="400" w:lineRule="exact"/>
              <w:jc w:val="center"/>
              <w:rPr>
                <w:rFonts w:ascii="宋体" w:hAnsi="宋体"/>
                <w:kern w:val="0"/>
                <w:szCs w:val="21"/>
              </w:rPr>
            </w:pPr>
            <w:r>
              <w:rPr>
                <w:rFonts w:hint="eastAsia" w:ascii="宋体" w:hAnsi="宋体"/>
                <w:kern w:val="0"/>
                <w:szCs w:val="21"/>
              </w:rPr>
              <w:t>10分</w:t>
            </w:r>
          </w:p>
        </w:tc>
      </w:tr>
      <w:tr w14:paraId="0DD2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jc w:val="center"/>
        </w:trPr>
        <w:tc>
          <w:tcPr>
            <w:tcW w:w="801" w:type="dxa"/>
            <w:vAlign w:val="center"/>
          </w:tcPr>
          <w:p w14:paraId="4A23FD38">
            <w:pPr>
              <w:spacing w:line="400" w:lineRule="exact"/>
              <w:jc w:val="center"/>
              <w:rPr>
                <w:rFonts w:ascii="宋体" w:hAnsi="宋体"/>
                <w:kern w:val="0"/>
                <w:szCs w:val="21"/>
              </w:rPr>
            </w:pPr>
            <w:r>
              <w:rPr>
                <w:rFonts w:hint="eastAsia" w:ascii="宋体" w:hAnsi="宋体"/>
                <w:kern w:val="0"/>
                <w:szCs w:val="21"/>
              </w:rPr>
              <w:t>2.3</w:t>
            </w:r>
          </w:p>
        </w:tc>
        <w:tc>
          <w:tcPr>
            <w:tcW w:w="959" w:type="dxa"/>
            <w:vAlign w:val="center"/>
          </w:tcPr>
          <w:p w14:paraId="4DC6ADDC">
            <w:pPr>
              <w:widowControl/>
              <w:jc w:val="center"/>
              <w:rPr>
                <w:rFonts w:ascii="宋体" w:hAnsi="宋体" w:cs="宋体"/>
                <w:kern w:val="0"/>
                <w:szCs w:val="21"/>
                <w:lang w:bidi="ar"/>
              </w:rPr>
            </w:pPr>
            <w:r>
              <w:rPr>
                <w:rFonts w:ascii="宋体" w:hAnsi="宋体" w:cs="宋体"/>
                <w:kern w:val="0"/>
                <w:szCs w:val="21"/>
                <w:lang w:bidi="ar"/>
              </w:rPr>
              <w:t>项目服务保障方案分</w:t>
            </w:r>
          </w:p>
        </w:tc>
        <w:tc>
          <w:tcPr>
            <w:tcW w:w="6976" w:type="dxa"/>
            <w:vAlign w:val="center"/>
          </w:tcPr>
          <w:p w14:paraId="045F022A">
            <w:pPr>
              <w:widowControl/>
              <w:spacing w:line="400" w:lineRule="exact"/>
              <w:jc w:val="left"/>
              <w:rPr>
                <w:rFonts w:ascii="宋体" w:hAnsi="宋体" w:cs="宋体"/>
                <w:kern w:val="0"/>
                <w:szCs w:val="21"/>
                <w:lang w:bidi="ar"/>
              </w:rPr>
            </w:pPr>
            <w:r>
              <w:rPr>
                <w:rFonts w:hint="eastAsia" w:ascii="宋体" w:hAnsi="宋体" w:cs="宋体"/>
                <w:kern w:val="0"/>
                <w:szCs w:val="21"/>
                <w:lang w:bidi="ar"/>
              </w:rPr>
              <w:t>不满足一档不得分。</w:t>
            </w:r>
          </w:p>
          <w:p w14:paraId="6BD1784E">
            <w:pPr>
              <w:widowControl/>
              <w:spacing w:line="400" w:lineRule="exact"/>
              <w:rPr>
                <w:rFonts w:ascii="宋体" w:hAnsi="宋体" w:cs="宋体"/>
                <w:kern w:val="0"/>
                <w:szCs w:val="21"/>
                <w:lang w:bidi="ar"/>
              </w:rPr>
            </w:pPr>
            <w:r>
              <w:rPr>
                <w:rFonts w:hint="eastAsia" w:ascii="宋体" w:hAnsi="宋体" w:cs="宋体"/>
                <w:kern w:val="0"/>
                <w:szCs w:val="21"/>
                <w:lang w:bidi="ar"/>
              </w:rPr>
              <w:t>一档（2分）：供应商提供有服务保障目标、任务等内容描述简单；</w:t>
            </w:r>
          </w:p>
          <w:p w14:paraId="1F481788">
            <w:pPr>
              <w:widowControl/>
              <w:spacing w:line="400" w:lineRule="exact"/>
              <w:rPr>
                <w:rFonts w:ascii="宋体" w:hAnsi="宋体" w:cs="宋体"/>
                <w:kern w:val="0"/>
                <w:szCs w:val="21"/>
                <w:lang w:bidi="ar"/>
              </w:rPr>
            </w:pPr>
            <w:r>
              <w:rPr>
                <w:rFonts w:hint="eastAsia" w:ascii="宋体" w:hAnsi="宋体" w:cs="宋体"/>
                <w:kern w:val="0"/>
                <w:szCs w:val="21"/>
                <w:lang w:bidi="ar"/>
              </w:rPr>
              <w:t>二档（6分）：在一档的基础上，供应商提供有项目组织计划、进度计划等内容描述清晰，方案合理、可行、完整；</w:t>
            </w:r>
          </w:p>
          <w:p w14:paraId="0270AFAE">
            <w:pPr>
              <w:widowControl/>
              <w:spacing w:line="400" w:lineRule="exact"/>
              <w:rPr>
                <w:rFonts w:ascii="宋体" w:hAnsi="宋体" w:cs="宋体"/>
                <w:kern w:val="0"/>
                <w:szCs w:val="21"/>
                <w:lang w:bidi="ar"/>
              </w:rPr>
            </w:pPr>
            <w:r>
              <w:rPr>
                <w:rFonts w:hint="eastAsia" w:ascii="宋体" w:hAnsi="宋体" w:cs="宋体"/>
                <w:kern w:val="0"/>
                <w:szCs w:val="21"/>
                <w:lang w:bidi="ar"/>
              </w:rPr>
              <w:t>三档（10分）：在二档的基础上，供应商提供有明确的管理措施、应急预案等内容描述详细全面、各项措施合理。</w:t>
            </w:r>
          </w:p>
          <w:p w14:paraId="3B9C0F36">
            <w:pPr>
              <w:widowControl/>
              <w:spacing w:line="400" w:lineRule="exact"/>
              <w:rPr>
                <w:rFonts w:ascii="宋体" w:hAnsi="宋体" w:cs="宋体"/>
                <w:kern w:val="0"/>
                <w:szCs w:val="21"/>
                <w:lang w:bidi="ar"/>
              </w:rPr>
            </w:pPr>
            <w:r>
              <w:rPr>
                <w:rFonts w:hint="eastAsia" w:ascii="宋体" w:hAnsi="宋体" w:cs="宋体"/>
                <w:kern w:val="0"/>
                <w:szCs w:val="21"/>
                <w:lang w:bidi="ar"/>
              </w:rPr>
              <w:t>注：未提供相关内容方案不得分。</w:t>
            </w:r>
          </w:p>
        </w:tc>
        <w:tc>
          <w:tcPr>
            <w:tcW w:w="1007" w:type="dxa"/>
            <w:vAlign w:val="center"/>
          </w:tcPr>
          <w:p w14:paraId="13A7B196">
            <w:pPr>
              <w:spacing w:line="400" w:lineRule="exact"/>
              <w:jc w:val="center"/>
              <w:rPr>
                <w:rFonts w:ascii="宋体" w:hAnsi="宋体"/>
                <w:kern w:val="0"/>
                <w:szCs w:val="21"/>
              </w:rPr>
            </w:pPr>
            <w:r>
              <w:rPr>
                <w:rFonts w:hint="eastAsia" w:ascii="宋体" w:hAnsi="宋体"/>
                <w:kern w:val="0"/>
                <w:szCs w:val="21"/>
              </w:rPr>
              <w:t>10分</w:t>
            </w:r>
          </w:p>
        </w:tc>
      </w:tr>
      <w:tr w14:paraId="5FBE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6" w:hRule="atLeast"/>
          <w:jc w:val="center"/>
        </w:trPr>
        <w:tc>
          <w:tcPr>
            <w:tcW w:w="801" w:type="dxa"/>
            <w:vAlign w:val="center"/>
          </w:tcPr>
          <w:p w14:paraId="5ECB6AA8">
            <w:pPr>
              <w:spacing w:line="400" w:lineRule="exact"/>
              <w:jc w:val="center"/>
              <w:rPr>
                <w:rFonts w:ascii="宋体" w:hAnsi="宋体"/>
                <w:kern w:val="0"/>
                <w:szCs w:val="21"/>
              </w:rPr>
            </w:pPr>
            <w:r>
              <w:rPr>
                <w:rFonts w:hint="eastAsia" w:ascii="宋体" w:hAnsi="宋体"/>
                <w:kern w:val="0"/>
                <w:szCs w:val="21"/>
              </w:rPr>
              <w:t>2.4</w:t>
            </w:r>
          </w:p>
        </w:tc>
        <w:tc>
          <w:tcPr>
            <w:tcW w:w="959" w:type="dxa"/>
            <w:vAlign w:val="center"/>
          </w:tcPr>
          <w:p w14:paraId="04FC2E82">
            <w:pPr>
              <w:widowControl/>
              <w:jc w:val="center"/>
              <w:rPr>
                <w:szCs w:val="21"/>
              </w:rPr>
            </w:pPr>
            <w:r>
              <w:rPr>
                <w:szCs w:val="21"/>
              </w:rPr>
              <w:t>后续服务方案分</w:t>
            </w:r>
          </w:p>
          <w:p w14:paraId="4ED5BD42">
            <w:pPr>
              <w:spacing w:line="400" w:lineRule="exact"/>
              <w:jc w:val="center"/>
              <w:rPr>
                <w:rFonts w:ascii="宋体" w:hAnsi="宋体"/>
                <w:kern w:val="0"/>
                <w:szCs w:val="21"/>
              </w:rPr>
            </w:pPr>
          </w:p>
        </w:tc>
        <w:tc>
          <w:tcPr>
            <w:tcW w:w="6976" w:type="dxa"/>
            <w:vAlign w:val="center"/>
          </w:tcPr>
          <w:p w14:paraId="5D5E8379">
            <w:pPr>
              <w:widowControl/>
              <w:spacing w:line="400" w:lineRule="exact"/>
              <w:jc w:val="left"/>
              <w:rPr>
                <w:rFonts w:ascii="宋体" w:hAnsi="宋体" w:cs="宋体"/>
                <w:kern w:val="0"/>
                <w:szCs w:val="21"/>
                <w:lang w:bidi="ar"/>
              </w:rPr>
            </w:pPr>
            <w:r>
              <w:rPr>
                <w:rFonts w:hint="eastAsia" w:ascii="宋体" w:hAnsi="宋体" w:cs="宋体"/>
                <w:kern w:val="0"/>
                <w:szCs w:val="21"/>
                <w:lang w:bidi="ar"/>
              </w:rPr>
              <w:t>不满足一档不得分。</w:t>
            </w:r>
          </w:p>
          <w:p w14:paraId="3BD2D115">
            <w:pPr>
              <w:widowControl/>
              <w:spacing w:line="400" w:lineRule="exact"/>
              <w:jc w:val="left"/>
              <w:rPr>
                <w:rFonts w:ascii="宋体" w:hAnsi="宋体"/>
                <w:kern w:val="0"/>
                <w:szCs w:val="21"/>
              </w:rPr>
            </w:pPr>
            <w:r>
              <w:rPr>
                <w:rFonts w:hint="eastAsia" w:ascii="宋体" w:hAnsi="宋体"/>
                <w:kern w:val="0"/>
                <w:szCs w:val="21"/>
              </w:rPr>
              <w:t>一档（2分）：供应商提供的本项目技术支持及后期服务保障方案满足采购文件要求，且包含有基本的本地化服务、技术支持保障措施的；</w:t>
            </w:r>
          </w:p>
          <w:p w14:paraId="6EFEC2B2">
            <w:pPr>
              <w:widowControl/>
              <w:spacing w:line="400" w:lineRule="exact"/>
              <w:jc w:val="left"/>
              <w:rPr>
                <w:rFonts w:ascii="宋体" w:hAnsi="宋体"/>
                <w:kern w:val="0"/>
                <w:szCs w:val="21"/>
              </w:rPr>
            </w:pPr>
            <w:r>
              <w:rPr>
                <w:rFonts w:hint="eastAsia" w:ascii="宋体" w:hAnsi="宋体"/>
                <w:kern w:val="0"/>
                <w:szCs w:val="21"/>
              </w:rPr>
              <w:t>二档（6分）：在一档的基础上，供应商提供的方案包含后续服务承诺、服务内容、服务流程等，内容比较完整，符合实际需求；</w:t>
            </w:r>
          </w:p>
          <w:p w14:paraId="0EFE608A">
            <w:pPr>
              <w:widowControl/>
              <w:spacing w:line="400" w:lineRule="exact"/>
              <w:jc w:val="left"/>
              <w:rPr>
                <w:rFonts w:ascii="宋体" w:hAnsi="宋体"/>
                <w:kern w:val="0"/>
                <w:szCs w:val="21"/>
              </w:rPr>
            </w:pPr>
            <w:r>
              <w:rPr>
                <w:rFonts w:hint="eastAsia" w:ascii="宋体" w:hAnsi="宋体"/>
                <w:kern w:val="0"/>
                <w:szCs w:val="21"/>
              </w:rPr>
              <w:t>三档（10分）：在二档的基础上，供应商提供方案的包含后续服务响应与处置、服务体系与措施等，方案内容详细全面的，各项保障方法及措施齐全的。</w:t>
            </w:r>
          </w:p>
        </w:tc>
        <w:tc>
          <w:tcPr>
            <w:tcW w:w="1007" w:type="dxa"/>
            <w:vAlign w:val="center"/>
          </w:tcPr>
          <w:p w14:paraId="7906D267">
            <w:pPr>
              <w:spacing w:line="400" w:lineRule="exact"/>
              <w:jc w:val="center"/>
              <w:rPr>
                <w:rFonts w:ascii="宋体" w:hAnsi="宋体"/>
                <w:kern w:val="0"/>
                <w:szCs w:val="21"/>
              </w:rPr>
            </w:pPr>
            <w:r>
              <w:rPr>
                <w:rFonts w:hint="eastAsia" w:ascii="宋体" w:hAnsi="宋体"/>
                <w:kern w:val="0"/>
                <w:szCs w:val="21"/>
              </w:rPr>
              <w:t>10分</w:t>
            </w:r>
          </w:p>
        </w:tc>
      </w:tr>
      <w:tr w14:paraId="0470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01" w:type="dxa"/>
            <w:vAlign w:val="center"/>
          </w:tcPr>
          <w:p w14:paraId="426B447D">
            <w:pPr>
              <w:spacing w:line="400" w:lineRule="exact"/>
              <w:jc w:val="center"/>
              <w:rPr>
                <w:rFonts w:ascii="宋体" w:hAnsi="宋体"/>
                <w:kern w:val="0"/>
                <w:szCs w:val="21"/>
              </w:rPr>
            </w:pPr>
            <w:r>
              <w:rPr>
                <w:rFonts w:hint="eastAsia" w:ascii="宋体" w:hAnsi="宋体"/>
                <w:kern w:val="0"/>
                <w:szCs w:val="21"/>
              </w:rPr>
              <w:t>2.5</w:t>
            </w:r>
          </w:p>
        </w:tc>
        <w:tc>
          <w:tcPr>
            <w:tcW w:w="959" w:type="dxa"/>
            <w:vAlign w:val="center"/>
          </w:tcPr>
          <w:p w14:paraId="14774263">
            <w:pPr>
              <w:spacing w:line="400" w:lineRule="exact"/>
              <w:jc w:val="center"/>
              <w:rPr>
                <w:rFonts w:ascii="宋体" w:hAnsi="宋体"/>
                <w:kern w:val="0"/>
                <w:szCs w:val="21"/>
              </w:rPr>
            </w:pPr>
            <w:r>
              <w:rPr>
                <w:rFonts w:hint="eastAsia" w:ascii="宋体" w:hAnsi="宋体"/>
                <w:kern w:val="0"/>
                <w:szCs w:val="21"/>
              </w:rPr>
              <w:t>拟投入人员分</w:t>
            </w:r>
          </w:p>
        </w:tc>
        <w:tc>
          <w:tcPr>
            <w:tcW w:w="6976" w:type="dxa"/>
            <w:vAlign w:val="center"/>
          </w:tcPr>
          <w:p w14:paraId="3CBBCDD1">
            <w:pPr>
              <w:spacing w:line="400" w:lineRule="exact"/>
              <w:rPr>
                <w:rFonts w:ascii="宋体" w:hAnsi="宋体" w:cs="宋体"/>
                <w:b/>
                <w:bCs/>
                <w:szCs w:val="21"/>
              </w:rPr>
            </w:pPr>
            <w:r>
              <w:rPr>
                <w:rFonts w:hint="eastAsia" w:ascii="宋体" w:hAnsi="宋体" w:cs="宋体"/>
                <w:b/>
                <w:bCs/>
                <w:szCs w:val="21"/>
              </w:rPr>
              <w:t>（1）拟投入本项目的项目经理具有一级注册建造师（通信与广电工程）证书的同时具备以下资质经验，满分8分：</w:t>
            </w:r>
          </w:p>
          <w:p w14:paraId="72A6A10F">
            <w:pPr>
              <w:spacing w:line="400" w:lineRule="exact"/>
              <w:rPr>
                <w:rFonts w:ascii="宋体" w:hAnsi="宋体" w:cs="宋体"/>
                <w:szCs w:val="21"/>
              </w:rPr>
            </w:pPr>
            <w:r>
              <w:rPr>
                <w:rFonts w:hint="eastAsia" w:ascii="宋体" w:hAnsi="宋体" w:cs="宋体"/>
                <w:szCs w:val="21"/>
              </w:rPr>
              <w:t>①具有高级信息系统项目管理师证书的得2分；</w:t>
            </w:r>
          </w:p>
          <w:p w14:paraId="68F8F71A">
            <w:pPr>
              <w:spacing w:line="400" w:lineRule="exact"/>
              <w:rPr>
                <w:rFonts w:ascii="宋体" w:hAnsi="宋体" w:cs="宋体"/>
                <w:szCs w:val="21"/>
              </w:rPr>
            </w:pPr>
            <w:r>
              <w:rPr>
                <w:rFonts w:hint="eastAsia" w:ascii="宋体" w:hAnsi="宋体" w:cs="宋体"/>
                <w:szCs w:val="21"/>
              </w:rPr>
              <w:t>②具有中华人民共和国咨询工程师（投资）证书（专业：电子、信息工程（含通信、广电、信息化））的得2分；</w:t>
            </w:r>
          </w:p>
          <w:p w14:paraId="0403DDFF">
            <w:pPr>
              <w:spacing w:line="400" w:lineRule="exact"/>
              <w:rPr>
                <w:rFonts w:ascii="宋体" w:hAnsi="宋体" w:cs="宋体"/>
                <w:szCs w:val="21"/>
              </w:rPr>
            </w:pPr>
            <w:r>
              <w:rPr>
                <w:rFonts w:hint="eastAsia" w:ascii="宋体" w:hAnsi="宋体" w:cs="宋体"/>
                <w:szCs w:val="21"/>
              </w:rPr>
              <w:t>③具有高级工程师（计算机类或通信工程类或工程类或</w:t>
            </w:r>
            <w:r>
              <w:rPr>
                <w:rFonts w:hint="eastAsia" w:ascii="宋体" w:hAnsi="宋体" w:cs="宋体"/>
                <w:spacing w:val="2"/>
                <w:szCs w:val="21"/>
              </w:rPr>
              <w:t>电子信息工程类</w:t>
            </w:r>
            <w:r>
              <w:rPr>
                <w:rFonts w:hint="eastAsia" w:ascii="宋体" w:hAnsi="宋体" w:cs="宋体"/>
                <w:szCs w:val="21"/>
              </w:rPr>
              <w:t>）职称证书的得2分；</w:t>
            </w:r>
          </w:p>
          <w:p w14:paraId="64B0F31D">
            <w:pPr>
              <w:spacing w:line="400" w:lineRule="exact"/>
              <w:rPr>
                <w:rFonts w:ascii="宋体" w:hAnsi="宋体" w:cs="宋体"/>
                <w:szCs w:val="21"/>
              </w:rPr>
            </w:pPr>
            <w:r>
              <w:rPr>
                <w:rFonts w:hint="eastAsia" w:ascii="宋体" w:hAnsi="宋体" w:cs="宋体"/>
                <w:szCs w:val="21"/>
              </w:rPr>
              <w:t>④具有一级注册造价工程师（安装专业）证书的得2分。</w:t>
            </w:r>
          </w:p>
          <w:p w14:paraId="58E80535">
            <w:pPr>
              <w:spacing w:line="400" w:lineRule="exact"/>
              <w:rPr>
                <w:rFonts w:ascii="宋体" w:hAnsi="宋体" w:cs="宋体"/>
                <w:szCs w:val="21"/>
              </w:rPr>
            </w:pPr>
            <w:r>
              <w:rPr>
                <w:rFonts w:hint="eastAsia" w:ascii="宋体" w:hAnsi="宋体" w:cs="宋体"/>
                <w:szCs w:val="21"/>
              </w:rPr>
              <w:t xml:space="preserve">（在响应文件中提供证书复印件并加盖供应商公章，同时需在《项目实施人员一览表》中明确标明项目经理的职务，否则不得分） </w:t>
            </w:r>
          </w:p>
          <w:p w14:paraId="3FD44959">
            <w:pPr>
              <w:spacing w:line="400" w:lineRule="exact"/>
              <w:rPr>
                <w:rFonts w:ascii="宋体" w:hAnsi="宋体" w:cs="宋体"/>
                <w:b/>
                <w:bCs/>
                <w:szCs w:val="21"/>
              </w:rPr>
            </w:pPr>
            <w:r>
              <w:rPr>
                <w:rFonts w:hint="eastAsia" w:ascii="宋体" w:hAnsi="宋体" w:cs="宋体"/>
                <w:b/>
                <w:bCs/>
                <w:szCs w:val="21"/>
              </w:rPr>
              <w:t>（2）拟投入本项目的技术负责人具有高级系统架构设计师证书的同时，具备以下资质经验，满分6分：</w:t>
            </w:r>
          </w:p>
          <w:p w14:paraId="39EC0784">
            <w:pPr>
              <w:spacing w:line="400" w:lineRule="exact"/>
              <w:rPr>
                <w:rFonts w:ascii="宋体" w:hAnsi="宋体" w:cs="宋体"/>
                <w:szCs w:val="21"/>
              </w:rPr>
            </w:pPr>
            <w:r>
              <w:rPr>
                <w:rFonts w:hint="eastAsia" w:ascii="宋体" w:hAnsi="宋体" w:cs="宋体"/>
                <w:szCs w:val="21"/>
              </w:rPr>
              <w:t>①具有高级信息系统项目管理师证书的得2分；</w:t>
            </w:r>
          </w:p>
          <w:p w14:paraId="0FB5A212">
            <w:pPr>
              <w:pStyle w:val="7"/>
              <w:spacing w:line="400" w:lineRule="exact"/>
              <w:rPr>
                <w:rFonts w:ascii="宋体" w:hAnsi="宋体" w:cs="宋体"/>
                <w:sz w:val="21"/>
                <w:szCs w:val="21"/>
              </w:rPr>
            </w:pPr>
            <w:r>
              <w:rPr>
                <w:rFonts w:hint="eastAsia" w:ascii="宋体" w:hAnsi="宋体" w:cs="宋体"/>
                <w:sz w:val="21"/>
                <w:szCs w:val="21"/>
              </w:rPr>
              <w:t>②具有高级系统分析师证书的得2分；</w:t>
            </w:r>
          </w:p>
          <w:p w14:paraId="22B5D62A">
            <w:pPr>
              <w:pStyle w:val="7"/>
              <w:spacing w:line="400" w:lineRule="exact"/>
              <w:rPr>
                <w:rFonts w:ascii="宋体" w:hAnsi="宋体" w:cs="宋体"/>
                <w:sz w:val="21"/>
                <w:szCs w:val="21"/>
              </w:rPr>
            </w:pPr>
            <w:r>
              <w:rPr>
                <w:rFonts w:hint="eastAsia" w:ascii="宋体" w:hAnsi="宋体" w:cs="宋体"/>
                <w:sz w:val="21"/>
                <w:szCs w:val="21"/>
              </w:rPr>
              <w:t>③一级注册造价工程师（安装专业）证书的得2分；</w:t>
            </w:r>
          </w:p>
          <w:p w14:paraId="318D7F22">
            <w:pPr>
              <w:spacing w:line="400" w:lineRule="exact"/>
              <w:rPr>
                <w:rFonts w:ascii="宋体" w:hAnsi="宋体" w:cs="宋体"/>
                <w:szCs w:val="21"/>
              </w:rPr>
            </w:pPr>
            <w:r>
              <w:rPr>
                <w:rFonts w:hint="eastAsia" w:ascii="宋体" w:hAnsi="宋体" w:cs="宋体"/>
                <w:szCs w:val="21"/>
              </w:rPr>
              <w:t>（响应文件中提供证书复印件并加盖供应商公章，同时需在《项目实施人员一览表》中明确标明技术负责人的职务，否则不得分）</w:t>
            </w:r>
          </w:p>
          <w:p w14:paraId="5087E085">
            <w:pPr>
              <w:spacing w:line="400" w:lineRule="exact"/>
              <w:rPr>
                <w:rFonts w:ascii="宋体" w:hAnsi="宋体" w:cs="宋体"/>
                <w:b/>
                <w:bCs/>
                <w:szCs w:val="21"/>
              </w:rPr>
            </w:pPr>
            <w:r>
              <w:rPr>
                <w:rFonts w:hint="eastAsia" w:ascii="宋体" w:hAnsi="宋体" w:cs="宋体"/>
                <w:b/>
                <w:bCs/>
                <w:szCs w:val="21"/>
              </w:rPr>
              <w:t>（3）拟投入本项目的概预算编制负责人具有一级注册造价工程师（安装专业）证书的同时，具备以下资质经验，满分6分：</w:t>
            </w:r>
          </w:p>
          <w:p w14:paraId="037E8142">
            <w:pPr>
              <w:spacing w:line="400" w:lineRule="exact"/>
              <w:rPr>
                <w:rFonts w:ascii="宋体" w:hAnsi="宋体" w:cs="宋体"/>
                <w:szCs w:val="21"/>
              </w:rPr>
            </w:pPr>
            <w:r>
              <w:rPr>
                <w:rFonts w:hint="eastAsia" w:ascii="宋体" w:hAnsi="宋体" w:cs="宋体"/>
                <w:szCs w:val="21"/>
              </w:rPr>
              <w:t>①具备一级注册建造师（通信与广电工程）证书的得2分；</w:t>
            </w:r>
          </w:p>
          <w:p w14:paraId="71BCE4D5">
            <w:pPr>
              <w:spacing w:line="400" w:lineRule="exact"/>
              <w:rPr>
                <w:rFonts w:ascii="宋体" w:hAnsi="宋体" w:cs="宋体"/>
                <w:szCs w:val="21"/>
              </w:rPr>
            </w:pPr>
            <w:r>
              <w:rPr>
                <w:rFonts w:hint="eastAsia" w:ascii="宋体" w:hAnsi="宋体" w:cs="宋体"/>
                <w:szCs w:val="21"/>
              </w:rPr>
              <w:t>②持有中华人民共和国咨询工程师（投资）证书（专业：电子、信息工程（含通信、广电、信息化））的得2分；</w:t>
            </w:r>
          </w:p>
          <w:p w14:paraId="2DDA2ADB">
            <w:pPr>
              <w:spacing w:line="400" w:lineRule="exact"/>
              <w:rPr>
                <w:rFonts w:ascii="宋体" w:hAnsi="宋体" w:cs="宋体"/>
                <w:szCs w:val="21"/>
              </w:rPr>
            </w:pPr>
            <w:r>
              <w:rPr>
                <w:rFonts w:hint="eastAsia" w:ascii="宋体" w:hAnsi="宋体" w:cs="宋体"/>
                <w:szCs w:val="21"/>
              </w:rPr>
              <w:t>③具备高级工程师（计算机类或通信工程类或工程类）职称证书的得2分。</w:t>
            </w:r>
          </w:p>
          <w:p w14:paraId="136E3D6B">
            <w:pPr>
              <w:spacing w:line="400" w:lineRule="exact"/>
              <w:rPr>
                <w:rFonts w:ascii="宋体" w:hAnsi="宋体" w:cs="宋体"/>
                <w:szCs w:val="21"/>
              </w:rPr>
            </w:pPr>
            <w:r>
              <w:rPr>
                <w:rFonts w:hint="eastAsia" w:ascii="宋体" w:hAnsi="宋体" w:cs="宋体"/>
                <w:szCs w:val="21"/>
              </w:rPr>
              <w:t>（响应文件中提供证书复印件并加盖供应商公章，同时需在《项目实施人员一览表》中明确标明概预算编制负责人的职务，否则不得分）</w:t>
            </w:r>
          </w:p>
          <w:p w14:paraId="5750C9DD">
            <w:pPr>
              <w:spacing w:line="400" w:lineRule="exact"/>
              <w:rPr>
                <w:rFonts w:ascii="宋体" w:hAnsi="宋体" w:cs="宋体"/>
                <w:b/>
                <w:bCs/>
                <w:szCs w:val="21"/>
              </w:rPr>
            </w:pPr>
            <w:r>
              <w:rPr>
                <w:rFonts w:hint="eastAsia" w:ascii="宋体" w:hAnsi="宋体" w:cs="宋体"/>
                <w:b/>
                <w:bCs/>
                <w:szCs w:val="21"/>
              </w:rPr>
              <w:t>（4）拟投入本项目的项目组其他成员（除项目经理、技术负责人、概预算编制负责人外）资质经验，满分14分：</w:t>
            </w:r>
          </w:p>
          <w:p w14:paraId="21F31A80">
            <w:pPr>
              <w:spacing w:line="400" w:lineRule="exact"/>
              <w:rPr>
                <w:rFonts w:ascii="宋体" w:hAnsi="宋体" w:cs="宋体"/>
                <w:szCs w:val="21"/>
              </w:rPr>
            </w:pPr>
            <w:r>
              <w:rPr>
                <w:rFonts w:hint="eastAsia" w:ascii="宋体" w:hAnsi="宋体" w:cs="宋体"/>
                <w:szCs w:val="21"/>
              </w:rPr>
              <w:t>①持有一级注册造价工程师（安装专业）证书且具备高职工程师职称证书的，每人得2分，满分2分；（响应文件中提供证书复印件并加盖供应商公章）</w:t>
            </w:r>
          </w:p>
          <w:p w14:paraId="3C5F8A39">
            <w:pPr>
              <w:spacing w:line="400" w:lineRule="exact"/>
              <w:rPr>
                <w:rFonts w:ascii="宋体" w:hAnsi="宋体" w:cs="宋体"/>
                <w:szCs w:val="21"/>
              </w:rPr>
            </w:pPr>
            <w:r>
              <w:rPr>
                <w:rFonts w:hint="eastAsia" w:ascii="宋体" w:hAnsi="宋体" w:cs="宋体"/>
                <w:szCs w:val="21"/>
              </w:rPr>
              <w:t>②持有高级软件工程师证书且具备数据库系统工程师证书的，每人得2分，满分2分；（响应文件中提供证书复印件并加盖供应商公章）</w:t>
            </w:r>
          </w:p>
          <w:p w14:paraId="66459ED4">
            <w:pPr>
              <w:spacing w:line="400" w:lineRule="exact"/>
              <w:rPr>
                <w:rFonts w:ascii="宋体" w:hAnsi="宋体" w:cs="宋体"/>
                <w:szCs w:val="21"/>
              </w:rPr>
            </w:pPr>
            <w:r>
              <w:rPr>
                <w:rFonts w:hint="eastAsia" w:ascii="宋体" w:hAnsi="宋体" w:cs="宋体"/>
                <w:szCs w:val="21"/>
              </w:rPr>
              <w:t>③持有一级注册建造师（通信与广电工程）证书且具备软件设计师证书的，每人得2分，满分2分；（响应文件中提供证书复印件并加盖供应商公章）</w:t>
            </w:r>
          </w:p>
          <w:p w14:paraId="2C510D21">
            <w:pPr>
              <w:spacing w:line="400" w:lineRule="exact"/>
              <w:rPr>
                <w:rFonts w:ascii="宋体" w:hAnsi="宋体" w:cs="宋体"/>
                <w:szCs w:val="21"/>
              </w:rPr>
            </w:pPr>
            <w:r>
              <w:rPr>
                <w:rFonts w:hint="eastAsia" w:ascii="宋体" w:hAnsi="宋体" w:cs="宋体"/>
                <w:szCs w:val="21"/>
              </w:rPr>
              <w:t>④持有高级系统分析师证书且具备高级信息系统项目管理师证书的，每人得2分，满分2分；（响应文件中提供证书复印件并加盖供应商公章）</w:t>
            </w:r>
          </w:p>
          <w:p w14:paraId="05AF9739">
            <w:pPr>
              <w:spacing w:line="400" w:lineRule="exact"/>
              <w:rPr>
                <w:rFonts w:ascii="宋体" w:hAnsi="宋体" w:cs="宋体"/>
                <w:szCs w:val="21"/>
              </w:rPr>
            </w:pPr>
            <w:r>
              <w:rPr>
                <w:rFonts w:hint="eastAsia" w:ascii="宋体" w:hAnsi="宋体" w:cs="宋体"/>
                <w:szCs w:val="21"/>
              </w:rPr>
              <w:t>⑤持有中华人民共和国咨询工程师（投资）证书（专业：电子、信息工程（含通信、广电、信息化））且具备</w:t>
            </w:r>
            <w:r>
              <w:rPr>
                <w:rFonts w:hint="eastAsia" w:ascii="宋体" w:hAnsi="宋体" w:cs="宋体"/>
                <w:spacing w:val="2"/>
                <w:szCs w:val="21"/>
              </w:rPr>
              <w:t>教授级高级工程师证书</w:t>
            </w:r>
            <w:r>
              <w:rPr>
                <w:rFonts w:hint="eastAsia" w:ascii="宋体" w:hAnsi="宋体" w:cs="宋体"/>
                <w:szCs w:val="21"/>
              </w:rPr>
              <w:t>的，每人得2分，满分2分。（响应文件中提供证书复印件并加盖供应商公章）</w:t>
            </w:r>
          </w:p>
          <w:p w14:paraId="1675DB1B">
            <w:pPr>
              <w:spacing w:line="400" w:lineRule="exact"/>
              <w:rPr>
                <w:rFonts w:ascii="宋体" w:hAnsi="宋体" w:cs="宋体"/>
                <w:szCs w:val="21"/>
              </w:rPr>
            </w:pPr>
            <w:r>
              <w:rPr>
                <w:rFonts w:hint="eastAsia" w:ascii="宋体" w:hAnsi="宋体" w:cs="宋体"/>
                <w:szCs w:val="21"/>
              </w:rPr>
              <w:t>⑥持有信息技术应用创新考试评价证书（中级或以上）且具备工程师或以上职称证书的，每人得2分，满分2分。（响应文件中提供证书复印件并加盖供应商公章）</w:t>
            </w:r>
          </w:p>
          <w:p w14:paraId="7D0C0009">
            <w:pPr>
              <w:spacing w:line="400" w:lineRule="exact"/>
              <w:rPr>
                <w:rFonts w:ascii="宋体" w:hAnsi="宋体" w:cs="宋体"/>
                <w:szCs w:val="21"/>
              </w:rPr>
            </w:pPr>
            <w:r>
              <w:rPr>
                <w:rFonts w:hint="eastAsia" w:ascii="宋体" w:hAnsi="宋体" w:cs="宋体"/>
                <w:szCs w:val="21"/>
              </w:rPr>
              <w:t>⑦持有计算机技术与软件专业技术资格（水平）考试高级证书的，每人得1分，满分2分；（响应文件中提供证书复印件并加盖供应商公章）</w:t>
            </w:r>
          </w:p>
          <w:p w14:paraId="7EA6D418">
            <w:pPr>
              <w:spacing w:line="400" w:lineRule="exact"/>
              <w:rPr>
                <w:rFonts w:ascii="宋体" w:hAnsi="宋体" w:cs="宋体"/>
                <w:szCs w:val="21"/>
              </w:rPr>
            </w:pPr>
            <w:r>
              <w:rPr>
                <w:rFonts w:hint="eastAsia" w:ascii="宋体" w:hAnsi="宋体" w:cs="宋体"/>
                <w:szCs w:val="21"/>
              </w:rPr>
              <w:t>注：1.拟投入本项目的项目经理、技术负责人、概预算编制负责人均不能为同一人；</w:t>
            </w:r>
          </w:p>
          <w:p w14:paraId="5F16277B">
            <w:pPr>
              <w:spacing w:line="400" w:lineRule="exact"/>
              <w:rPr>
                <w:rFonts w:ascii="宋体" w:hAnsi="宋体" w:cs="宋体"/>
                <w:kern w:val="0"/>
                <w:szCs w:val="21"/>
                <w:lang w:bidi="ar"/>
              </w:rPr>
            </w:pPr>
            <w:r>
              <w:rPr>
                <w:rFonts w:hint="eastAsia" w:ascii="宋体" w:hAnsi="宋体" w:cs="宋体"/>
                <w:szCs w:val="21"/>
              </w:rPr>
              <w:t>2.以上人员必须列入《项目实施人员一览表》并提供供应商自响应文件递交截止时间前半年内任意1个月为其缴纳的社会保险参保缴费证明文件复印件并加盖单位公章，否则不予计分。</w:t>
            </w:r>
          </w:p>
        </w:tc>
        <w:tc>
          <w:tcPr>
            <w:tcW w:w="1007" w:type="dxa"/>
            <w:vAlign w:val="center"/>
          </w:tcPr>
          <w:p w14:paraId="0E376367">
            <w:pPr>
              <w:spacing w:line="400" w:lineRule="exact"/>
              <w:jc w:val="center"/>
              <w:rPr>
                <w:rFonts w:ascii="宋体" w:hAnsi="宋体"/>
                <w:kern w:val="0"/>
                <w:szCs w:val="21"/>
              </w:rPr>
            </w:pPr>
            <w:r>
              <w:rPr>
                <w:rFonts w:hint="eastAsia" w:ascii="宋体" w:hAnsi="宋体"/>
                <w:kern w:val="0"/>
                <w:szCs w:val="21"/>
              </w:rPr>
              <w:t>34分</w:t>
            </w:r>
          </w:p>
        </w:tc>
      </w:tr>
      <w:tr w14:paraId="74A2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01" w:type="dxa"/>
            <w:vAlign w:val="center"/>
          </w:tcPr>
          <w:p w14:paraId="161FD539">
            <w:pPr>
              <w:spacing w:line="400" w:lineRule="exact"/>
              <w:jc w:val="center"/>
              <w:rPr>
                <w:rFonts w:ascii="宋体" w:hAnsi="宋体"/>
                <w:b/>
                <w:kern w:val="0"/>
                <w:szCs w:val="21"/>
              </w:rPr>
            </w:pPr>
            <w:r>
              <w:rPr>
                <w:rFonts w:hint="eastAsia" w:ascii="宋体" w:hAnsi="宋体"/>
                <w:b/>
                <w:kern w:val="0"/>
                <w:szCs w:val="21"/>
              </w:rPr>
              <w:t>3</w:t>
            </w:r>
          </w:p>
        </w:tc>
        <w:tc>
          <w:tcPr>
            <w:tcW w:w="959" w:type="dxa"/>
            <w:vAlign w:val="center"/>
          </w:tcPr>
          <w:p w14:paraId="739B3825">
            <w:pPr>
              <w:spacing w:line="400" w:lineRule="exact"/>
              <w:jc w:val="center"/>
              <w:rPr>
                <w:rFonts w:ascii="宋体" w:hAnsi="宋体"/>
                <w:b/>
                <w:szCs w:val="21"/>
              </w:rPr>
            </w:pPr>
            <w:r>
              <w:rPr>
                <w:rFonts w:hint="eastAsia" w:ascii="宋体" w:hAnsi="宋体"/>
                <w:b/>
                <w:szCs w:val="21"/>
              </w:rPr>
              <w:t>商务分</w:t>
            </w:r>
          </w:p>
        </w:tc>
        <w:tc>
          <w:tcPr>
            <w:tcW w:w="6976" w:type="dxa"/>
            <w:vAlign w:val="center"/>
          </w:tcPr>
          <w:p w14:paraId="6A6260C7">
            <w:pPr>
              <w:spacing w:line="400" w:lineRule="exact"/>
              <w:jc w:val="center"/>
              <w:rPr>
                <w:rFonts w:ascii="宋体" w:hAnsi="宋体"/>
                <w:b/>
                <w:szCs w:val="21"/>
              </w:rPr>
            </w:pPr>
            <w:r>
              <w:rPr>
                <w:rFonts w:hint="eastAsia" w:ascii="宋体" w:hAnsi="宋体"/>
                <w:b/>
                <w:kern w:val="0"/>
                <w:szCs w:val="21"/>
              </w:rPr>
              <w:t>评审因素</w:t>
            </w:r>
          </w:p>
        </w:tc>
        <w:tc>
          <w:tcPr>
            <w:tcW w:w="1007" w:type="dxa"/>
            <w:vAlign w:val="center"/>
          </w:tcPr>
          <w:p w14:paraId="4123BFCD">
            <w:pPr>
              <w:spacing w:line="400" w:lineRule="exact"/>
              <w:jc w:val="center"/>
              <w:rPr>
                <w:rFonts w:ascii="宋体" w:hAnsi="宋体"/>
                <w:b/>
                <w:kern w:val="0"/>
                <w:szCs w:val="21"/>
              </w:rPr>
            </w:pPr>
            <w:r>
              <w:rPr>
                <w:rFonts w:hint="eastAsia" w:ascii="宋体" w:hAnsi="宋体"/>
                <w:b/>
                <w:kern w:val="0"/>
                <w:szCs w:val="21"/>
              </w:rPr>
              <w:t>16分</w:t>
            </w:r>
          </w:p>
        </w:tc>
      </w:tr>
      <w:tr w14:paraId="4649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801" w:type="dxa"/>
            <w:vAlign w:val="center"/>
          </w:tcPr>
          <w:p w14:paraId="602C0227">
            <w:pPr>
              <w:spacing w:line="400" w:lineRule="exact"/>
              <w:jc w:val="center"/>
              <w:rPr>
                <w:rFonts w:ascii="宋体" w:hAnsi="宋体"/>
                <w:kern w:val="0"/>
                <w:szCs w:val="21"/>
              </w:rPr>
            </w:pPr>
            <w:r>
              <w:rPr>
                <w:rFonts w:hint="eastAsia" w:ascii="宋体" w:hAnsi="宋体"/>
                <w:kern w:val="0"/>
                <w:szCs w:val="21"/>
              </w:rPr>
              <w:t>3.1</w:t>
            </w:r>
          </w:p>
        </w:tc>
        <w:tc>
          <w:tcPr>
            <w:tcW w:w="959" w:type="dxa"/>
            <w:vAlign w:val="center"/>
          </w:tcPr>
          <w:p w14:paraId="1C31CA80">
            <w:pPr>
              <w:spacing w:line="400" w:lineRule="exact"/>
              <w:jc w:val="center"/>
              <w:rPr>
                <w:rFonts w:ascii="宋体" w:hAnsi="宋体"/>
                <w:szCs w:val="21"/>
              </w:rPr>
            </w:pPr>
            <w:r>
              <w:rPr>
                <w:rFonts w:hint="eastAsia" w:ascii="宋体" w:hAnsi="宋体"/>
                <w:szCs w:val="21"/>
              </w:rPr>
              <w:t>信誉分</w:t>
            </w:r>
          </w:p>
        </w:tc>
        <w:tc>
          <w:tcPr>
            <w:tcW w:w="6976" w:type="dxa"/>
            <w:vAlign w:val="center"/>
          </w:tcPr>
          <w:p w14:paraId="7AE43914">
            <w:pPr>
              <w:widowControl/>
              <w:tabs>
                <w:tab w:val="left" w:pos="312"/>
              </w:tabs>
              <w:spacing w:line="400" w:lineRule="exact"/>
              <w:jc w:val="left"/>
              <w:rPr>
                <w:szCs w:val="21"/>
              </w:rPr>
            </w:pPr>
            <w:r>
              <w:rPr>
                <w:rFonts w:hint="eastAsia" w:ascii="宋体" w:hAnsi="宋体" w:cs="宋体"/>
                <w:szCs w:val="21"/>
              </w:rPr>
              <w:t>（1）供应商具备有效的质量管理体系认证证书、环境管理体系认证证书、职业健康安全管理体系认证证书、信息安全管理体系认证证书、信息技术服务管理体系认证证书，且认证范围包含“咨询或设计”的每个证书得1分，满分5分。</w:t>
            </w:r>
          </w:p>
          <w:p w14:paraId="745E5342">
            <w:pPr>
              <w:widowControl/>
              <w:tabs>
                <w:tab w:val="left" w:pos="312"/>
              </w:tabs>
              <w:spacing w:line="400" w:lineRule="exact"/>
              <w:jc w:val="left"/>
              <w:rPr>
                <w:szCs w:val="21"/>
              </w:rPr>
            </w:pPr>
            <w:r>
              <w:rPr>
                <w:rFonts w:hint="eastAsia" w:ascii="宋体" w:hAnsi="宋体" w:cs="宋体"/>
                <w:szCs w:val="21"/>
              </w:rPr>
              <w:t>（2）供应商具备有效的工程单位甲级资信评价证书的，得3分；</w:t>
            </w:r>
          </w:p>
          <w:p w14:paraId="7796708F">
            <w:pPr>
              <w:pStyle w:val="2"/>
              <w:spacing w:after="0" w:line="400" w:lineRule="exact"/>
              <w:ind w:left="0" w:leftChars="0"/>
              <w:rPr>
                <w:szCs w:val="21"/>
              </w:rPr>
            </w:pPr>
            <w:r>
              <w:rPr>
                <w:rFonts w:hint="eastAsia" w:ascii="宋体" w:hAnsi="宋体" w:cs="宋体"/>
                <w:szCs w:val="21"/>
              </w:rPr>
              <w:t>（3）供应商具备有效的信息安全服务资质认证证书（CCRC）的得3分。</w:t>
            </w:r>
          </w:p>
        </w:tc>
        <w:tc>
          <w:tcPr>
            <w:tcW w:w="1007" w:type="dxa"/>
            <w:vAlign w:val="center"/>
          </w:tcPr>
          <w:p w14:paraId="7D61E895">
            <w:pPr>
              <w:spacing w:line="400" w:lineRule="exact"/>
              <w:jc w:val="center"/>
              <w:rPr>
                <w:rFonts w:ascii="宋体" w:hAnsi="宋体"/>
                <w:kern w:val="0"/>
                <w:szCs w:val="21"/>
              </w:rPr>
            </w:pPr>
            <w:r>
              <w:rPr>
                <w:rFonts w:hint="eastAsia" w:ascii="宋体" w:hAnsi="宋体"/>
                <w:kern w:val="0"/>
                <w:szCs w:val="21"/>
              </w:rPr>
              <w:t>11</w:t>
            </w:r>
          </w:p>
        </w:tc>
      </w:tr>
      <w:tr w14:paraId="0234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01" w:type="dxa"/>
            <w:vAlign w:val="center"/>
          </w:tcPr>
          <w:p w14:paraId="49585EB0">
            <w:pPr>
              <w:spacing w:line="400" w:lineRule="exact"/>
              <w:jc w:val="center"/>
              <w:rPr>
                <w:rFonts w:ascii="宋体" w:hAnsi="宋体"/>
                <w:kern w:val="0"/>
                <w:szCs w:val="21"/>
              </w:rPr>
            </w:pPr>
            <w:r>
              <w:rPr>
                <w:rFonts w:hint="eastAsia" w:ascii="宋体" w:hAnsi="宋体"/>
                <w:kern w:val="0"/>
                <w:szCs w:val="21"/>
              </w:rPr>
              <w:t>3.2</w:t>
            </w:r>
          </w:p>
        </w:tc>
        <w:tc>
          <w:tcPr>
            <w:tcW w:w="959" w:type="dxa"/>
            <w:vAlign w:val="center"/>
          </w:tcPr>
          <w:p w14:paraId="12C5AFCC">
            <w:pPr>
              <w:spacing w:line="400" w:lineRule="exact"/>
              <w:jc w:val="center"/>
              <w:rPr>
                <w:rFonts w:ascii="宋体" w:hAnsi="宋体"/>
                <w:szCs w:val="21"/>
              </w:rPr>
            </w:pPr>
            <w:r>
              <w:rPr>
                <w:rFonts w:hint="eastAsia" w:ascii="宋体" w:hAnsi="宋体"/>
                <w:szCs w:val="21"/>
              </w:rPr>
              <w:t>业绩分</w:t>
            </w:r>
          </w:p>
        </w:tc>
        <w:tc>
          <w:tcPr>
            <w:tcW w:w="6976" w:type="dxa"/>
            <w:vAlign w:val="center"/>
          </w:tcPr>
          <w:p w14:paraId="060FD029">
            <w:pPr>
              <w:widowControl/>
              <w:spacing w:line="400" w:lineRule="exact"/>
              <w:jc w:val="left"/>
              <w:rPr>
                <w:rFonts w:ascii="宋体" w:hAnsi="宋体" w:cs="宋体"/>
                <w:kern w:val="0"/>
                <w:szCs w:val="21"/>
                <w:lang w:bidi="ar"/>
              </w:rPr>
            </w:pPr>
            <w:r>
              <w:rPr>
                <w:rFonts w:hint="eastAsia" w:ascii="宋体" w:hAnsi="宋体" w:cs="宋体"/>
                <w:kern w:val="0"/>
                <w:szCs w:val="21"/>
                <w:lang w:bidi="ar"/>
              </w:rPr>
              <w:t>供应商自2022年1月1日以来</w:t>
            </w:r>
            <w:r>
              <w:rPr>
                <w:rFonts w:ascii="Segoe UI" w:hAnsi="Segoe UI" w:eastAsia="Segoe UI" w:cs="Segoe UI"/>
                <w:szCs w:val="21"/>
                <w:shd w:val="clear" w:color="auto" w:fill="FFFFFF"/>
              </w:rPr>
              <w:t>具有同类</w:t>
            </w:r>
            <w:r>
              <w:rPr>
                <w:rFonts w:hint="eastAsia" w:ascii="Segoe UI" w:hAnsi="Segoe UI" w:cs="Segoe UI"/>
                <w:szCs w:val="21"/>
                <w:shd w:val="clear" w:color="auto" w:fill="FFFFFF"/>
              </w:rPr>
              <w:t>设计咨询</w:t>
            </w:r>
            <w:r>
              <w:rPr>
                <w:rFonts w:ascii="Segoe UI" w:hAnsi="Segoe UI" w:eastAsia="Segoe UI" w:cs="Segoe UI"/>
                <w:szCs w:val="21"/>
                <w:shd w:val="clear" w:color="auto" w:fill="FFFFFF"/>
              </w:rPr>
              <w:t>业绩的</w:t>
            </w:r>
            <w:r>
              <w:rPr>
                <w:rFonts w:hint="eastAsia" w:ascii="宋体" w:hAnsi="宋体" w:cs="宋体"/>
                <w:kern w:val="0"/>
                <w:szCs w:val="21"/>
                <w:lang w:bidi="ar"/>
              </w:rPr>
              <w:t>，每个1分，满分5分。（提供中标通知书或合同复印件或扫描件并加盖公章）。</w:t>
            </w:r>
          </w:p>
        </w:tc>
        <w:tc>
          <w:tcPr>
            <w:tcW w:w="1007" w:type="dxa"/>
            <w:vAlign w:val="center"/>
          </w:tcPr>
          <w:p w14:paraId="37DEB26D">
            <w:pPr>
              <w:spacing w:line="400" w:lineRule="exact"/>
              <w:jc w:val="center"/>
              <w:rPr>
                <w:rFonts w:ascii="宋体" w:hAnsi="宋体"/>
                <w:kern w:val="0"/>
                <w:szCs w:val="21"/>
              </w:rPr>
            </w:pPr>
            <w:r>
              <w:rPr>
                <w:rFonts w:hint="eastAsia" w:ascii="宋体" w:hAnsi="宋体"/>
                <w:kern w:val="0"/>
                <w:szCs w:val="21"/>
              </w:rPr>
              <w:t>5</w:t>
            </w:r>
          </w:p>
        </w:tc>
      </w:tr>
      <w:tr w14:paraId="0AB9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736" w:type="dxa"/>
            <w:gridSpan w:val="3"/>
          </w:tcPr>
          <w:p w14:paraId="60A27B63">
            <w:pPr>
              <w:spacing w:line="400" w:lineRule="exact"/>
              <w:jc w:val="left"/>
              <w:rPr>
                <w:rFonts w:ascii="宋体" w:hAnsi="宋体"/>
                <w:b/>
                <w:szCs w:val="21"/>
              </w:rPr>
            </w:pPr>
            <w:r>
              <w:rPr>
                <w:rFonts w:hint="eastAsia" w:ascii="宋体" w:hAnsi="宋体"/>
                <w:b/>
                <w:szCs w:val="21"/>
              </w:rPr>
              <w:t>总得分＝</w:t>
            </w:r>
            <w:r>
              <w:rPr>
                <w:rFonts w:hint="eastAsia" w:ascii="宋体" w:hAnsi="宋体" w:cs="宋体"/>
                <w:b/>
                <w:bCs/>
                <w:szCs w:val="21"/>
              </w:rPr>
              <w:t>1项+2项+3项</w:t>
            </w:r>
          </w:p>
        </w:tc>
        <w:tc>
          <w:tcPr>
            <w:tcW w:w="1007" w:type="dxa"/>
            <w:vAlign w:val="center"/>
          </w:tcPr>
          <w:p w14:paraId="3759DCD1">
            <w:pPr>
              <w:spacing w:line="400" w:lineRule="exact"/>
              <w:jc w:val="center"/>
              <w:rPr>
                <w:rFonts w:ascii="宋体" w:hAnsi="宋体"/>
                <w:b/>
                <w:kern w:val="0"/>
                <w:szCs w:val="21"/>
              </w:rPr>
            </w:pPr>
            <w:r>
              <w:rPr>
                <w:rFonts w:hint="eastAsia" w:ascii="宋体" w:hAnsi="宋体"/>
                <w:b/>
                <w:kern w:val="0"/>
                <w:szCs w:val="21"/>
              </w:rPr>
              <w:t>100分</w:t>
            </w:r>
          </w:p>
        </w:tc>
      </w:tr>
    </w:tbl>
    <w:p w14:paraId="6CAAF9F8">
      <w:pPr>
        <w:snapToGrid w:val="0"/>
        <w:spacing w:line="380" w:lineRule="exact"/>
        <w:ind w:firstLine="420" w:firstLineChars="200"/>
        <w:rPr>
          <w:rFonts w:hAnsi="宋体"/>
        </w:rPr>
      </w:pPr>
      <w:r>
        <w:rPr>
          <w:rFonts w:hint="eastAsia" w:hAnsi="宋体"/>
        </w:rPr>
        <w:t>A分标中标标准：评标委员会将根据得分由高到低排列次序（得分相同时，以遴选报价折扣率由低到高顺序排列；得分相同且报价相同的，按技术指标优劣顺序排列）并推荐中标候选人，最多推荐5家中标候选人。</w:t>
      </w:r>
    </w:p>
    <w:p w14:paraId="1E153E04">
      <w:pPr>
        <w:snapToGrid w:val="0"/>
        <w:spacing w:line="380" w:lineRule="exact"/>
        <w:rPr>
          <w:rFonts w:hAnsi="宋体"/>
        </w:rPr>
      </w:pPr>
    </w:p>
    <w:p w14:paraId="61319637">
      <w:pPr>
        <w:snapToGrid w:val="0"/>
        <w:spacing w:line="380" w:lineRule="exact"/>
        <w:outlineLvl w:val="0"/>
        <w:rPr>
          <w:rFonts w:hAnsi="宋体"/>
          <w:b/>
          <w:bCs/>
        </w:rPr>
      </w:pPr>
      <w:r>
        <w:rPr>
          <w:rFonts w:hint="eastAsia" w:hAnsi="宋体"/>
          <w:b/>
          <w:bCs/>
        </w:rPr>
        <w:t>B分标</w:t>
      </w:r>
    </w:p>
    <w:tbl>
      <w:tblPr>
        <w:tblStyle w:val="10"/>
        <w:tblW w:w="9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959"/>
        <w:gridCol w:w="6976"/>
        <w:gridCol w:w="1007"/>
      </w:tblGrid>
      <w:tr w14:paraId="777C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blHeader/>
          <w:jc w:val="center"/>
        </w:trPr>
        <w:tc>
          <w:tcPr>
            <w:tcW w:w="801" w:type="dxa"/>
            <w:vAlign w:val="center"/>
          </w:tcPr>
          <w:p w14:paraId="091BF524">
            <w:pPr>
              <w:spacing w:line="400" w:lineRule="exact"/>
              <w:jc w:val="center"/>
              <w:rPr>
                <w:rFonts w:ascii="宋体" w:hAnsi="宋体"/>
                <w:b/>
                <w:kern w:val="0"/>
                <w:szCs w:val="21"/>
              </w:rPr>
            </w:pPr>
            <w:r>
              <w:rPr>
                <w:rFonts w:ascii="宋体" w:hAnsi="宋体"/>
                <w:szCs w:val="21"/>
              </w:rPr>
              <w:br w:type="page"/>
            </w:r>
            <w:r>
              <w:rPr>
                <w:rFonts w:hint="eastAsia" w:ascii="宋体" w:hAnsi="宋体"/>
                <w:b/>
                <w:kern w:val="0"/>
                <w:szCs w:val="21"/>
              </w:rPr>
              <w:t>序号</w:t>
            </w:r>
          </w:p>
        </w:tc>
        <w:tc>
          <w:tcPr>
            <w:tcW w:w="959" w:type="dxa"/>
            <w:vAlign w:val="center"/>
          </w:tcPr>
          <w:p w14:paraId="330E1D05">
            <w:pPr>
              <w:spacing w:line="400" w:lineRule="exact"/>
              <w:jc w:val="center"/>
              <w:rPr>
                <w:rFonts w:ascii="宋体" w:hAnsi="宋体"/>
                <w:b/>
                <w:kern w:val="0"/>
                <w:szCs w:val="21"/>
              </w:rPr>
            </w:pPr>
            <w:r>
              <w:rPr>
                <w:rFonts w:hint="eastAsia" w:ascii="宋体" w:hAnsi="宋体"/>
                <w:b/>
                <w:kern w:val="0"/>
                <w:szCs w:val="21"/>
              </w:rPr>
              <w:t>评审因素</w:t>
            </w:r>
          </w:p>
        </w:tc>
        <w:tc>
          <w:tcPr>
            <w:tcW w:w="6976" w:type="dxa"/>
            <w:vAlign w:val="center"/>
          </w:tcPr>
          <w:p w14:paraId="4C7EE11E">
            <w:pPr>
              <w:spacing w:line="400" w:lineRule="exact"/>
              <w:jc w:val="center"/>
              <w:rPr>
                <w:rFonts w:ascii="宋体" w:hAnsi="宋体"/>
                <w:b/>
                <w:kern w:val="0"/>
                <w:szCs w:val="21"/>
              </w:rPr>
            </w:pPr>
            <w:r>
              <w:rPr>
                <w:rFonts w:hint="eastAsia" w:ascii="宋体" w:hAnsi="宋体"/>
                <w:b/>
                <w:kern w:val="0"/>
                <w:szCs w:val="21"/>
              </w:rPr>
              <w:t>评审因素具体内容</w:t>
            </w:r>
          </w:p>
        </w:tc>
        <w:tc>
          <w:tcPr>
            <w:tcW w:w="1007" w:type="dxa"/>
            <w:vAlign w:val="center"/>
          </w:tcPr>
          <w:p w14:paraId="03755CDD">
            <w:pPr>
              <w:spacing w:line="400" w:lineRule="exact"/>
              <w:jc w:val="center"/>
              <w:rPr>
                <w:rFonts w:ascii="宋体" w:hAnsi="宋体"/>
                <w:b/>
                <w:kern w:val="0"/>
                <w:szCs w:val="21"/>
              </w:rPr>
            </w:pPr>
            <w:r>
              <w:rPr>
                <w:rFonts w:hint="eastAsia" w:ascii="宋体" w:hAnsi="宋体"/>
                <w:b/>
                <w:kern w:val="0"/>
                <w:szCs w:val="21"/>
              </w:rPr>
              <w:t>满分</w:t>
            </w:r>
          </w:p>
        </w:tc>
      </w:tr>
      <w:tr w14:paraId="6471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01" w:type="dxa"/>
            <w:vAlign w:val="center"/>
          </w:tcPr>
          <w:p w14:paraId="7800A3FB">
            <w:pPr>
              <w:spacing w:line="400" w:lineRule="exact"/>
              <w:jc w:val="center"/>
              <w:rPr>
                <w:rFonts w:ascii="宋体" w:hAnsi="宋体"/>
                <w:b/>
                <w:kern w:val="0"/>
                <w:szCs w:val="21"/>
              </w:rPr>
            </w:pPr>
            <w:r>
              <w:rPr>
                <w:rFonts w:hint="eastAsia" w:ascii="宋体" w:hAnsi="宋体"/>
                <w:b/>
                <w:kern w:val="0"/>
                <w:szCs w:val="21"/>
              </w:rPr>
              <w:t>1</w:t>
            </w:r>
          </w:p>
        </w:tc>
        <w:tc>
          <w:tcPr>
            <w:tcW w:w="959" w:type="dxa"/>
            <w:vAlign w:val="center"/>
          </w:tcPr>
          <w:p w14:paraId="30F329EC">
            <w:pPr>
              <w:spacing w:line="400" w:lineRule="exact"/>
              <w:jc w:val="center"/>
              <w:rPr>
                <w:rFonts w:ascii="宋体" w:hAnsi="宋体"/>
                <w:b/>
                <w:kern w:val="0"/>
                <w:szCs w:val="21"/>
              </w:rPr>
            </w:pPr>
            <w:r>
              <w:rPr>
                <w:rFonts w:hint="eastAsia" w:ascii="宋体" w:hAnsi="宋体"/>
                <w:b/>
                <w:kern w:val="0"/>
                <w:szCs w:val="21"/>
              </w:rPr>
              <w:t>价格分</w:t>
            </w:r>
          </w:p>
        </w:tc>
        <w:tc>
          <w:tcPr>
            <w:tcW w:w="6976" w:type="dxa"/>
            <w:vAlign w:val="center"/>
          </w:tcPr>
          <w:p w14:paraId="7E68406D">
            <w:pPr>
              <w:spacing w:line="400" w:lineRule="exact"/>
              <w:rPr>
                <w:rFonts w:ascii="宋体" w:hAnsi="宋体"/>
                <w:szCs w:val="21"/>
              </w:rPr>
            </w:pPr>
            <w:r>
              <w:rPr>
                <w:rFonts w:hint="eastAsia" w:ascii="宋体" w:hAnsi="宋体"/>
                <w:szCs w:val="21"/>
              </w:rPr>
              <w:t>（1）采用折扣率报价，标段内各项具体服务内容，统一采用一个折扣率。</w:t>
            </w:r>
          </w:p>
          <w:p w14:paraId="6F3D61ED">
            <w:pPr>
              <w:spacing w:line="400" w:lineRule="exact"/>
            </w:pPr>
            <w:r>
              <w:rPr>
                <w:rFonts w:hint="eastAsia"/>
              </w:rPr>
              <w:t>（2）为保证服务质量，规避不合理的异常低价，设定折扣率区间值为85</w:t>
            </w:r>
            <w:r>
              <w:rPr>
                <w:rFonts w:hint="eastAsia"/>
                <w:b/>
                <w:bCs/>
              </w:rPr>
              <w:t>%-100%</w:t>
            </w:r>
            <w:r>
              <w:rPr>
                <w:rFonts w:hint="eastAsia"/>
              </w:rPr>
              <w:t>（含），供应商需在区间值内报价。</w:t>
            </w:r>
          </w:p>
          <w:p w14:paraId="050F7FED">
            <w:pPr>
              <w:spacing w:line="400" w:lineRule="exact"/>
              <w:rPr>
                <w:rFonts w:ascii="宋体" w:hAnsi="宋体"/>
                <w:szCs w:val="21"/>
              </w:rPr>
            </w:pPr>
            <w:r>
              <w:rPr>
                <w:rFonts w:hint="eastAsia" w:ascii="宋体" w:hAnsi="宋体"/>
                <w:szCs w:val="21"/>
              </w:rPr>
              <w:t>（3）以进入比较与评价环节的最低的评审报价为基准价，基准价得分为10分。</w:t>
            </w:r>
          </w:p>
          <w:p w14:paraId="020F6670">
            <w:pPr>
              <w:spacing w:line="400" w:lineRule="exact"/>
              <w:rPr>
                <w:rFonts w:ascii="宋体" w:hAnsi="宋体"/>
                <w:b/>
                <w:kern w:val="0"/>
                <w:szCs w:val="21"/>
              </w:rPr>
            </w:pPr>
            <w:r>
              <w:rPr>
                <w:rFonts w:hint="eastAsia" w:ascii="宋体" w:hAnsi="宋体"/>
                <w:szCs w:val="21"/>
              </w:rPr>
              <w:t>（4）价格分计算公式：报价得分=（基准价/最后报价）× 10分。</w:t>
            </w:r>
          </w:p>
        </w:tc>
        <w:tc>
          <w:tcPr>
            <w:tcW w:w="1007" w:type="dxa"/>
            <w:vAlign w:val="center"/>
          </w:tcPr>
          <w:p w14:paraId="13547E3B">
            <w:pPr>
              <w:spacing w:line="400" w:lineRule="exact"/>
              <w:jc w:val="center"/>
              <w:rPr>
                <w:rFonts w:ascii="宋体" w:hAnsi="宋体"/>
                <w:b/>
                <w:kern w:val="0"/>
                <w:szCs w:val="21"/>
              </w:rPr>
            </w:pPr>
            <w:r>
              <w:rPr>
                <w:rFonts w:hint="eastAsia" w:ascii="宋体" w:hAnsi="宋体"/>
                <w:b/>
                <w:kern w:val="0"/>
                <w:szCs w:val="21"/>
              </w:rPr>
              <w:t>10分</w:t>
            </w:r>
          </w:p>
        </w:tc>
      </w:tr>
      <w:tr w14:paraId="646E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jc w:val="center"/>
        </w:trPr>
        <w:tc>
          <w:tcPr>
            <w:tcW w:w="801" w:type="dxa"/>
            <w:vAlign w:val="center"/>
          </w:tcPr>
          <w:p w14:paraId="77877F96">
            <w:pPr>
              <w:spacing w:line="400" w:lineRule="exact"/>
              <w:jc w:val="center"/>
              <w:rPr>
                <w:rFonts w:ascii="宋体" w:hAnsi="宋体" w:cs="Tahoma"/>
                <w:b/>
                <w:kern w:val="0"/>
                <w:szCs w:val="21"/>
              </w:rPr>
            </w:pPr>
            <w:r>
              <w:rPr>
                <w:rFonts w:hint="eastAsia" w:ascii="宋体" w:hAnsi="宋体"/>
                <w:b/>
                <w:kern w:val="0"/>
                <w:szCs w:val="21"/>
              </w:rPr>
              <w:t>2</w:t>
            </w:r>
          </w:p>
        </w:tc>
        <w:tc>
          <w:tcPr>
            <w:tcW w:w="959" w:type="dxa"/>
            <w:vAlign w:val="center"/>
          </w:tcPr>
          <w:p w14:paraId="77B376DB">
            <w:pPr>
              <w:spacing w:line="400" w:lineRule="exact"/>
              <w:jc w:val="center"/>
              <w:rPr>
                <w:rFonts w:ascii="宋体" w:hAnsi="宋体" w:cs="Tahoma"/>
                <w:b/>
                <w:kern w:val="0"/>
                <w:szCs w:val="21"/>
              </w:rPr>
            </w:pPr>
            <w:r>
              <w:rPr>
                <w:rFonts w:hint="eastAsia" w:ascii="宋体" w:hAnsi="宋体"/>
                <w:b/>
                <w:kern w:val="0"/>
                <w:szCs w:val="21"/>
              </w:rPr>
              <w:t>技术分</w:t>
            </w:r>
          </w:p>
        </w:tc>
        <w:tc>
          <w:tcPr>
            <w:tcW w:w="6976" w:type="dxa"/>
            <w:vAlign w:val="center"/>
          </w:tcPr>
          <w:p w14:paraId="1E16467F">
            <w:pPr>
              <w:spacing w:line="400" w:lineRule="exact"/>
              <w:jc w:val="center"/>
              <w:rPr>
                <w:rFonts w:ascii="宋体" w:hAnsi="宋体"/>
                <w:b/>
                <w:kern w:val="0"/>
                <w:szCs w:val="21"/>
              </w:rPr>
            </w:pPr>
            <w:r>
              <w:rPr>
                <w:rFonts w:hint="eastAsia" w:ascii="宋体" w:hAnsi="宋体"/>
                <w:b/>
                <w:kern w:val="0"/>
                <w:szCs w:val="21"/>
              </w:rPr>
              <w:t>评审因素</w:t>
            </w:r>
          </w:p>
        </w:tc>
        <w:tc>
          <w:tcPr>
            <w:tcW w:w="1007" w:type="dxa"/>
            <w:vAlign w:val="center"/>
          </w:tcPr>
          <w:p w14:paraId="5676DBC0">
            <w:pPr>
              <w:spacing w:line="400" w:lineRule="exact"/>
              <w:jc w:val="center"/>
              <w:rPr>
                <w:rFonts w:ascii="宋体" w:hAnsi="宋体"/>
                <w:b/>
                <w:kern w:val="0"/>
                <w:szCs w:val="21"/>
              </w:rPr>
            </w:pPr>
            <w:r>
              <w:rPr>
                <w:rFonts w:hint="eastAsia" w:ascii="宋体" w:hAnsi="宋体"/>
                <w:b/>
                <w:kern w:val="0"/>
                <w:szCs w:val="21"/>
              </w:rPr>
              <w:t>71分</w:t>
            </w:r>
          </w:p>
        </w:tc>
      </w:tr>
      <w:tr w14:paraId="04E3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6" w:hRule="atLeast"/>
          <w:jc w:val="center"/>
        </w:trPr>
        <w:tc>
          <w:tcPr>
            <w:tcW w:w="801" w:type="dxa"/>
            <w:vAlign w:val="center"/>
          </w:tcPr>
          <w:p w14:paraId="55E859F7">
            <w:pPr>
              <w:spacing w:line="400" w:lineRule="exact"/>
              <w:jc w:val="center"/>
              <w:rPr>
                <w:rFonts w:ascii="宋体" w:hAnsi="宋体"/>
                <w:kern w:val="0"/>
                <w:szCs w:val="21"/>
              </w:rPr>
            </w:pPr>
            <w:r>
              <w:rPr>
                <w:rFonts w:hint="eastAsia" w:ascii="宋体" w:hAnsi="宋体"/>
                <w:kern w:val="0"/>
                <w:szCs w:val="21"/>
              </w:rPr>
              <w:t>2.1</w:t>
            </w:r>
          </w:p>
        </w:tc>
        <w:tc>
          <w:tcPr>
            <w:tcW w:w="959" w:type="dxa"/>
            <w:vAlign w:val="center"/>
          </w:tcPr>
          <w:p w14:paraId="6F722C31">
            <w:pPr>
              <w:spacing w:line="400" w:lineRule="exact"/>
              <w:jc w:val="center"/>
              <w:rPr>
                <w:rFonts w:ascii="宋体" w:hAnsi="宋体"/>
                <w:kern w:val="0"/>
                <w:szCs w:val="21"/>
              </w:rPr>
            </w:pPr>
            <w:r>
              <w:rPr>
                <w:rFonts w:hint="eastAsia" w:ascii="宋体" w:hAnsi="宋体"/>
                <w:kern w:val="0"/>
                <w:szCs w:val="21"/>
              </w:rPr>
              <w:t>项目理解</w:t>
            </w:r>
          </w:p>
        </w:tc>
        <w:tc>
          <w:tcPr>
            <w:tcW w:w="6976" w:type="dxa"/>
          </w:tcPr>
          <w:p w14:paraId="4E720AF1">
            <w:pPr>
              <w:widowControl/>
              <w:spacing w:line="400" w:lineRule="exact"/>
              <w:jc w:val="left"/>
              <w:rPr>
                <w:rFonts w:ascii="宋体" w:hAnsi="宋体" w:cs="宋体"/>
                <w:kern w:val="0"/>
                <w:sz w:val="22"/>
                <w:szCs w:val="22"/>
                <w:lang w:bidi="ar"/>
              </w:rPr>
            </w:pPr>
            <w:r>
              <w:rPr>
                <w:rFonts w:hint="eastAsia" w:ascii="宋体" w:hAnsi="宋体" w:cs="宋体"/>
                <w:kern w:val="0"/>
                <w:sz w:val="22"/>
                <w:szCs w:val="22"/>
                <w:lang w:bidi="ar"/>
              </w:rPr>
              <w:t>不满足一档不得分。</w:t>
            </w:r>
          </w:p>
          <w:p w14:paraId="6196A78E">
            <w:pPr>
              <w:widowControl/>
              <w:spacing w:line="400" w:lineRule="exact"/>
              <w:jc w:val="left"/>
              <w:rPr>
                <w:rFonts w:ascii="宋体" w:hAnsi="宋体" w:cs="宋体"/>
                <w:szCs w:val="21"/>
              </w:rPr>
            </w:pPr>
            <w:r>
              <w:rPr>
                <w:rFonts w:hint="eastAsia" w:ascii="宋体" w:hAnsi="宋体" w:cs="宋体"/>
                <w:szCs w:val="21"/>
              </w:rPr>
              <w:t>一档（5分）：基本能够理解本项目的建设背景、目标、范围。</w:t>
            </w:r>
          </w:p>
          <w:p w14:paraId="174B5034">
            <w:pPr>
              <w:widowControl/>
              <w:spacing w:line="400" w:lineRule="exact"/>
              <w:jc w:val="left"/>
              <w:rPr>
                <w:rFonts w:ascii="宋体" w:hAnsi="宋体" w:cs="宋体"/>
                <w:szCs w:val="21"/>
              </w:rPr>
            </w:pPr>
            <w:r>
              <w:rPr>
                <w:rFonts w:hint="eastAsia" w:ascii="宋体" w:hAnsi="宋体" w:cs="宋体"/>
                <w:szCs w:val="21"/>
              </w:rPr>
              <w:t>二档（10分）：较准确理解本项目建设背景、目标、范围；较好地把握本项目的技术重点、难点和服务要点。</w:t>
            </w:r>
          </w:p>
          <w:p w14:paraId="015297F0">
            <w:pPr>
              <w:widowControl/>
              <w:spacing w:line="400" w:lineRule="exact"/>
              <w:jc w:val="left"/>
              <w:rPr>
                <w:rFonts w:ascii="宋体" w:hAnsi="宋体"/>
                <w:kern w:val="0"/>
                <w:szCs w:val="21"/>
              </w:rPr>
            </w:pPr>
            <w:r>
              <w:rPr>
                <w:rFonts w:hint="eastAsia" w:ascii="宋体" w:hAnsi="宋体" w:cs="宋体"/>
                <w:szCs w:val="21"/>
              </w:rPr>
              <w:t>三档（15分）：准确理解本项目建设背景、目标、范围；完全把握本项目的技术重点、难点和服务要点、对本项目重难点且提出的解决措施有效。</w:t>
            </w:r>
          </w:p>
        </w:tc>
        <w:tc>
          <w:tcPr>
            <w:tcW w:w="1007" w:type="dxa"/>
            <w:vAlign w:val="center"/>
          </w:tcPr>
          <w:p w14:paraId="01034E55">
            <w:pPr>
              <w:spacing w:line="400" w:lineRule="exact"/>
              <w:jc w:val="center"/>
              <w:rPr>
                <w:rFonts w:ascii="宋体" w:hAnsi="宋体"/>
                <w:kern w:val="0"/>
                <w:szCs w:val="21"/>
              </w:rPr>
            </w:pPr>
            <w:r>
              <w:rPr>
                <w:rFonts w:hint="eastAsia" w:ascii="宋体" w:hAnsi="宋体"/>
                <w:kern w:val="0"/>
                <w:szCs w:val="21"/>
              </w:rPr>
              <w:t>15分</w:t>
            </w:r>
          </w:p>
        </w:tc>
      </w:tr>
      <w:tr w14:paraId="1946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vAlign w:val="center"/>
          </w:tcPr>
          <w:p w14:paraId="572557AC">
            <w:pPr>
              <w:spacing w:line="400" w:lineRule="exact"/>
              <w:jc w:val="center"/>
              <w:rPr>
                <w:rFonts w:ascii="宋体" w:hAnsi="宋体"/>
                <w:kern w:val="0"/>
                <w:szCs w:val="21"/>
              </w:rPr>
            </w:pPr>
            <w:r>
              <w:rPr>
                <w:rFonts w:hint="eastAsia" w:ascii="宋体" w:hAnsi="宋体"/>
                <w:kern w:val="0"/>
                <w:szCs w:val="21"/>
              </w:rPr>
              <w:t>2.2</w:t>
            </w:r>
          </w:p>
        </w:tc>
        <w:tc>
          <w:tcPr>
            <w:tcW w:w="959" w:type="dxa"/>
            <w:vAlign w:val="center"/>
          </w:tcPr>
          <w:p w14:paraId="4DBC6396">
            <w:pPr>
              <w:widowControl/>
              <w:jc w:val="center"/>
              <w:rPr>
                <w:rFonts w:ascii="宋体" w:hAnsi="宋体"/>
                <w:kern w:val="0"/>
                <w:szCs w:val="21"/>
              </w:rPr>
            </w:pPr>
            <w:r>
              <w:rPr>
                <w:rFonts w:hint="eastAsia" w:ascii="宋体" w:hAnsi="宋体" w:cs="宋体"/>
                <w:kern w:val="0"/>
                <w:sz w:val="22"/>
                <w:szCs w:val="22"/>
                <w:lang w:bidi="ar"/>
              </w:rPr>
              <w:t>项目组织实施方案</w:t>
            </w:r>
          </w:p>
        </w:tc>
        <w:tc>
          <w:tcPr>
            <w:tcW w:w="6976" w:type="dxa"/>
          </w:tcPr>
          <w:p w14:paraId="2766CCB7">
            <w:pPr>
              <w:widowControl/>
              <w:spacing w:line="400" w:lineRule="exact"/>
              <w:jc w:val="left"/>
              <w:rPr>
                <w:rFonts w:ascii="宋体" w:hAnsi="宋体" w:cs="宋体"/>
                <w:szCs w:val="21"/>
              </w:rPr>
            </w:pPr>
            <w:r>
              <w:rPr>
                <w:rFonts w:hint="eastAsia" w:ascii="宋体" w:hAnsi="宋体" w:cs="宋体"/>
                <w:kern w:val="0"/>
                <w:sz w:val="22"/>
                <w:szCs w:val="22"/>
                <w:lang w:bidi="ar"/>
              </w:rPr>
              <w:t>不满足一档不得分。</w:t>
            </w:r>
          </w:p>
          <w:p w14:paraId="4CD9A925">
            <w:pPr>
              <w:widowControl/>
              <w:spacing w:line="400" w:lineRule="exact"/>
              <w:jc w:val="left"/>
              <w:rPr>
                <w:rFonts w:ascii="宋体" w:hAnsi="宋体" w:cs="宋体"/>
                <w:szCs w:val="21"/>
              </w:rPr>
            </w:pPr>
            <w:r>
              <w:rPr>
                <w:rFonts w:hint="eastAsia" w:ascii="宋体" w:hAnsi="宋体" w:cs="宋体"/>
                <w:szCs w:val="21"/>
              </w:rPr>
              <w:t>一档（5分）：有项目组织机构介绍；有项目进度安排。</w:t>
            </w:r>
          </w:p>
          <w:p w14:paraId="5A6759D4">
            <w:pPr>
              <w:widowControl/>
              <w:spacing w:line="400" w:lineRule="exact"/>
              <w:jc w:val="left"/>
              <w:rPr>
                <w:rFonts w:ascii="宋体" w:hAnsi="宋体" w:cs="宋体"/>
                <w:szCs w:val="21"/>
              </w:rPr>
            </w:pPr>
            <w:r>
              <w:rPr>
                <w:rFonts w:hint="eastAsia" w:ascii="宋体" w:hAnsi="宋体" w:cs="宋体"/>
                <w:szCs w:val="21"/>
              </w:rPr>
              <w:t>二档（10分）：有项目组织机构介绍；人员构成合理；项目进度安排合理可行；有质量控制保障措施。</w:t>
            </w:r>
          </w:p>
          <w:p w14:paraId="3EE3B6EE">
            <w:pPr>
              <w:widowControl/>
              <w:spacing w:line="400" w:lineRule="exact"/>
              <w:jc w:val="left"/>
              <w:rPr>
                <w:rFonts w:ascii="宋体" w:hAnsi="宋体"/>
                <w:kern w:val="0"/>
                <w:szCs w:val="21"/>
              </w:rPr>
            </w:pPr>
            <w:r>
              <w:rPr>
                <w:rFonts w:hint="eastAsia" w:ascii="宋体" w:hAnsi="宋体" w:cs="宋体"/>
                <w:szCs w:val="21"/>
              </w:rPr>
              <w:t>三档（15分）：项目组织机构介绍详细；人员构成合理、分工明确，提供了详细的能反映人员相关技术能力的证书复印件；项目进度安排合理可行；提供的质量控制保障措施合理有效。</w:t>
            </w:r>
          </w:p>
        </w:tc>
        <w:tc>
          <w:tcPr>
            <w:tcW w:w="1007" w:type="dxa"/>
            <w:vAlign w:val="center"/>
          </w:tcPr>
          <w:p w14:paraId="4071D55E">
            <w:pPr>
              <w:spacing w:line="400" w:lineRule="exact"/>
              <w:jc w:val="center"/>
              <w:rPr>
                <w:rFonts w:ascii="宋体" w:hAnsi="宋体"/>
                <w:kern w:val="0"/>
                <w:szCs w:val="21"/>
              </w:rPr>
            </w:pPr>
            <w:r>
              <w:rPr>
                <w:rFonts w:hint="eastAsia" w:ascii="宋体" w:hAnsi="宋体"/>
                <w:kern w:val="0"/>
                <w:szCs w:val="21"/>
              </w:rPr>
              <w:t>15分</w:t>
            </w:r>
          </w:p>
        </w:tc>
      </w:tr>
      <w:tr w14:paraId="20DB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jc w:val="center"/>
        </w:trPr>
        <w:tc>
          <w:tcPr>
            <w:tcW w:w="801" w:type="dxa"/>
            <w:vAlign w:val="center"/>
          </w:tcPr>
          <w:p w14:paraId="122ECCC2">
            <w:pPr>
              <w:spacing w:line="400" w:lineRule="exact"/>
              <w:jc w:val="center"/>
              <w:rPr>
                <w:rFonts w:ascii="宋体" w:hAnsi="宋体"/>
                <w:kern w:val="0"/>
                <w:szCs w:val="21"/>
              </w:rPr>
            </w:pPr>
            <w:r>
              <w:rPr>
                <w:rFonts w:hint="eastAsia" w:ascii="宋体" w:hAnsi="宋体"/>
                <w:kern w:val="0"/>
                <w:szCs w:val="21"/>
              </w:rPr>
              <w:t>2.3</w:t>
            </w:r>
          </w:p>
        </w:tc>
        <w:tc>
          <w:tcPr>
            <w:tcW w:w="959" w:type="dxa"/>
            <w:vAlign w:val="center"/>
          </w:tcPr>
          <w:p w14:paraId="4FC98E52">
            <w:pPr>
              <w:widowControl/>
              <w:jc w:val="left"/>
              <w:rPr>
                <w:rFonts w:ascii="宋体" w:hAnsi="宋体" w:cs="宋体"/>
                <w:szCs w:val="21"/>
              </w:rPr>
            </w:pPr>
            <w:r>
              <w:rPr>
                <w:rFonts w:hint="eastAsia" w:ascii="宋体" w:hAnsi="宋体" w:cs="宋体"/>
                <w:szCs w:val="21"/>
              </w:rPr>
              <w:t>服务承诺方案</w:t>
            </w:r>
          </w:p>
          <w:p w14:paraId="0EE82DEE">
            <w:pPr>
              <w:widowControl/>
              <w:jc w:val="center"/>
              <w:rPr>
                <w:rFonts w:ascii="宋体" w:hAnsi="宋体" w:cs="宋体"/>
                <w:kern w:val="0"/>
                <w:sz w:val="22"/>
                <w:szCs w:val="22"/>
                <w:lang w:bidi="ar"/>
              </w:rPr>
            </w:pPr>
          </w:p>
        </w:tc>
        <w:tc>
          <w:tcPr>
            <w:tcW w:w="6976" w:type="dxa"/>
            <w:vAlign w:val="center"/>
          </w:tcPr>
          <w:p w14:paraId="5D130F95">
            <w:pPr>
              <w:widowControl/>
              <w:spacing w:line="400" w:lineRule="exact"/>
              <w:jc w:val="left"/>
              <w:rPr>
                <w:rFonts w:ascii="宋体" w:hAnsi="宋体" w:cs="宋体"/>
                <w:kern w:val="0"/>
                <w:sz w:val="22"/>
                <w:szCs w:val="22"/>
                <w:lang w:bidi="ar"/>
              </w:rPr>
            </w:pPr>
            <w:r>
              <w:rPr>
                <w:rFonts w:hint="eastAsia" w:ascii="宋体" w:hAnsi="宋体" w:cs="宋体"/>
                <w:kern w:val="0"/>
                <w:sz w:val="22"/>
                <w:szCs w:val="22"/>
                <w:lang w:bidi="ar"/>
              </w:rPr>
              <w:t>不满足一档不得分。</w:t>
            </w:r>
          </w:p>
          <w:p w14:paraId="20C911E8">
            <w:pPr>
              <w:widowControl/>
              <w:spacing w:line="400" w:lineRule="exact"/>
              <w:jc w:val="left"/>
              <w:rPr>
                <w:rFonts w:ascii="宋体" w:hAnsi="宋体" w:cs="宋体"/>
                <w:szCs w:val="21"/>
              </w:rPr>
            </w:pPr>
            <w:r>
              <w:rPr>
                <w:rFonts w:hint="eastAsia" w:ascii="宋体" w:hAnsi="宋体" w:cs="宋体"/>
                <w:szCs w:val="21"/>
              </w:rPr>
              <w:t>一档（5分）：对项目实施阶段的服务内容有描述；对后续服务期的响应时间满足采购文件要求。</w:t>
            </w:r>
          </w:p>
          <w:p w14:paraId="7E717AB7">
            <w:pPr>
              <w:widowControl/>
              <w:spacing w:line="400" w:lineRule="exact"/>
              <w:jc w:val="left"/>
              <w:rPr>
                <w:rFonts w:ascii="宋体" w:hAnsi="宋体" w:cs="宋体"/>
                <w:szCs w:val="21"/>
              </w:rPr>
            </w:pPr>
            <w:r>
              <w:rPr>
                <w:rFonts w:hint="eastAsia" w:ascii="宋体" w:hAnsi="宋体" w:cs="宋体"/>
                <w:szCs w:val="21"/>
              </w:rPr>
              <w:t>二档（10分）：项目实施阶段的服务措施详细；后续服务期能1小时内响应，2小时内到达采购人指定现场，并在8小时内处理好常规性问题。</w:t>
            </w:r>
          </w:p>
          <w:p w14:paraId="26DA0AAA">
            <w:pPr>
              <w:pStyle w:val="2"/>
              <w:spacing w:after="0" w:line="400" w:lineRule="exact"/>
              <w:ind w:left="0" w:leftChars="0"/>
              <w:rPr>
                <w:rFonts w:ascii="宋体" w:hAnsi="宋体" w:cs="宋体"/>
                <w:kern w:val="0"/>
                <w:sz w:val="22"/>
                <w:szCs w:val="22"/>
                <w:lang w:bidi="ar"/>
              </w:rPr>
            </w:pPr>
            <w:r>
              <w:rPr>
                <w:rFonts w:hint="eastAsia" w:ascii="宋体" w:hAnsi="宋体" w:cs="宋体"/>
                <w:szCs w:val="21"/>
              </w:rPr>
              <w:t>三档（15分）：项目实施阶段的服务措施详细、对服务细节陈述合理且有针对性；后续服务期能1小时内响应，1小时内到达采购人指定现场，并在4小时内处理好常规性问题。</w:t>
            </w:r>
          </w:p>
        </w:tc>
        <w:tc>
          <w:tcPr>
            <w:tcW w:w="1007" w:type="dxa"/>
            <w:vAlign w:val="center"/>
          </w:tcPr>
          <w:p w14:paraId="3422DC5E">
            <w:pPr>
              <w:spacing w:line="400" w:lineRule="exact"/>
              <w:jc w:val="center"/>
              <w:rPr>
                <w:rFonts w:ascii="宋体" w:hAnsi="宋体"/>
                <w:kern w:val="0"/>
                <w:szCs w:val="21"/>
              </w:rPr>
            </w:pPr>
            <w:r>
              <w:rPr>
                <w:rFonts w:hint="eastAsia" w:ascii="宋体" w:hAnsi="宋体"/>
                <w:kern w:val="0"/>
                <w:szCs w:val="21"/>
              </w:rPr>
              <w:t>15分</w:t>
            </w:r>
          </w:p>
        </w:tc>
      </w:tr>
      <w:tr w14:paraId="0C3B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01" w:type="dxa"/>
            <w:vAlign w:val="center"/>
          </w:tcPr>
          <w:p w14:paraId="1A80A26C">
            <w:pPr>
              <w:spacing w:line="400" w:lineRule="exact"/>
              <w:jc w:val="center"/>
              <w:rPr>
                <w:rFonts w:ascii="宋体" w:hAnsi="宋体"/>
                <w:kern w:val="0"/>
                <w:szCs w:val="21"/>
              </w:rPr>
            </w:pPr>
            <w:r>
              <w:rPr>
                <w:rFonts w:hint="eastAsia" w:ascii="宋体" w:hAnsi="宋体"/>
                <w:kern w:val="0"/>
                <w:szCs w:val="21"/>
              </w:rPr>
              <w:t>2.4</w:t>
            </w:r>
          </w:p>
        </w:tc>
        <w:tc>
          <w:tcPr>
            <w:tcW w:w="959" w:type="dxa"/>
            <w:vAlign w:val="center"/>
          </w:tcPr>
          <w:p w14:paraId="4E0ADB48">
            <w:pPr>
              <w:spacing w:line="400" w:lineRule="exact"/>
              <w:jc w:val="center"/>
              <w:rPr>
                <w:rFonts w:ascii="宋体" w:hAnsi="宋体"/>
                <w:kern w:val="0"/>
                <w:szCs w:val="21"/>
              </w:rPr>
            </w:pPr>
            <w:r>
              <w:rPr>
                <w:rFonts w:hint="eastAsia" w:ascii="宋体" w:hAnsi="宋体"/>
                <w:kern w:val="0"/>
                <w:szCs w:val="21"/>
              </w:rPr>
              <w:t>拟投入人员分</w:t>
            </w:r>
          </w:p>
        </w:tc>
        <w:tc>
          <w:tcPr>
            <w:tcW w:w="6976" w:type="dxa"/>
            <w:vAlign w:val="center"/>
          </w:tcPr>
          <w:p w14:paraId="6E8C004D">
            <w:pPr>
              <w:spacing w:line="400" w:lineRule="exact"/>
              <w:jc w:val="left"/>
              <w:rPr>
                <w:rFonts w:ascii="宋体" w:hAnsi="宋体" w:cs="宋体"/>
                <w:szCs w:val="21"/>
              </w:rPr>
            </w:pPr>
            <w:r>
              <w:rPr>
                <w:rFonts w:hint="eastAsia" w:ascii="宋体" w:hAnsi="宋体" w:cs="宋体"/>
                <w:szCs w:val="21"/>
              </w:rPr>
              <w:t>（1）拟投入本项目的项目经理具有信息系统高级咨询师证书，同时具有以下证书的，每项得2分，满分10分。</w:t>
            </w:r>
          </w:p>
          <w:p w14:paraId="5BF3C3E4">
            <w:pPr>
              <w:spacing w:line="400" w:lineRule="exact"/>
              <w:jc w:val="left"/>
              <w:rPr>
                <w:rFonts w:ascii="宋体" w:hAnsi="宋体" w:cs="宋体"/>
                <w:szCs w:val="21"/>
              </w:rPr>
            </w:pPr>
            <w:r>
              <w:rPr>
                <w:rFonts w:hint="eastAsia" w:ascii="宋体" w:hAnsi="宋体" w:cs="宋体"/>
                <w:szCs w:val="21"/>
              </w:rPr>
              <w:t>①持有数据安全高级工程师证书；</w:t>
            </w:r>
          </w:p>
          <w:p w14:paraId="3DD82493">
            <w:pPr>
              <w:spacing w:line="400" w:lineRule="exact"/>
              <w:jc w:val="left"/>
              <w:rPr>
                <w:rFonts w:ascii="宋体" w:hAnsi="宋体" w:cs="宋体"/>
                <w:szCs w:val="21"/>
              </w:rPr>
            </w:pPr>
            <w:r>
              <w:rPr>
                <w:rFonts w:hint="eastAsia" w:ascii="宋体" w:hAnsi="宋体" w:cs="宋体"/>
                <w:szCs w:val="21"/>
              </w:rPr>
              <w:t>②持有信息系统监理师证书；</w:t>
            </w:r>
          </w:p>
          <w:p w14:paraId="3B42D1ED">
            <w:pPr>
              <w:spacing w:line="400" w:lineRule="exact"/>
              <w:jc w:val="left"/>
              <w:rPr>
                <w:rFonts w:ascii="宋体" w:hAnsi="宋体" w:cs="宋体"/>
                <w:szCs w:val="21"/>
              </w:rPr>
            </w:pPr>
            <w:r>
              <w:rPr>
                <w:rFonts w:hint="eastAsia" w:ascii="宋体" w:hAnsi="宋体" w:cs="宋体"/>
                <w:szCs w:val="21"/>
              </w:rPr>
              <w:t>③持有高级信息系统项目管理师证书；</w:t>
            </w:r>
          </w:p>
          <w:p w14:paraId="1E62A5A2">
            <w:pPr>
              <w:spacing w:line="400" w:lineRule="exact"/>
              <w:jc w:val="left"/>
              <w:rPr>
                <w:rFonts w:ascii="宋体" w:hAnsi="宋体" w:cs="宋体"/>
                <w:szCs w:val="21"/>
              </w:rPr>
            </w:pPr>
            <w:r>
              <w:rPr>
                <w:rFonts w:hint="eastAsia" w:ascii="宋体" w:hAnsi="宋体" w:cs="宋体"/>
                <w:szCs w:val="21"/>
              </w:rPr>
              <w:t>④持有信息安全等级测评师（中级及以上）证书；</w:t>
            </w:r>
          </w:p>
          <w:p w14:paraId="5F5D329E">
            <w:pPr>
              <w:spacing w:line="400" w:lineRule="exact"/>
              <w:jc w:val="left"/>
              <w:rPr>
                <w:rFonts w:ascii="宋体" w:hAnsi="宋体" w:cs="宋体"/>
                <w:szCs w:val="21"/>
              </w:rPr>
            </w:pPr>
            <w:r>
              <w:rPr>
                <w:rFonts w:hint="eastAsia" w:ascii="宋体" w:hAnsi="宋体" w:cs="宋体"/>
                <w:szCs w:val="21"/>
              </w:rPr>
              <w:t>⑤持有PMP项目管理师证书。</w:t>
            </w:r>
          </w:p>
          <w:p w14:paraId="1F779F1F">
            <w:pPr>
              <w:spacing w:line="400" w:lineRule="exact"/>
              <w:jc w:val="left"/>
              <w:rPr>
                <w:rFonts w:ascii="宋体" w:hAnsi="宋体" w:cs="宋体"/>
                <w:szCs w:val="21"/>
              </w:rPr>
            </w:pPr>
            <w:r>
              <w:rPr>
                <w:rFonts w:hint="eastAsia" w:ascii="宋体" w:hAnsi="宋体" w:cs="宋体"/>
                <w:szCs w:val="21"/>
              </w:rPr>
              <w:t>（2）拟投入本项目技术负责人具有网络安全服务类高级职称证书，同时具有以下证书的，每项得2分，满分8分。</w:t>
            </w:r>
          </w:p>
          <w:p w14:paraId="58EFCA0C">
            <w:pPr>
              <w:spacing w:line="400" w:lineRule="exact"/>
              <w:jc w:val="left"/>
              <w:rPr>
                <w:rFonts w:ascii="宋体" w:hAnsi="宋体" w:cs="宋体"/>
                <w:szCs w:val="21"/>
              </w:rPr>
            </w:pPr>
            <w:r>
              <w:rPr>
                <w:rFonts w:hint="eastAsia" w:ascii="宋体" w:hAnsi="宋体" w:cs="宋体"/>
                <w:szCs w:val="21"/>
              </w:rPr>
              <w:t>①持有高级系统分析师证书；</w:t>
            </w:r>
          </w:p>
          <w:p w14:paraId="64DB95F3">
            <w:pPr>
              <w:spacing w:line="400" w:lineRule="exact"/>
              <w:jc w:val="left"/>
              <w:rPr>
                <w:rFonts w:ascii="宋体" w:hAnsi="宋体" w:cs="宋体"/>
                <w:szCs w:val="21"/>
              </w:rPr>
            </w:pPr>
            <w:r>
              <w:rPr>
                <w:rFonts w:hint="eastAsia" w:ascii="宋体" w:hAnsi="宋体" w:cs="宋体"/>
                <w:szCs w:val="21"/>
              </w:rPr>
              <w:t>②持有软件性能测试高级工程师证书；</w:t>
            </w:r>
          </w:p>
          <w:p w14:paraId="4A86191E">
            <w:pPr>
              <w:spacing w:line="400" w:lineRule="exact"/>
              <w:jc w:val="left"/>
              <w:rPr>
                <w:rFonts w:ascii="宋体" w:hAnsi="宋体" w:cs="宋体"/>
                <w:szCs w:val="21"/>
              </w:rPr>
            </w:pPr>
            <w:r>
              <w:rPr>
                <w:rFonts w:hint="eastAsia" w:ascii="宋体" w:hAnsi="宋体" w:cs="宋体"/>
                <w:szCs w:val="21"/>
              </w:rPr>
              <w:t>③持有信息安全等级测评师（中级及以上）证书；</w:t>
            </w:r>
          </w:p>
          <w:p w14:paraId="7A4E56F0">
            <w:pPr>
              <w:spacing w:line="400" w:lineRule="exact"/>
              <w:jc w:val="left"/>
            </w:pPr>
            <w:r>
              <w:rPr>
                <w:rFonts w:hint="eastAsia" w:ascii="宋体" w:hAnsi="宋体" w:cs="宋体"/>
                <w:szCs w:val="21"/>
              </w:rPr>
              <w:t>④持有注册信息系统审计师证书.</w:t>
            </w:r>
          </w:p>
          <w:p w14:paraId="59326817">
            <w:pPr>
              <w:spacing w:line="400" w:lineRule="exact"/>
              <w:jc w:val="left"/>
              <w:rPr>
                <w:rFonts w:ascii="宋体" w:hAnsi="宋体" w:cs="宋体"/>
                <w:szCs w:val="21"/>
              </w:rPr>
            </w:pPr>
            <w:r>
              <w:rPr>
                <w:rFonts w:hint="eastAsia" w:ascii="宋体" w:hAnsi="宋体" w:cs="宋体"/>
                <w:szCs w:val="21"/>
              </w:rPr>
              <w:t>（3）拟投入项目组其他成员配备（除总项目经理、技术负责人外），每项得1分，满分8分。</w:t>
            </w:r>
          </w:p>
          <w:p w14:paraId="7A9D12C8">
            <w:pPr>
              <w:spacing w:line="400" w:lineRule="exact"/>
              <w:jc w:val="left"/>
              <w:rPr>
                <w:rFonts w:ascii="宋体" w:hAnsi="宋体" w:cs="宋体"/>
                <w:szCs w:val="21"/>
              </w:rPr>
            </w:pPr>
            <w:r>
              <w:rPr>
                <w:rFonts w:hint="eastAsia" w:ascii="宋体" w:hAnsi="宋体" w:cs="宋体"/>
                <w:szCs w:val="21"/>
              </w:rPr>
              <w:t>①持有信息系统监理师证书的得1分，此项满分2分；</w:t>
            </w:r>
          </w:p>
          <w:p w14:paraId="03C37B7A">
            <w:pPr>
              <w:spacing w:line="400" w:lineRule="exact"/>
              <w:jc w:val="left"/>
              <w:rPr>
                <w:rFonts w:ascii="宋体" w:hAnsi="宋体" w:cs="宋体"/>
                <w:szCs w:val="21"/>
              </w:rPr>
            </w:pPr>
            <w:r>
              <w:rPr>
                <w:rFonts w:hint="eastAsia" w:ascii="宋体" w:hAnsi="宋体" w:cs="宋体"/>
                <w:szCs w:val="21"/>
              </w:rPr>
              <w:t>②持有软件性能测试高级工程师证书的得1分，此项满分2分；</w:t>
            </w:r>
          </w:p>
          <w:p w14:paraId="406C098E">
            <w:pPr>
              <w:spacing w:line="400" w:lineRule="exact"/>
              <w:jc w:val="left"/>
              <w:rPr>
                <w:rFonts w:ascii="宋体" w:hAnsi="宋体" w:cs="宋体"/>
                <w:szCs w:val="21"/>
              </w:rPr>
            </w:pPr>
            <w:r>
              <w:rPr>
                <w:rFonts w:hint="eastAsia" w:ascii="宋体" w:hAnsi="宋体" w:cs="宋体"/>
                <w:szCs w:val="21"/>
              </w:rPr>
              <w:t>③持有软件工程造价师证书的得1分，此项满分2分；</w:t>
            </w:r>
          </w:p>
          <w:p w14:paraId="295D724E">
            <w:pPr>
              <w:spacing w:line="400" w:lineRule="exact"/>
              <w:jc w:val="left"/>
              <w:rPr>
                <w:rFonts w:ascii="宋体" w:hAnsi="宋体" w:cs="宋体"/>
                <w:szCs w:val="21"/>
              </w:rPr>
            </w:pPr>
            <w:r>
              <w:rPr>
                <w:rFonts w:hint="eastAsia" w:ascii="宋体" w:hAnsi="宋体" w:cs="宋体"/>
                <w:szCs w:val="21"/>
              </w:rPr>
              <w:t>④持有信息安全等级测评师（中级及以上）证书的得1分，此项满分1分；</w:t>
            </w:r>
          </w:p>
          <w:p w14:paraId="666E2458">
            <w:pPr>
              <w:spacing w:line="400" w:lineRule="exact"/>
              <w:jc w:val="left"/>
              <w:rPr>
                <w:rFonts w:ascii="宋体" w:hAnsi="宋体" w:cs="宋体"/>
                <w:szCs w:val="21"/>
              </w:rPr>
            </w:pPr>
            <w:r>
              <w:rPr>
                <w:rFonts w:hint="eastAsia" w:ascii="宋体" w:hAnsi="宋体" w:cs="宋体"/>
                <w:szCs w:val="21"/>
              </w:rPr>
              <w:t>⑤持有国际软件测评师ISTQB证书的得1分，此项满分1分；</w:t>
            </w:r>
          </w:p>
          <w:p w14:paraId="4B0B3F9C">
            <w:pPr>
              <w:spacing w:line="400" w:lineRule="exact"/>
              <w:rPr>
                <w:rFonts w:ascii="宋体" w:hAnsi="宋体" w:cs="宋体"/>
                <w:sz w:val="22"/>
                <w:szCs w:val="22"/>
              </w:rPr>
            </w:pPr>
            <w:r>
              <w:rPr>
                <w:rFonts w:hint="eastAsia" w:ascii="宋体" w:hAnsi="宋体" w:cs="宋体"/>
                <w:sz w:val="22"/>
                <w:szCs w:val="22"/>
              </w:rPr>
              <w:t>注：1.拟投入本项目的项目经理、技术负责人不能为同一人；</w:t>
            </w:r>
          </w:p>
          <w:p w14:paraId="0DDAB1A7">
            <w:pPr>
              <w:spacing w:line="400" w:lineRule="exact"/>
              <w:rPr>
                <w:rFonts w:ascii="宋体" w:hAnsi="宋体" w:cs="宋体"/>
                <w:kern w:val="0"/>
                <w:sz w:val="22"/>
                <w:szCs w:val="22"/>
                <w:lang w:bidi="ar"/>
              </w:rPr>
            </w:pPr>
            <w:r>
              <w:rPr>
                <w:rFonts w:hint="eastAsia" w:ascii="宋体" w:hAnsi="宋体" w:cs="宋体"/>
                <w:sz w:val="22"/>
                <w:szCs w:val="22"/>
              </w:rPr>
              <w:t>2.以上人员必须列入《项目实施人员一览表》并提供供应商自响应文件递交截止时间前半年内任意1个月为其缴纳的社会保险参保缴费证明文件复印件并加盖单位公章，否则不予计分。</w:t>
            </w:r>
          </w:p>
        </w:tc>
        <w:tc>
          <w:tcPr>
            <w:tcW w:w="1007" w:type="dxa"/>
            <w:vAlign w:val="center"/>
          </w:tcPr>
          <w:p w14:paraId="065CFFE2">
            <w:pPr>
              <w:spacing w:line="400" w:lineRule="exact"/>
              <w:jc w:val="center"/>
              <w:rPr>
                <w:rFonts w:ascii="宋体" w:hAnsi="宋体"/>
                <w:kern w:val="0"/>
                <w:szCs w:val="21"/>
              </w:rPr>
            </w:pPr>
            <w:r>
              <w:rPr>
                <w:rFonts w:hint="eastAsia" w:ascii="宋体" w:hAnsi="宋体"/>
                <w:kern w:val="0"/>
                <w:szCs w:val="21"/>
              </w:rPr>
              <w:t>26分</w:t>
            </w:r>
          </w:p>
        </w:tc>
      </w:tr>
      <w:tr w14:paraId="60A9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01" w:type="dxa"/>
            <w:vAlign w:val="center"/>
          </w:tcPr>
          <w:p w14:paraId="289C4911">
            <w:pPr>
              <w:spacing w:line="400" w:lineRule="exact"/>
              <w:jc w:val="center"/>
              <w:rPr>
                <w:rFonts w:ascii="宋体" w:hAnsi="宋体"/>
                <w:b/>
                <w:kern w:val="0"/>
                <w:szCs w:val="21"/>
              </w:rPr>
            </w:pPr>
            <w:r>
              <w:rPr>
                <w:rFonts w:hint="eastAsia" w:ascii="宋体" w:hAnsi="宋体"/>
                <w:b/>
                <w:kern w:val="0"/>
                <w:szCs w:val="21"/>
              </w:rPr>
              <w:t>3</w:t>
            </w:r>
          </w:p>
        </w:tc>
        <w:tc>
          <w:tcPr>
            <w:tcW w:w="959" w:type="dxa"/>
            <w:vAlign w:val="center"/>
          </w:tcPr>
          <w:p w14:paraId="15FD4E4E">
            <w:pPr>
              <w:spacing w:line="400" w:lineRule="exact"/>
              <w:jc w:val="center"/>
              <w:rPr>
                <w:rFonts w:ascii="宋体" w:hAnsi="宋体"/>
                <w:b/>
                <w:szCs w:val="21"/>
              </w:rPr>
            </w:pPr>
            <w:r>
              <w:rPr>
                <w:rFonts w:hint="eastAsia" w:ascii="宋体" w:hAnsi="宋体"/>
                <w:b/>
                <w:szCs w:val="21"/>
              </w:rPr>
              <w:t>商务分</w:t>
            </w:r>
          </w:p>
        </w:tc>
        <w:tc>
          <w:tcPr>
            <w:tcW w:w="6976" w:type="dxa"/>
            <w:vAlign w:val="center"/>
          </w:tcPr>
          <w:p w14:paraId="05785509">
            <w:pPr>
              <w:spacing w:line="400" w:lineRule="exact"/>
              <w:jc w:val="center"/>
              <w:rPr>
                <w:rFonts w:ascii="宋体" w:hAnsi="宋体"/>
                <w:b/>
                <w:szCs w:val="21"/>
              </w:rPr>
            </w:pPr>
            <w:r>
              <w:rPr>
                <w:rFonts w:hint="eastAsia" w:ascii="宋体" w:hAnsi="宋体"/>
                <w:b/>
                <w:kern w:val="0"/>
                <w:szCs w:val="21"/>
              </w:rPr>
              <w:t>评审因素</w:t>
            </w:r>
          </w:p>
        </w:tc>
        <w:tc>
          <w:tcPr>
            <w:tcW w:w="1007" w:type="dxa"/>
            <w:vAlign w:val="center"/>
          </w:tcPr>
          <w:p w14:paraId="27441CF9">
            <w:pPr>
              <w:spacing w:line="400" w:lineRule="exact"/>
              <w:jc w:val="center"/>
              <w:rPr>
                <w:rFonts w:ascii="宋体" w:hAnsi="宋体"/>
                <w:b/>
                <w:kern w:val="0"/>
                <w:szCs w:val="21"/>
              </w:rPr>
            </w:pPr>
            <w:r>
              <w:rPr>
                <w:rFonts w:hint="eastAsia" w:ascii="宋体" w:hAnsi="宋体"/>
                <w:b/>
                <w:kern w:val="0"/>
                <w:szCs w:val="21"/>
              </w:rPr>
              <w:t>19分</w:t>
            </w:r>
          </w:p>
        </w:tc>
      </w:tr>
      <w:tr w14:paraId="5792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6" w:hRule="atLeast"/>
          <w:jc w:val="center"/>
        </w:trPr>
        <w:tc>
          <w:tcPr>
            <w:tcW w:w="801" w:type="dxa"/>
            <w:vAlign w:val="center"/>
          </w:tcPr>
          <w:p w14:paraId="042E7DDA">
            <w:pPr>
              <w:spacing w:line="400" w:lineRule="exact"/>
              <w:jc w:val="center"/>
              <w:rPr>
                <w:rFonts w:ascii="宋体" w:hAnsi="宋体"/>
                <w:kern w:val="0"/>
                <w:szCs w:val="21"/>
              </w:rPr>
            </w:pPr>
            <w:r>
              <w:rPr>
                <w:rFonts w:hint="eastAsia" w:ascii="宋体" w:hAnsi="宋体"/>
                <w:kern w:val="0"/>
                <w:szCs w:val="21"/>
              </w:rPr>
              <w:t>3.1</w:t>
            </w:r>
          </w:p>
        </w:tc>
        <w:tc>
          <w:tcPr>
            <w:tcW w:w="959" w:type="dxa"/>
            <w:vAlign w:val="center"/>
          </w:tcPr>
          <w:p w14:paraId="47ECDD66">
            <w:pPr>
              <w:spacing w:line="400" w:lineRule="exact"/>
              <w:jc w:val="center"/>
              <w:rPr>
                <w:rFonts w:ascii="宋体" w:hAnsi="宋体"/>
                <w:szCs w:val="21"/>
              </w:rPr>
            </w:pPr>
            <w:r>
              <w:rPr>
                <w:rFonts w:hint="eastAsia" w:ascii="宋体" w:hAnsi="宋体"/>
                <w:szCs w:val="21"/>
              </w:rPr>
              <w:t>信誉分</w:t>
            </w:r>
          </w:p>
        </w:tc>
        <w:tc>
          <w:tcPr>
            <w:tcW w:w="6976" w:type="dxa"/>
            <w:vAlign w:val="center"/>
          </w:tcPr>
          <w:p w14:paraId="52348E17">
            <w:pPr>
              <w:widowControl/>
              <w:spacing w:line="400" w:lineRule="exact"/>
              <w:jc w:val="left"/>
              <w:rPr>
                <w:rFonts w:ascii="宋体" w:hAnsi="宋体" w:cs="宋体"/>
                <w:bCs/>
                <w:kern w:val="0"/>
                <w:szCs w:val="21"/>
              </w:rPr>
            </w:pPr>
            <w:r>
              <w:rPr>
                <w:rFonts w:hint="eastAsia" w:ascii="宋体" w:hAnsi="宋体" w:cs="宋体"/>
                <w:bCs/>
                <w:kern w:val="0"/>
                <w:szCs w:val="21"/>
              </w:rPr>
              <w:t>（1）具有信息系统工程监理服务标准贯标证书的得2分，满分2分；</w:t>
            </w:r>
          </w:p>
          <w:p w14:paraId="57DC1246">
            <w:pPr>
              <w:widowControl/>
              <w:spacing w:line="400" w:lineRule="exact"/>
              <w:jc w:val="left"/>
              <w:rPr>
                <w:rFonts w:ascii="宋体" w:hAnsi="宋体" w:cs="宋体"/>
                <w:bCs/>
                <w:kern w:val="0"/>
                <w:szCs w:val="21"/>
              </w:rPr>
            </w:pPr>
            <w:r>
              <w:rPr>
                <w:rFonts w:hint="eastAsia" w:ascii="宋体" w:hAnsi="宋体" w:cs="宋体"/>
                <w:bCs/>
                <w:kern w:val="0"/>
                <w:szCs w:val="21"/>
              </w:rPr>
              <w:t>（2）具有软件造价评估服务能力证书的得2分，满分2分；</w:t>
            </w:r>
          </w:p>
          <w:p w14:paraId="76436C28">
            <w:pPr>
              <w:widowControl/>
              <w:spacing w:line="400" w:lineRule="exact"/>
              <w:jc w:val="left"/>
              <w:rPr>
                <w:rFonts w:ascii="宋体" w:hAnsi="宋体" w:cs="宋体"/>
                <w:bCs/>
                <w:kern w:val="0"/>
                <w:szCs w:val="21"/>
              </w:rPr>
            </w:pPr>
            <w:r>
              <w:rPr>
                <w:rFonts w:hint="eastAsia" w:ascii="宋体" w:hAnsi="宋体" w:cs="宋体"/>
                <w:bCs/>
                <w:kern w:val="0"/>
                <w:szCs w:val="21"/>
              </w:rPr>
              <w:t>（3）具有中国合格评定国家认可委员会实验室认可证书（CNAS）的得3分，满分3分；</w:t>
            </w:r>
          </w:p>
          <w:p w14:paraId="414BA9EA">
            <w:pPr>
              <w:widowControl/>
              <w:spacing w:line="400" w:lineRule="exact"/>
              <w:jc w:val="left"/>
              <w:rPr>
                <w:rFonts w:ascii="宋体" w:hAnsi="宋体" w:cs="宋体"/>
                <w:bCs/>
                <w:kern w:val="0"/>
                <w:szCs w:val="21"/>
              </w:rPr>
            </w:pPr>
            <w:r>
              <w:rPr>
                <w:rFonts w:hint="eastAsia" w:ascii="宋体" w:hAnsi="宋体" w:cs="宋体"/>
                <w:bCs/>
                <w:kern w:val="0"/>
                <w:szCs w:val="21"/>
              </w:rPr>
              <w:t>（4）具有网络安全服务认证证书等级保护测评服务认证的得3分，满分3分；</w:t>
            </w:r>
          </w:p>
          <w:p w14:paraId="4C67739F">
            <w:pPr>
              <w:widowControl/>
              <w:spacing w:line="400" w:lineRule="exact"/>
              <w:jc w:val="left"/>
              <w:rPr>
                <w:rFonts w:ascii="宋体" w:hAnsi="宋体" w:cs="宋体"/>
                <w:bCs/>
                <w:kern w:val="0"/>
                <w:szCs w:val="21"/>
              </w:rPr>
            </w:pPr>
            <w:r>
              <w:rPr>
                <w:rFonts w:hint="eastAsia" w:ascii="宋体" w:hAnsi="宋体" w:cs="宋体"/>
                <w:bCs/>
                <w:kern w:val="0"/>
                <w:szCs w:val="21"/>
              </w:rPr>
              <w:t>（5）具有商用密码检测机构资质证书的得3分，满分3分；</w:t>
            </w:r>
          </w:p>
          <w:p w14:paraId="4D4B19E1">
            <w:pPr>
              <w:widowControl/>
              <w:spacing w:line="400" w:lineRule="exact"/>
              <w:jc w:val="left"/>
            </w:pPr>
            <w:r>
              <w:rPr>
                <w:rFonts w:hint="eastAsia" w:ascii="宋体" w:hAnsi="宋体" w:cs="宋体"/>
                <w:bCs/>
                <w:kern w:val="0"/>
                <w:szCs w:val="21"/>
              </w:rPr>
              <w:t>（6）具有CCRC信息安全服务资质认证证书风险评估服务资质的得3分，满分3分。</w:t>
            </w:r>
          </w:p>
          <w:p w14:paraId="52E861E6">
            <w:pPr>
              <w:widowControl/>
              <w:spacing w:line="400" w:lineRule="exact"/>
              <w:ind w:firstLine="420" w:firstLineChars="200"/>
              <w:jc w:val="left"/>
            </w:pPr>
            <w:r>
              <w:rPr>
                <w:rFonts w:hint="eastAsia" w:ascii="宋体" w:hAnsi="宋体" w:cs="宋体"/>
                <w:bCs/>
                <w:kern w:val="0"/>
                <w:szCs w:val="21"/>
              </w:rPr>
              <w:t>注：响应文件必须提供以上评分项中的有效证书或证明材料复印件并加盖供应商公章，未按要求提供证明材料或提供虚假材料的，该项不予以计分。</w:t>
            </w:r>
          </w:p>
        </w:tc>
        <w:tc>
          <w:tcPr>
            <w:tcW w:w="1007" w:type="dxa"/>
            <w:vAlign w:val="center"/>
          </w:tcPr>
          <w:p w14:paraId="41F3F43B">
            <w:pPr>
              <w:spacing w:line="400" w:lineRule="exact"/>
              <w:jc w:val="center"/>
              <w:rPr>
                <w:rFonts w:ascii="宋体" w:hAnsi="宋体"/>
                <w:kern w:val="0"/>
                <w:szCs w:val="21"/>
              </w:rPr>
            </w:pPr>
            <w:r>
              <w:rPr>
                <w:rFonts w:hint="eastAsia" w:ascii="宋体" w:hAnsi="宋体"/>
                <w:kern w:val="0"/>
                <w:szCs w:val="21"/>
              </w:rPr>
              <w:t>16</w:t>
            </w:r>
          </w:p>
        </w:tc>
      </w:tr>
      <w:tr w14:paraId="3515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01" w:type="dxa"/>
            <w:vAlign w:val="center"/>
          </w:tcPr>
          <w:p w14:paraId="51BFB5E0">
            <w:pPr>
              <w:spacing w:line="400" w:lineRule="exact"/>
              <w:jc w:val="center"/>
              <w:rPr>
                <w:rFonts w:ascii="宋体" w:hAnsi="宋体"/>
                <w:kern w:val="0"/>
                <w:szCs w:val="21"/>
              </w:rPr>
            </w:pPr>
            <w:r>
              <w:rPr>
                <w:rFonts w:hint="eastAsia" w:ascii="宋体" w:hAnsi="宋体"/>
                <w:kern w:val="0"/>
                <w:szCs w:val="21"/>
              </w:rPr>
              <w:t>3.2</w:t>
            </w:r>
          </w:p>
        </w:tc>
        <w:tc>
          <w:tcPr>
            <w:tcW w:w="959" w:type="dxa"/>
            <w:vAlign w:val="center"/>
          </w:tcPr>
          <w:p w14:paraId="0FB1328B">
            <w:pPr>
              <w:spacing w:line="400" w:lineRule="exact"/>
              <w:jc w:val="center"/>
              <w:rPr>
                <w:rFonts w:ascii="宋体" w:hAnsi="宋体"/>
                <w:szCs w:val="21"/>
              </w:rPr>
            </w:pPr>
            <w:r>
              <w:rPr>
                <w:rFonts w:hint="eastAsia" w:ascii="宋体" w:hAnsi="宋体"/>
                <w:szCs w:val="21"/>
              </w:rPr>
              <w:t>业绩分</w:t>
            </w:r>
          </w:p>
        </w:tc>
        <w:tc>
          <w:tcPr>
            <w:tcW w:w="6976" w:type="dxa"/>
            <w:vAlign w:val="center"/>
          </w:tcPr>
          <w:p w14:paraId="7393F850">
            <w:pPr>
              <w:widowControl/>
              <w:spacing w:line="400" w:lineRule="exact"/>
              <w:jc w:val="left"/>
              <w:rPr>
                <w:rFonts w:ascii="宋体" w:hAnsi="宋体" w:cs="宋体"/>
                <w:kern w:val="0"/>
                <w:sz w:val="22"/>
                <w:szCs w:val="22"/>
                <w:lang w:bidi="ar"/>
              </w:rPr>
            </w:pPr>
            <w:r>
              <w:rPr>
                <w:rFonts w:hint="eastAsia" w:ascii="宋体" w:hAnsi="宋体" w:cs="宋体"/>
                <w:kern w:val="0"/>
                <w:sz w:val="22"/>
                <w:szCs w:val="22"/>
                <w:lang w:bidi="ar"/>
              </w:rPr>
              <w:t>供应商自2022年1月1日以来</w:t>
            </w:r>
            <w:r>
              <w:rPr>
                <w:rFonts w:ascii="Segoe UI" w:hAnsi="Segoe UI" w:eastAsia="Segoe UI" w:cs="Segoe UI"/>
                <w:sz w:val="24"/>
                <w:shd w:val="clear" w:color="auto" w:fill="FFFFFF"/>
              </w:rPr>
              <w:t>具有同类</w:t>
            </w:r>
            <w:r>
              <w:rPr>
                <w:rFonts w:hint="eastAsia" w:ascii="Segoe UI" w:hAnsi="Segoe UI" w:cs="Segoe UI"/>
                <w:sz w:val="24"/>
                <w:shd w:val="clear" w:color="auto" w:fill="FFFFFF"/>
              </w:rPr>
              <w:t>全过程咨询</w:t>
            </w:r>
            <w:r>
              <w:rPr>
                <w:rFonts w:ascii="Segoe UI" w:hAnsi="Segoe UI" w:eastAsia="Segoe UI" w:cs="Segoe UI"/>
                <w:sz w:val="24"/>
                <w:shd w:val="clear" w:color="auto" w:fill="FFFFFF"/>
              </w:rPr>
              <w:t>业绩的</w:t>
            </w:r>
            <w:r>
              <w:rPr>
                <w:rFonts w:hint="eastAsia" w:ascii="Segoe UI" w:hAnsi="Segoe UI" w:cs="Segoe UI"/>
                <w:sz w:val="24"/>
                <w:shd w:val="clear" w:color="auto" w:fill="FFFFFF"/>
              </w:rPr>
              <w:t>每个得1分</w:t>
            </w:r>
            <w:r>
              <w:rPr>
                <w:rFonts w:hint="eastAsia" w:ascii="宋体" w:hAnsi="宋体" w:cs="宋体"/>
                <w:kern w:val="0"/>
                <w:sz w:val="22"/>
                <w:szCs w:val="22"/>
                <w:lang w:bidi="ar"/>
              </w:rPr>
              <w:t>，具有其他与本项目服务内容相关的咨询类业绩（如信息系统监理、软件测试、造价咨询、等保测评、密码应用安全性评估等）每个0.5分，满分3分。（提供中标通知书或合同复印件或扫描件并加盖公章）。</w:t>
            </w:r>
          </w:p>
        </w:tc>
        <w:tc>
          <w:tcPr>
            <w:tcW w:w="1007" w:type="dxa"/>
            <w:vAlign w:val="center"/>
          </w:tcPr>
          <w:p w14:paraId="228723E2">
            <w:pPr>
              <w:spacing w:line="400" w:lineRule="exact"/>
              <w:jc w:val="center"/>
              <w:rPr>
                <w:rFonts w:ascii="宋体" w:hAnsi="宋体"/>
                <w:kern w:val="0"/>
                <w:szCs w:val="21"/>
              </w:rPr>
            </w:pPr>
            <w:r>
              <w:rPr>
                <w:rFonts w:hint="eastAsia" w:ascii="宋体" w:hAnsi="宋体"/>
                <w:kern w:val="0"/>
                <w:szCs w:val="21"/>
              </w:rPr>
              <w:t>3</w:t>
            </w:r>
          </w:p>
        </w:tc>
      </w:tr>
      <w:tr w14:paraId="672B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736" w:type="dxa"/>
            <w:gridSpan w:val="3"/>
          </w:tcPr>
          <w:p w14:paraId="1EE87D28">
            <w:pPr>
              <w:spacing w:line="400" w:lineRule="exact"/>
              <w:jc w:val="left"/>
              <w:rPr>
                <w:rFonts w:ascii="宋体" w:hAnsi="宋体"/>
                <w:b/>
                <w:szCs w:val="21"/>
              </w:rPr>
            </w:pPr>
            <w:r>
              <w:rPr>
                <w:rFonts w:hint="eastAsia" w:ascii="宋体" w:hAnsi="宋体"/>
                <w:b/>
                <w:szCs w:val="21"/>
              </w:rPr>
              <w:t>总得分＝</w:t>
            </w:r>
            <w:r>
              <w:rPr>
                <w:rFonts w:hint="eastAsia" w:ascii="宋体" w:hAnsi="宋体" w:cs="宋体"/>
                <w:b/>
                <w:bCs/>
                <w:szCs w:val="21"/>
              </w:rPr>
              <w:t>1项+2项+3项</w:t>
            </w:r>
          </w:p>
        </w:tc>
        <w:tc>
          <w:tcPr>
            <w:tcW w:w="1007" w:type="dxa"/>
            <w:vAlign w:val="center"/>
          </w:tcPr>
          <w:p w14:paraId="2EB0450E">
            <w:pPr>
              <w:spacing w:line="400" w:lineRule="exact"/>
              <w:jc w:val="center"/>
              <w:rPr>
                <w:rFonts w:ascii="宋体" w:hAnsi="宋体"/>
                <w:b/>
                <w:kern w:val="0"/>
                <w:szCs w:val="21"/>
              </w:rPr>
            </w:pPr>
            <w:r>
              <w:rPr>
                <w:rFonts w:hint="eastAsia" w:ascii="宋体" w:hAnsi="宋体"/>
                <w:b/>
                <w:kern w:val="0"/>
                <w:szCs w:val="21"/>
              </w:rPr>
              <w:t>100分</w:t>
            </w:r>
          </w:p>
        </w:tc>
      </w:tr>
    </w:tbl>
    <w:p w14:paraId="7B945A9D">
      <w:pPr>
        <w:snapToGrid w:val="0"/>
        <w:spacing w:line="360" w:lineRule="auto"/>
        <w:ind w:firstLine="420" w:firstLineChars="200"/>
        <w:rPr>
          <w:rFonts w:hAnsi="宋体"/>
        </w:rPr>
      </w:pPr>
    </w:p>
    <w:p w14:paraId="458E002A">
      <w:pPr>
        <w:snapToGrid w:val="0"/>
        <w:spacing w:line="360" w:lineRule="auto"/>
        <w:ind w:firstLine="420" w:firstLineChars="200"/>
      </w:pPr>
      <w:r>
        <w:rPr>
          <w:rFonts w:hint="eastAsia" w:hAnsi="宋体"/>
        </w:rPr>
        <w:t>B分标中标标准：评标委员会将根据得分由高到低排列次序（得分相同时，以磋商报价由低到高顺序排列；得分相同且报价相同的，按技术指标优劣顺序排列）并推荐中标候选人，最多推荐5家中标候选人。</w:t>
      </w:r>
    </w:p>
    <w:p w14:paraId="002F7D35">
      <w:pPr>
        <w:snapToGrid w:val="0"/>
        <w:spacing w:line="360" w:lineRule="auto"/>
        <w:ind w:firstLine="420" w:firstLineChars="200"/>
        <w:rPr>
          <w:rFonts w:hAnsi="宋体"/>
        </w:rPr>
      </w:pPr>
      <w:r>
        <w:rPr>
          <w:rFonts w:hint="eastAsia" w:hAnsi="宋体"/>
        </w:rPr>
        <w:t>（三）A分标、B分标供应商可以就其中一个或多个分标竞标，一家供应商最多只能中其中一个分标，评标顺序为分标A→分标B；如某供应商被推荐为A分标中标候选人之一，则该供应商不进入B分标中标候选人排名。</w:t>
      </w:r>
    </w:p>
    <w:p w14:paraId="5BEA2DBF">
      <w:pPr>
        <w:pStyle w:val="2"/>
        <w:rPr>
          <w:rFonts w:ascii="宋体" w:eastAsia="Times New Roman"/>
          <w:b/>
          <w:bCs/>
          <w:sz w:val="44"/>
        </w:rPr>
      </w:pPr>
    </w:p>
    <w:p w14:paraId="6938349A">
      <w:pPr>
        <w:pStyle w:val="2"/>
        <w:ind w:left="0" w:leftChars="0"/>
        <w:jc w:val="center"/>
        <w:rPr>
          <w:rFonts w:ascii="隶书" w:eastAsia="隶书"/>
          <w:b/>
          <w:bCs/>
          <w:kern w:val="44"/>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楷体_GB2312">
    <w:altName w:val="宋体"/>
    <w:panose1 w:val="00000000000000000000"/>
    <w:charset w:val="86"/>
    <w:family w:val="auto"/>
    <w:pitch w:val="default"/>
    <w:sig w:usb0="00000000" w:usb1="00000000" w:usb2="00000012" w:usb3="00000000" w:csb0="00040001"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KSOF51510006">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A733A">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DA60B">
                          <w:pPr>
                            <w:pStyle w:val="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6FDA60B">
                    <w:pPr>
                      <w:pStyle w:val="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72B2E"/>
    <w:multiLevelType w:val="singleLevel"/>
    <w:tmpl w:val="01672B2E"/>
    <w:lvl w:ilvl="0" w:tentative="0">
      <w:start w:val="5"/>
      <w:numFmt w:val="chineseCounting"/>
      <w:suff w:val="nothing"/>
      <w:lvlText w:val="%1、"/>
      <w:lvlJc w:val="left"/>
      <w:rPr>
        <w:rFonts w:hint="eastAsia"/>
      </w:rPr>
    </w:lvl>
  </w:abstractNum>
  <w:abstractNum w:abstractNumId="1">
    <w:nsid w:val="40065907"/>
    <w:multiLevelType w:val="multilevel"/>
    <w:tmpl w:val="40065907"/>
    <w:lvl w:ilvl="0" w:tentative="0">
      <w:start w:val="1"/>
      <w:numFmt w:val="decimal"/>
      <w:lvlText w:val="%1）"/>
      <w:lvlJc w:val="left"/>
      <w:pPr>
        <w:tabs>
          <w:tab w:val="left" w:pos="420"/>
        </w:tabs>
        <w:ind w:left="420" w:hanging="420"/>
      </w:pPr>
      <w:rPr>
        <w:rFonts w:hint="eastAsia"/>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CA12A38"/>
    <w:multiLevelType w:val="singleLevel"/>
    <w:tmpl w:val="4CA12A38"/>
    <w:lvl w:ilvl="0" w:tentative="0">
      <w:start w:val="3"/>
      <w:numFmt w:val="decimal"/>
      <w:suff w:val="nothing"/>
      <w:lvlText w:val="（%1）"/>
      <w:lvlJc w:val="left"/>
    </w:lvl>
  </w:abstractNum>
  <w:abstractNum w:abstractNumId="3">
    <w:nsid w:val="5D276593"/>
    <w:multiLevelType w:val="multilevel"/>
    <w:tmpl w:val="5D276593"/>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65F0E45E"/>
    <w:multiLevelType w:val="singleLevel"/>
    <w:tmpl w:val="65F0E45E"/>
    <w:lvl w:ilvl="0" w:tentative="0">
      <w:start w:val="1"/>
      <w:numFmt w:val="chineseCounting"/>
      <w:suff w:val="nothing"/>
      <w:lvlText w:val="%1、"/>
      <w:lvlJc w:val="left"/>
      <w:rPr>
        <w:rFonts w:hint="eastAsia"/>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221"/>
    <w:rsid w:val="00162F1E"/>
    <w:rsid w:val="00306DD6"/>
    <w:rsid w:val="00322134"/>
    <w:rsid w:val="003A2C88"/>
    <w:rsid w:val="00543CC2"/>
    <w:rsid w:val="005E308A"/>
    <w:rsid w:val="0062540E"/>
    <w:rsid w:val="007748DD"/>
    <w:rsid w:val="00995CA1"/>
    <w:rsid w:val="009D1221"/>
    <w:rsid w:val="00A07226"/>
    <w:rsid w:val="00CB0B1E"/>
    <w:rsid w:val="00D63645"/>
    <w:rsid w:val="00DA003E"/>
    <w:rsid w:val="00DC0EBD"/>
    <w:rsid w:val="00E21268"/>
    <w:rsid w:val="00F954D1"/>
    <w:rsid w:val="040542AF"/>
    <w:rsid w:val="1FCD003A"/>
    <w:rsid w:val="27AB629C"/>
    <w:rsid w:val="380F5B62"/>
    <w:rsid w:val="3A6C738B"/>
    <w:rsid w:val="53991934"/>
    <w:rsid w:val="59451120"/>
    <w:rsid w:val="59885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4">
    <w:name w:val="Body Text"/>
    <w:basedOn w:val="1"/>
    <w:next w:val="1"/>
    <w:qFormat/>
    <w:uiPriority w:val="0"/>
    <w:pPr>
      <w:spacing w:after="120"/>
    </w:pPr>
  </w:style>
  <w:style w:type="paragraph" w:styleId="5">
    <w:name w:val="Body Text Indent"/>
    <w:basedOn w:val="1"/>
    <w:qFormat/>
    <w:uiPriority w:val="0"/>
    <w:pPr>
      <w:spacing w:line="200" w:lineRule="exact"/>
      <w:ind w:firstLine="301"/>
    </w:pPr>
    <w:rPr>
      <w:rFonts w:ascii="宋体" w:hAnsi="Courier New"/>
      <w:spacing w:val="-4"/>
      <w:sz w:val="18"/>
      <w:szCs w:val="20"/>
    </w:rPr>
  </w:style>
  <w:style w:type="paragraph" w:styleId="6">
    <w:name w:val="Plain Text"/>
    <w:basedOn w:val="1"/>
    <w:next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character" w:styleId="12">
    <w:name w:val="Strong"/>
    <w:qFormat/>
    <w:uiPriority w:val="0"/>
    <w:rPr>
      <w:b/>
    </w:rPr>
  </w:style>
  <w:style w:type="character" w:styleId="13">
    <w:name w:val="page number"/>
    <w:qFormat/>
    <w:uiPriority w:val="0"/>
  </w:style>
  <w:style w:type="paragraph" w:customStyle="1" w:styleId="14">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Table Text"/>
    <w:basedOn w:val="1"/>
    <w:semiHidden/>
    <w:qFormat/>
    <w:uiPriority w:val="0"/>
    <w:rPr>
      <w:rFonts w:ascii="宋体" w:hAnsi="宋体" w:cs="宋体"/>
      <w:szCs w:val="21"/>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1141</Words>
  <Characters>1225</Characters>
  <Lines>946</Lines>
  <Paragraphs>860</Paragraphs>
  <TotalTime>52</TotalTime>
  <ScaleCrop>false</ScaleCrop>
  <LinksUpToDate>false</LinksUpToDate>
  <CharactersWithSpaces>1276</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2026-09-04T00:11:00Z</dcterms:created>
  <dc:creator>lenovo</dc:creator>
  <cp:lastModifiedBy>刚</cp:lastModifiedBy>
  <dcterms:modified xsi:type="dcterms:W3CDTF">2026-09-04T06:59:26Z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eyJoZGlkIjoiN2RkOWYyODg5NzdmMDE5OThjMGMyNjNjMzI3NmNlNmQiLCJ1c2VySWQiOiI2MjI0MTAxMTUifQ==</vt:lpwstr>
  </property>
  <property fmtid="{D5CDD505-2E9C-101B-9397-08002B2CF9AE}" pid="4" name="ICV">
    <vt:lpwstr>B7799283A01841C28D81F0C0AD5B75BC_13</vt:lpwstr>
  </property>
</Properties>
</file>