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广西财经学院武鸣校区借用医科大田径场围网工程监理服务询价采购报价单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广西财经学院武鸣校区借用医科大田径场围网工程监理服务项目</w:t>
            </w:r>
          </w:p>
        </w:tc>
        <w:tc>
          <w:tcPr>
            <w:tcW w:w="4055" w:type="pct"/>
            <w:vAlign w:val="center"/>
          </w:tcPr>
          <w:p w14:paraId="56620F6B">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（一）建设地点：</w:t>
            </w:r>
          </w:p>
          <w:p w14:paraId="692F48E2">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广西南宁市武鸣区武华路武鸣段336号。</w:t>
            </w:r>
          </w:p>
          <w:p w14:paraId="4840028C">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（二）建设规模：</w:t>
            </w:r>
          </w:p>
          <w:p w14:paraId="60C8C470">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沿校区田径场跑道外侧建设田径场围网</w:t>
            </w:r>
            <w:r>
              <w:rPr>
                <w:rFonts w:hint="eastAsia" w:ascii="仿宋" w:hAnsi="仿宋" w:eastAsia="仿宋" w:cs="仿宋"/>
                <w:bCs/>
                <w:sz w:val="24"/>
                <w:szCs w:val="24"/>
                <w:lang w:eastAsia="zh-CN"/>
              </w:rPr>
              <w:t>。</w:t>
            </w:r>
          </w:p>
          <w:p w14:paraId="228ABB2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（三）采购内容：</w:t>
            </w:r>
          </w:p>
          <w:p w14:paraId="790CFCD4">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自发出成交通知书之日起至广西财经学院武鸣校区借用医科大田径场围网工程缺陷责任期满为止的全过程监理服务。</w:t>
            </w:r>
          </w:p>
          <w:p w14:paraId="77904615">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（四）上限控制价：</w:t>
            </w:r>
          </w:p>
          <w:p w14:paraId="3CBE6EA7">
            <w:pPr>
              <w:pStyle w:val="6"/>
              <w:keepNext w:val="0"/>
              <w:keepLines w:val="0"/>
              <w:pageBreakBefore w:val="0"/>
              <w:widowControl/>
              <w:kinsoku/>
              <w:wordWrap w:val="0"/>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人民币（大写）柒仟肆佰元整，（小写）¥</w:t>
            </w:r>
            <w:r>
              <w:rPr>
                <w:rFonts w:hint="eastAsia" w:ascii="仿宋" w:hAnsi="仿宋" w:eastAsia="仿宋" w:cs="仿宋"/>
                <w:bCs/>
                <w:kern w:val="2"/>
                <w:sz w:val="24"/>
                <w:szCs w:val="24"/>
                <w:lang w:val="en-US" w:eastAsia="zh-CN"/>
              </w:rPr>
              <w:t>7400</w:t>
            </w:r>
            <w:r>
              <w:rPr>
                <w:rFonts w:hint="eastAsia" w:ascii="仿宋" w:hAnsi="仿宋" w:eastAsia="仿宋" w:cs="仿宋"/>
                <w:bCs/>
                <w:kern w:val="2"/>
                <w:sz w:val="24"/>
                <w:szCs w:val="24"/>
              </w:rPr>
              <w:t>.00元。</w:t>
            </w:r>
          </w:p>
          <w:p w14:paraId="2B0408BB">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（五）服务周期：</w:t>
            </w:r>
          </w:p>
          <w:p w14:paraId="6CB48042">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自成交通知书发出之日起至本工程缺陷责任期满之日（以孰晚之日为准）止。</w:t>
            </w:r>
          </w:p>
          <w:p w14:paraId="637689A2">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（六）监理范围：</w:t>
            </w:r>
          </w:p>
          <w:p w14:paraId="2100CFAD">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运动场配套工程，田径场围网；以合同、设计图纸（含期间设计变更）及工程量清单所包含的全部详细施工内容为准。</w:t>
            </w:r>
          </w:p>
          <w:p w14:paraId="1B6F5B12">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七</w:t>
            </w:r>
            <w:r>
              <w:rPr>
                <w:rFonts w:ascii="仿宋" w:hAnsi="仿宋" w:eastAsia="仿宋" w:cs="仿宋"/>
                <w:b/>
                <w:sz w:val="24"/>
                <w:szCs w:val="24"/>
              </w:rPr>
              <w:t>）</w:t>
            </w:r>
            <w:r>
              <w:rPr>
                <w:rFonts w:hint="eastAsia" w:ascii="仿宋" w:hAnsi="仿宋" w:eastAsia="仿宋" w:cs="仿宋"/>
                <w:b/>
                <w:sz w:val="24"/>
                <w:szCs w:val="24"/>
              </w:rPr>
              <w:t>监理服务内容</w:t>
            </w:r>
            <w:r>
              <w:rPr>
                <w:rFonts w:ascii="仿宋" w:hAnsi="仿宋" w:eastAsia="仿宋" w:cs="仿宋"/>
                <w:b/>
                <w:sz w:val="24"/>
                <w:szCs w:val="24"/>
              </w:rPr>
              <w:t>：</w:t>
            </w:r>
          </w:p>
          <w:p w14:paraId="04D38E0B">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广西财经学院武鸣校区借用医科大田径场围网工程项目施工阶段和保修阶段的监理服务。</w:t>
            </w:r>
          </w:p>
          <w:p w14:paraId="420E3DC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八</w:t>
            </w:r>
            <w:r>
              <w:rPr>
                <w:rFonts w:ascii="仿宋" w:hAnsi="仿宋" w:eastAsia="仿宋" w:cs="仿宋"/>
                <w:b/>
                <w:sz w:val="24"/>
                <w:szCs w:val="24"/>
              </w:rPr>
              <w:t>）</w:t>
            </w:r>
            <w:r>
              <w:rPr>
                <w:rFonts w:hint="eastAsia" w:ascii="仿宋" w:hAnsi="仿宋" w:eastAsia="仿宋" w:cs="仿宋"/>
                <w:b/>
                <w:sz w:val="24"/>
                <w:szCs w:val="24"/>
              </w:rPr>
              <w:t>质量要求</w:t>
            </w:r>
            <w:r>
              <w:rPr>
                <w:rFonts w:ascii="仿宋" w:hAnsi="仿宋" w:eastAsia="仿宋" w:cs="仿宋"/>
                <w:b/>
                <w:sz w:val="24"/>
                <w:szCs w:val="24"/>
              </w:rPr>
              <w:t>：</w:t>
            </w:r>
          </w:p>
          <w:p w14:paraId="14FA15C4">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符合国家相关规范、要求合格标准。</w:t>
            </w:r>
          </w:p>
          <w:p w14:paraId="779EADA7">
            <w:pPr>
              <w:keepNext w:val="0"/>
              <w:keepLines w:val="0"/>
              <w:pageBreakBefore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九</w:t>
            </w:r>
            <w:r>
              <w:rPr>
                <w:rFonts w:ascii="仿宋" w:hAnsi="仿宋" w:eastAsia="仿宋" w:cs="仿宋"/>
                <w:b/>
                <w:sz w:val="24"/>
                <w:szCs w:val="24"/>
              </w:rPr>
              <w:t>）</w:t>
            </w:r>
            <w:r>
              <w:rPr>
                <w:rFonts w:hint="eastAsia" w:ascii="仿宋" w:hAnsi="仿宋" w:eastAsia="仿宋" w:cs="仿宋"/>
                <w:b/>
                <w:sz w:val="24"/>
                <w:szCs w:val="24"/>
              </w:rPr>
              <w:t>其他要求</w:t>
            </w:r>
            <w:r>
              <w:rPr>
                <w:rFonts w:ascii="仿宋" w:hAnsi="仿宋" w:eastAsia="仿宋" w:cs="仿宋"/>
                <w:b/>
                <w:sz w:val="24"/>
                <w:szCs w:val="24"/>
              </w:rPr>
              <w:t>：</w:t>
            </w:r>
          </w:p>
          <w:p w14:paraId="0AE6C1CA">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1.自行组织现场踏勘及调研工作，完成相关基础资料收集。2.服务周期内，因国家及地方有关政策、行业规范及标准变化引起的修改，修改补充所产生的费用由成交供应商承担。</w:t>
            </w:r>
          </w:p>
          <w:p w14:paraId="131D1502">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十</w:t>
            </w:r>
            <w:r>
              <w:rPr>
                <w:rFonts w:hint="eastAsia" w:ascii="仿宋" w:hAnsi="仿宋" w:eastAsia="仿宋" w:cs="仿宋"/>
                <w:b/>
                <w:sz w:val="24"/>
                <w:szCs w:val="24"/>
              </w:rPr>
              <w:t>）采购方式</w:t>
            </w:r>
          </w:p>
          <w:p w14:paraId="04D40862">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 询价采购</w:t>
            </w:r>
          </w:p>
          <w:p w14:paraId="67F9DAFD">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）供应商资格要求</w:t>
            </w:r>
          </w:p>
          <w:p w14:paraId="26BD2967">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（一）国内注册（指按国家有关规定要求注册的）经营本次采购服务的供应商。</w:t>
            </w:r>
          </w:p>
          <w:p w14:paraId="07677DDF">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（二）供应商负责人为同一人或者存在直接控股、管理关系的不同供应商，不得参加同一合同项下的采购活动。</w:t>
            </w:r>
          </w:p>
          <w:p w14:paraId="431D4E7F">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（三）供应商具备房屋建筑工程监理乙级（含）及以上或工程监理综合资质。</w:t>
            </w:r>
          </w:p>
          <w:p w14:paraId="1240AF7B">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（四）参加本次采购活动前三年内在经营活动中没有重大违法记录和不良信用记录。</w:t>
            </w:r>
          </w:p>
          <w:p w14:paraId="34A180A5">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（五）本项目不接受联合体报价。</w:t>
            </w:r>
          </w:p>
          <w:p w14:paraId="2EE07B89">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（六）若供应商在本校有三个以上（含三个）在建工程或未完成竣工验收项目的，不得参与本次采购活动。</w:t>
            </w:r>
          </w:p>
          <w:p w14:paraId="6A333BE4">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（七）供应商与广西财经学院没有发生过经济纠纷或违约记录。</w:t>
            </w:r>
          </w:p>
          <w:p w14:paraId="09932CCE">
            <w:pPr>
              <w:keepNext w:val="0"/>
              <w:keepLines w:val="0"/>
              <w:pageBreakBefore w:val="0"/>
              <w:widowControl/>
              <w:kinsoku/>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（八）凡近三年存在司法诉讼败诉或近三年内有司法纠纷且尚未解决的，均不具备竞标资格。</w:t>
            </w:r>
          </w:p>
          <w:p w14:paraId="4AA6B330">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二</w:t>
            </w:r>
            <w:r>
              <w:rPr>
                <w:rFonts w:hint="eastAsia" w:ascii="仿宋" w:hAnsi="仿宋" w:eastAsia="仿宋" w:cs="仿宋"/>
                <w:b/>
                <w:sz w:val="24"/>
                <w:szCs w:val="24"/>
              </w:rPr>
              <w:t>）采购需求响应</w:t>
            </w:r>
          </w:p>
          <w:p w14:paraId="4E34B440">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供应商需按如下要求对拟投入本项目人员作出实质性响应，并提交响应、偏离情况说明表（详见附件2），否则视为无效报价：</w:t>
            </w:r>
          </w:p>
          <w:p w14:paraId="157E1D64">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工程监理负责人（项目总监理工程师）资格要求：须具备房屋建筑工程专业国家注册监理工程师执业资格，并已办理广西建筑业企业诚信信息库入库手续且处于有效状态【不接受存在以下任一种情形的项目：（1）在广西行政区域外有担任项目总监的在监项目；（2）在广西全区范围内已经担任项目总监和（或）已列为第一中标候选人项目总监的工程个数达到3个的】。</w:t>
            </w:r>
          </w:p>
          <w:p w14:paraId="316ECA01">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（二）其他人员要求：监理员不少于2人。</w:t>
            </w:r>
          </w:p>
          <w:p w14:paraId="0F361A92">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（三）以上拟投入人员不得重复。</w:t>
            </w:r>
          </w:p>
          <w:p w14:paraId="22318D64">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（四）供应商需提供拟投入的项目负责人在报价截止日期前1个月（即2026年</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月或</w:t>
            </w:r>
            <w:r>
              <w:rPr>
                <w:rFonts w:hint="eastAsia" w:ascii="仿宋" w:hAnsi="仿宋" w:eastAsia="仿宋" w:cs="仿宋"/>
                <w:bCs/>
                <w:sz w:val="24"/>
                <w:szCs w:val="24"/>
                <w:lang w:val="en-US" w:eastAsia="zh-CN"/>
              </w:rPr>
              <w:t>5</w:t>
            </w:r>
            <w:r>
              <w:rPr>
                <w:rFonts w:hint="eastAsia" w:ascii="仿宋" w:hAnsi="仿宋" w:eastAsia="仿宋" w:cs="仿宋"/>
                <w:bCs/>
                <w:sz w:val="24"/>
                <w:szCs w:val="24"/>
              </w:rPr>
              <w:t>月）在本单位的社保缴纳证明。</w:t>
            </w:r>
          </w:p>
          <w:p w14:paraId="115F6813">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（五）以上拟投入人员不得随意更换，否则视为违约，业主有权终止合同，由此产生一切后果和责任由供应商承担。</w:t>
            </w:r>
          </w:p>
          <w:p w14:paraId="03FEF7F9">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三</w:t>
            </w:r>
            <w:r>
              <w:rPr>
                <w:rFonts w:hint="eastAsia" w:ascii="仿宋" w:hAnsi="仿宋" w:eastAsia="仿宋" w:cs="仿宋"/>
                <w:b/>
                <w:sz w:val="24"/>
                <w:szCs w:val="24"/>
              </w:rPr>
              <w:t>）报价要求</w:t>
            </w:r>
          </w:p>
          <w:p w14:paraId="44A4F4B8">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总价报价，报价不能超过本项目上限控制价。</w:t>
            </w:r>
          </w:p>
          <w:p w14:paraId="011DCBFF">
            <w:pPr>
              <w:keepNext w:val="0"/>
              <w:keepLines w:val="0"/>
              <w:pageBreakBefore w:val="0"/>
              <w:widowControl/>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四</w:t>
            </w:r>
            <w:r>
              <w:rPr>
                <w:rFonts w:hint="eastAsia" w:ascii="仿宋" w:hAnsi="仿宋" w:eastAsia="仿宋" w:cs="仿宋"/>
                <w:b/>
                <w:sz w:val="24"/>
                <w:szCs w:val="24"/>
              </w:rPr>
              <w:t>）付款方式</w:t>
            </w:r>
          </w:p>
          <w:p w14:paraId="1EF5B58D">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（一）本项目不设预付款。</w:t>
            </w:r>
          </w:p>
          <w:p w14:paraId="15D6CADE">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工程竣工结算后，监理单位提供所有监理项目完整合格监理资料并完成相关资料移交后，支付监理服务费至合同总价的100%。请款申请经业主审核通过后，自收到成交供应商合格发票（增值税专用发票）之日起14个工作日内支付。</w:t>
            </w:r>
          </w:p>
          <w:p w14:paraId="4E9BE167">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五</w:t>
            </w:r>
            <w:r>
              <w:rPr>
                <w:rFonts w:hint="eastAsia" w:ascii="仿宋" w:hAnsi="仿宋" w:eastAsia="仿宋" w:cs="仿宋"/>
                <w:b/>
                <w:sz w:val="24"/>
                <w:szCs w:val="24"/>
              </w:rPr>
              <w:t>）承包方式</w:t>
            </w:r>
          </w:p>
          <w:p w14:paraId="1A34D9D3">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总价包干（报价包括但不限于完成本项目所需的各项成本、人工费、材料费、管理费、专家评审费、开办费、税金及场地费、利润等所有费用）。</w:t>
            </w:r>
          </w:p>
          <w:p w14:paraId="36FC5D88">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六</w:t>
            </w:r>
            <w:r>
              <w:rPr>
                <w:rFonts w:hint="eastAsia" w:ascii="仿宋" w:hAnsi="仿宋" w:eastAsia="仿宋" w:cs="仿宋"/>
                <w:b/>
                <w:sz w:val="24"/>
                <w:szCs w:val="24"/>
              </w:rPr>
              <w:t>）履约保证金</w:t>
            </w:r>
          </w:p>
          <w:p w14:paraId="2A6E64D2">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（一）成交供应商自收到成交通知书之日起14日历天内按成交金额的5%提交履约保证金（如为中小企业，则履约保证金比例为2%），否则将取消其成交资格。</w:t>
            </w:r>
          </w:p>
          <w:p w14:paraId="6284AA9B">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（二）履约保证金的形式：银行转账、银行保函等非现金方式。</w:t>
            </w:r>
          </w:p>
          <w:p w14:paraId="31FC5939">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履约保证金的有效期必须涵盖上述工程竣工验收合格并对验收发现的问题完成整改后且供应商完善竣工资料手续的时间段。如果供应商无法获得一份不带具体截止日期的担保，履约担保中应当有“变更工程竣工日期的，保证期间按照变更后的竣工日期做相应调整”或类似约定的条款。</w:t>
            </w:r>
          </w:p>
          <w:p w14:paraId="7F554B65">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四）上述工程竣工验收合格且提交完整合格监理资料并完成相关资料移交后30天内退还给供应商（无息）。业主不承担成交供应商与履约保证金有关的任何利息或其他类似的费用或者收益，成交供应商在合同期限内不能履行合同义务或违约的，履约保证金不予退还。</w:t>
            </w:r>
          </w:p>
          <w:p w14:paraId="1CC6C0C9">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（五）履约保证金指定账户：</w:t>
            </w:r>
          </w:p>
          <w:p w14:paraId="72B3B15D">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开户名称：广西财经学院</w:t>
            </w:r>
          </w:p>
          <w:p w14:paraId="5096026A">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开户银行：中国银行南宁明秀西路支行</w:t>
            </w:r>
          </w:p>
          <w:p w14:paraId="5A88EFCC">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银行账号：611957485481</w:t>
            </w:r>
          </w:p>
          <w:p w14:paraId="33DC3908">
            <w:pPr>
              <w:keepNext w:val="0"/>
              <w:keepLines w:val="0"/>
              <w:pageBreakBefore w:val="0"/>
              <w:numPr>
                <w:ilvl w:val="255"/>
                <w:numId w:val="0"/>
              </w:numPr>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七</w:t>
            </w:r>
            <w:r>
              <w:rPr>
                <w:rFonts w:hint="eastAsia" w:ascii="仿宋" w:hAnsi="仿宋" w:eastAsia="仿宋" w:cs="仿宋"/>
                <w:b/>
                <w:sz w:val="24"/>
                <w:szCs w:val="24"/>
              </w:rPr>
              <w:t>）责任与义务</w:t>
            </w:r>
          </w:p>
          <w:p w14:paraId="441E21D9">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（一）项目总监理工程师每月在岗不少于15天，每缺岗一天，扣除罚金人民币300元/天。在岗天数均按8小时/天计。</w:t>
            </w:r>
          </w:p>
          <w:p w14:paraId="60E1700E">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（二）因主要监理人员不称职，业主要求调换而未及时调换的，视为供应商违约，必须向业主缴纳罚金人民币2000元/人•次。</w:t>
            </w:r>
          </w:p>
          <w:p w14:paraId="439A2EF1">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（三）未经业主书面同意，供应商擅自更换项目总监理工程师的视为违约，需缴纳违约金人民币3000元/人•次。</w:t>
            </w:r>
          </w:p>
          <w:p w14:paraId="0D4F6D20">
            <w:pPr>
              <w:keepNext w:val="0"/>
              <w:keepLines w:val="0"/>
              <w:pageBreakBefore w:val="0"/>
              <w:numPr>
                <w:ilvl w:val="255"/>
                <w:numId w:val="0"/>
              </w:numPr>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szCs w:val="24"/>
              </w:rPr>
              <w:t>（四）如在工程实施期间，因国家政策变化、政府对工程的计划调整或不可抗力等非业主原因造成工程停建的，则成交供应商必须接受终止服务并积极配合业主做好善后工作，按已实际完成的监理服务内容和相关约定结清监理报酬。</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3E796752">
            <w:pPr>
              <w:rPr>
                <w:rFonts w:hint="eastAsia" w:ascii="宋体" w:hAnsi="宋体"/>
                <w:b/>
                <w:sz w:val="24"/>
                <w:szCs w:val="32"/>
              </w:rPr>
            </w:pPr>
          </w:p>
          <w:p w14:paraId="1FCDE801">
            <w:pPr>
              <w:rPr>
                <w:rFonts w:hint="eastAsia" w:ascii="宋体" w:hAnsi="宋体"/>
                <w:b/>
                <w:sz w:val="24"/>
                <w:szCs w:val="32"/>
              </w:rPr>
            </w:pPr>
            <w:r>
              <w:rPr>
                <w:rFonts w:hint="eastAsia" w:ascii="宋体" w:hAnsi="宋体"/>
                <w:b/>
                <w:sz w:val="24"/>
                <w:szCs w:val="32"/>
              </w:rPr>
              <w:t>包干价：</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7AC7CEEC">
            <w:pPr>
              <w:rPr>
                <w:rFonts w:hint="eastAsia" w:ascii="宋体" w:hAnsi="宋体"/>
                <w:b/>
                <w:sz w:val="24"/>
                <w:szCs w:val="32"/>
                <w:u w:val="single"/>
              </w:rPr>
            </w:pP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w:t>
            </w:r>
            <w:bookmarkStart w:id="3" w:name="_GoBack"/>
            <w:r>
              <w:rPr>
                <w:rFonts w:hint="eastAsia" w:ascii="宋体" w:hAnsi="宋体"/>
                <w:bCs/>
                <w:sz w:val="24"/>
              </w:rPr>
              <w:t>期间</w:t>
            </w:r>
            <w:bookmarkEnd w:id="3"/>
            <w:r>
              <w:rPr>
                <w:rFonts w:hint="eastAsia" w:ascii="宋体" w:hAnsi="宋体"/>
                <w:bCs/>
                <w:sz w:val="24"/>
              </w:rPr>
              <w:t>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0" w:name="_Toc254970732"/>
      <w:bookmarkEnd w:id="0"/>
      <w:bookmarkStart w:id="1" w:name="_Toc173211904"/>
      <w:bookmarkEnd w:id="1"/>
      <w:bookmarkStart w:id="2" w:name="_Toc254970729"/>
      <w:bookmarkEnd w:id="2"/>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67E7145"/>
    <w:rsid w:val="09D45935"/>
    <w:rsid w:val="0A4B01E4"/>
    <w:rsid w:val="0AC10F38"/>
    <w:rsid w:val="0FDA6D75"/>
    <w:rsid w:val="135C2A18"/>
    <w:rsid w:val="173815B6"/>
    <w:rsid w:val="17657E11"/>
    <w:rsid w:val="184243B2"/>
    <w:rsid w:val="191C401F"/>
    <w:rsid w:val="1C0C56BC"/>
    <w:rsid w:val="1C9B42D4"/>
    <w:rsid w:val="1CEF742A"/>
    <w:rsid w:val="1EBB6528"/>
    <w:rsid w:val="1EE46634"/>
    <w:rsid w:val="222C71A7"/>
    <w:rsid w:val="25C119DF"/>
    <w:rsid w:val="25C36217"/>
    <w:rsid w:val="25F171B1"/>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B3143BB"/>
    <w:rsid w:val="5C2F0E19"/>
    <w:rsid w:val="5CC91C79"/>
    <w:rsid w:val="5D5C7F59"/>
    <w:rsid w:val="5E153A5E"/>
    <w:rsid w:val="5E1E4AEE"/>
    <w:rsid w:val="5FC20152"/>
    <w:rsid w:val="5FFF268C"/>
    <w:rsid w:val="61B56FEA"/>
    <w:rsid w:val="644B6723"/>
    <w:rsid w:val="65231C0C"/>
    <w:rsid w:val="65744A4C"/>
    <w:rsid w:val="69513A22"/>
    <w:rsid w:val="6B5576A6"/>
    <w:rsid w:val="6E5056F0"/>
    <w:rsid w:val="6FC75B1F"/>
    <w:rsid w:val="718906D9"/>
    <w:rsid w:val="71F02BFB"/>
    <w:rsid w:val="75955CEA"/>
    <w:rsid w:val="77112A42"/>
    <w:rsid w:val="777F5BFE"/>
    <w:rsid w:val="7A5A39E8"/>
    <w:rsid w:val="7C2914F4"/>
    <w:rsid w:val="7C4C3713"/>
    <w:rsid w:val="7C8C343C"/>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89c1ef46-edc5-4042-a8aa-9582482428fb</errorID>
      <errorWord>大</errorWord>
      <group>L1_Word</group>
      <groupName>字词问题</groupName>
      <ability>L2_Typo</ability>
      <abilityName>字词错误</abilityName>
      <candidateList>
        <item>大学</item>
      </candidateList>
      <explain/>
      <paraID>790CFCD4</paraID>
      <start>26</start>
      <end>27</end>
      <status>unmodified</status>
      <modifiedWord/>
      <trackRevisions>false</trackRevisions>
    </reviewItem>
    <reviewItem>
      <errorID>a827bd88-2c26-48d4-898b-c0b70e7e373e</errorID>
      <errorWord>:</errorWord>
      <group>L1_Format</group>
      <groupName>格式问题</groupName>
      <ability>L2_HalfPunc_CN</ability>
      <abilityName>全半角检查</abilityName>
      <candidateList>
        <item>：</item>
      </candidateList>
      <explain>文本全半角错误。</explain>
      <paraID>1FCDE801</paraID>
      <start>27</start>
      <end>28</end>
      <status>unmodified</status>
      <modifiedWord/>
      <trackRevisions>false</trackRevisions>
    </reviewItem>
    <reviewItem>
      <errorID>b60fd319-202d-4d46-b069-9ee6f4dd5322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2D064D51</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381c57f9-87e2-44d4-b10d-0c3a4698c2ba}">
  <ds:schemaRefs/>
</ds:datastoreItem>
</file>

<file path=docProps/app.xml><?xml version="1.0" encoding="utf-8"?>
<Properties xmlns="http://schemas.openxmlformats.org/officeDocument/2006/extended-properties" xmlns:vt="http://schemas.openxmlformats.org/officeDocument/2006/docPropsVTypes">
  <Template>Normal</Template>
  <Pages>3</Pages>
  <Words>2196</Words>
  <Characters>2238</Characters>
  <Lines>37</Lines>
  <Paragraphs>40</Paragraphs>
  <TotalTime>37</TotalTime>
  <ScaleCrop>false</ScaleCrop>
  <LinksUpToDate>false</LinksUpToDate>
  <CharactersWithSpaces>2276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2026-06-04T07:40:27Z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