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9CB61">
      <w:pPr>
        <w:rPr>
          <w:rFonts w:hint="eastAsia"/>
          <w:color w:val="auto"/>
        </w:rPr>
      </w:pPr>
    </w:p>
    <w:p w14:paraId="41607C65">
      <w:pPr>
        <w:rPr>
          <w:rFonts w:hint="eastAsia"/>
          <w:color w:val="auto"/>
        </w:rPr>
      </w:pPr>
    </w:p>
    <w:p w14:paraId="530523EA">
      <w:pPr>
        <w:rPr>
          <w:rFonts w:hint="eastAsia"/>
          <w:color w:val="auto"/>
        </w:rPr>
      </w:pPr>
    </w:p>
    <w:p w14:paraId="5E328BC2">
      <w:pPr>
        <w:pStyle w:val="4"/>
        <w:jc w:val="center"/>
        <w:rPr>
          <w:rFonts w:hint="eastAsia" w:hAnsi="宋体"/>
          <w:b/>
          <w:color w:val="auto"/>
          <w:sz w:val="52"/>
          <w:szCs w:val="52"/>
        </w:rPr>
      </w:pPr>
      <w:r>
        <w:rPr>
          <w:rFonts w:hint="eastAsia"/>
          <w:color w:val="auto"/>
        </w:rPr>
        <w:tab/>
      </w:r>
      <w:r>
        <w:rPr>
          <w:rFonts w:hint="eastAsia" w:hAnsi="宋体"/>
          <w:b/>
          <w:color w:val="auto"/>
          <w:sz w:val="52"/>
          <w:szCs w:val="52"/>
        </w:rPr>
        <w:t>2026年广西财经学院建设明秀校区智慧消防一期采购项目合同</w:t>
      </w:r>
    </w:p>
    <w:p w14:paraId="314D588F">
      <w:pPr>
        <w:pStyle w:val="4"/>
        <w:rPr>
          <w:rFonts w:hint="eastAsia" w:hAnsi="宋体"/>
          <w:color w:val="auto"/>
        </w:rPr>
      </w:pPr>
    </w:p>
    <w:p w14:paraId="26EA9B62">
      <w:pPr>
        <w:pStyle w:val="4"/>
        <w:rPr>
          <w:rFonts w:hint="eastAsia" w:hAnsi="宋体"/>
          <w:color w:val="auto"/>
        </w:rPr>
      </w:pPr>
    </w:p>
    <w:p w14:paraId="67D29B0B">
      <w:pPr>
        <w:pStyle w:val="4"/>
        <w:rPr>
          <w:rFonts w:hint="eastAsia" w:hAnsi="宋体"/>
          <w:color w:val="auto"/>
        </w:rPr>
      </w:pPr>
    </w:p>
    <w:p w14:paraId="70018C58">
      <w:pPr>
        <w:pStyle w:val="4"/>
        <w:rPr>
          <w:rFonts w:hint="eastAsia" w:hAnsi="宋体"/>
          <w:color w:val="auto"/>
        </w:rPr>
      </w:pPr>
    </w:p>
    <w:p w14:paraId="3DEE8450">
      <w:pPr>
        <w:pStyle w:val="4"/>
        <w:jc w:val="center"/>
        <w:rPr>
          <w:rFonts w:hint="eastAsia" w:hAnsi="宋体"/>
          <w:b/>
          <w:color w:val="auto"/>
          <w:sz w:val="32"/>
          <w:szCs w:val="32"/>
          <w:u w:val="single"/>
        </w:rPr>
      </w:pPr>
      <w:r>
        <w:rPr>
          <w:rFonts w:hint="eastAsia" w:hAnsi="宋体"/>
          <w:b/>
          <w:color w:val="auto"/>
          <w:sz w:val="32"/>
          <w:szCs w:val="32"/>
          <w:lang w:val="en-US" w:eastAsia="zh-CN"/>
        </w:rPr>
        <w:t xml:space="preserve">          </w:t>
      </w:r>
      <w:r>
        <w:rPr>
          <w:rFonts w:hint="eastAsia" w:hAnsi="宋体"/>
          <w:b/>
          <w:color w:val="auto"/>
          <w:sz w:val="32"/>
          <w:szCs w:val="32"/>
        </w:rPr>
        <w:t>合同名称：</w:t>
      </w:r>
      <w:r>
        <w:rPr>
          <w:rFonts w:hint="eastAsia" w:hAnsi="宋体"/>
          <w:b/>
          <w:color w:val="auto"/>
          <w:sz w:val="32"/>
          <w:szCs w:val="32"/>
          <w:u w:val="single"/>
        </w:rPr>
        <w:t xml:space="preserve"> 2026年广西财经学院建设明秀校区智慧消防一期采购项目采购合同</w:t>
      </w:r>
    </w:p>
    <w:p w14:paraId="05B76033">
      <w:pPr>
        <w:pStyle w:val="4"/>
        <w:ind w:firstLine="1590" w:firstLineChars="495"/>
        <w:rPr>
          <w:rFonts w:hint="eastAsia" w:hAnsi="宋体"/>
          <w:b/>
          <w:color w:val="auto"/>
          <w:sz w:val="32"/>
          <w:szCs w:val="32"/>
          <w:u w:val="single"/>
        </w:rPr>
      </w:pPr>
      <w:r>
        <w:rPr>
          <w:rFonts w:hint="eastAsia" w:hAnsi="宋体"/>
          <w:b/>
          <w:color w:val="auto"/>
          <w:sz w:val="32"/>
          <w:szCs w:val="32"/>
        </w:rPr>
        <w:t>合同编号：</w:t>
      </w:r>
      <w:r>
        <w:rPr>
          <w:rFonts w:hint="eastAsia" w:hAnsi="宋体"/>
          <w:b/>
          <w:color w:val="auto"/>
          <w:sz w:val="32"/>
          <w:szCs w:val="32"/>
          <w:u w:val="single"/>
        </w:rPr>
        <w:t xml:space="preserve">                    </w:t>
      </w:r>
    </w:p>
    <w:p w14:paraId="5F147AB2">
      <w:pPr>
        <w:pStyle w:val="4"/>
        <w:jc w:val="center"/>
        <w:rPr>
          <w:rFonts w:hint="eastAsia" w:hAnsi="宋体"/>
          <w:color w:val="auto"/>
        </w:rPr>
      </w:pPr>
    </w:p>
    <w:p w14:paraId="66F8501B">
      <w:pPr>
        <w:pStyle w:val="4"/>
        <w:jc w:val="center"/>
        <w:rPr>
          <w:rFonts w:hint="eastAsia" w:hAnsi="宋体"/>
          <w:color w:val="auto"/>
        </w:rPr>
      </w:pPr>
    </w:p>
    <w:p w14:paraId="043D3270">
      <w:pPr>
        <w:pStyle w:val="4"/>
        <w:jc w:val="center"/>
        <w:rPr>
          <w:rFonts w:hint="eastAsia" w:hAnsi="宋体"/>
          <w:color w:val="auto"/>
        </w:rPr>
      </w:pPr>
    </w:p>
    <w:p w14:paraId="5CFA6DFA">
      <w:pPr>
        <w:pStyle w:val="4"/>
        <w:spacing w:line="340" w:lineRule="exact"/>
        <w:ind w:firstLine="1590" w:firstLineChars="495"/>
        <w:rPr>
          <w:rFonts w:hint="eastAsia" w:hAnsi="宋体"/>
          <w:b/>
          <w:color w:val="auto"/>
          <w:sz w:val="32"/>
          <w:szCs w:val="32"/>
        </w:rPr>
      </w:pPr>
      <w:r>
        <w:rPr>
          <w:rFonts w:hint="eastAsia" w:hAnsi="宋体"/>
          <w:b/>
          <w:color w:val="auto"/>
          <w:sz w:val="32"/>
          <w:szCs w:val="32"/>
        </w:rPr>
        <w:t>采购人（甲方）</w:t>
      </w:r>
      <w:r>
        <w:rPr>
          <w:rFonts w:hint="eastAsia" w:hAnsi="宋体"/>
          <w:b/>
          <w:color w:val="auto"/>
          <w:sz w:val="32"/>
          <w:szCs w:val="32"/>
          <w:u w:val="single"/>
        </w:rPr>
        <w:t xml:space="preserve">   广西财经学院  </w:t>
      </w:r>
    </w:p>
    <w:p w14:paraId="5E09D696">
      <w:pPr>
        <w:pStyle w:val="4"/>
        <w:spacing w:line="340" w:lineRule="exact"/>
        <w:ind w:firstLine="1590" w:firstLineChars="495"/>
        <w:rPr>
          <w:rFonts w:hint="eastAsia" w:hAnsi="宋体"/>
          <w:b/>
          <w:color w:val="auto"/>
          <w:sz w:val="32"/>
          <w:szCs w:val="32"/>
        </w:rPr>
      </w:pPr>
    </w:p>
    <w:p w14:paraId="07245A64">
      <w:pPr>
        <w:pStyle w:val="4"/>
        <w:spacing w:line="340" w:lineRule="exact"/>
        <w:ind w:firstLine="1590" w:firstLineChars="495"/>
        <w:rPr>
          <w:rFonts w:hAnsi="宋体"/>
          <w:b/>
          <w:color w:val="auto"/>
          <w:sz w:val="32"/>
          <w:szCs w:val="32"/>
          <w:u w:val="single"/>
        </w:rPr>
      </w:pPr>
      <w:r>
        <w:rPr>
          <w:rFonts w:hint="eastAsia" w:hAnsi="宋体"/>
          <w:b/>
          <w:color w:val="auto"/>
          <w:sz w:val="32"/>
          <w:szCs w:val="32"/>
        </w:rPr>
        <w:t>住   所：</w:t>
      </w:r>
      <w:r>
        <w:rPr>
          <w:rFonts w:hint="eastAsia" w:hAnsi="宋体"/>
          <w:b/>
          <w:color w:val="auto"/>
          <w:sz w:val="32"/>
          <w:szCs w:val="32"/>
          <w:u w:val="single"/>
        </w:rPr>
        <w:t xml:space="preserve">    南宁市西乡塘区明秀西路100号      </w:t>
      </w:r>
    </w:p>
    <w:p w14:paraId="406AEF96">
      <w:pPr>
        <w:pStyle w:val="4"/>
        <w:spacing w:line="340" w:lineRule="exact"/>
        <w:ind w:firstLine="1590" w:firstLineChars="495"/>
        <w:rPr>
          <w:rFonts w:hint="eastAsia" w:hAnsi="宋体"/>
          <w:b/>
          <w:color w:val="auto"/>
          <w:sz w:val="32"/>
          <w:szCs w:val="32"/>
        </w:rPr>
      </w:pPr>
    </w:p>
    <w:p w14:paraId="4B388A84">
      <w:pPr>
        <w:pStyle w:val="4"/>
        <w:spacing w:line="340" w:lineRule="exact"/>
        <w:ind w:firstLine="1590" w:firstLineChars="495"/>
        <w:rPr>
          <w:rFonts w:hint="eastAsia" w:hAnsi="宋体"/>
          <w:b/>
          <w:color w:val="auto"/>
          <w:sz w:val="32"/>
          <w:szCs w:val="32"/>
        </w:rPr>
      </w:pPr>
      <w:bookmarkStart w:id="0" w:name="tip_risk_bookmark_1"/>
      <w:r>
        <w:rPr>
          <w:rFonts w:hint="eastAsia" w:hAnsi="宋体"/>
          <w:b/>
          <w:color w:val="auto"/>
          <w:sz w:val="32"/>
          <w:szCs w:val="32"/>
        </w:rPr>
        <w:t>供 应 商（乙方）</w:t>
      </w:r>
      <w:r>
        <w:rPr>
          <w:rFonts w:hint="eastAsia" w:hAnsi="宋体"/>
          <w:b/>
          <w:color w:val="auto"/>
          <w:sz w:val="32"/>
          <w:szCs w:val="32"/>
          <w:u w:val="single"/>
        </w:rPr>
        <w:t xml:space="preserve"> </w:t>
      </w:r>
      <w:r>
        <w:rPr>
          <w:rFonts w:hint="eastAsia" w:hAnsi="宋体"/>
          <w:b/>
          <w:color w:val="auto"/>
          <w:sz w:val="32"/>
          <w:szCs w:val="32"/>
          <w:u w:val="single"/>
          <w:lang w:val="en-US" w:eastAsia="zh-CN"/>
        </w:rPr>
        <w:t xml:space="preserve">            </w:t>
      </w:r>
      <w:r>
        <w:rPr>
          <w:rFonts w:hint="eastAsia" w:hAnsi="宋体"/>
          <w:b/>
          <w:color w:val="auto"/>
          <w:sz w:val="32"/>
          <w:szCs w:val="32"/>
          <w:u w:val="single"/>
        </w:rPr>
        <w:t xml:space="preserve">  </w:t>
      </w:r>
    </w:p>
    <w:p w14:paraId="3974CB68">
      <w:pPr>
        <w:pStyle w:val="4"/>
        <w:spacing w:line="340" w:lineRule="exact"/>
        <w:ind w:firstLine="990" w:firstLineChars="495"/>
        <w:rPr>
          <w:rFonts w:hint="eastAsia" w:hAnsi="宋体"/>
          <w:color w:val="auto"/>
        </w:rPr>
      </w:pPr>
      <w:r>
        <w:rPr>
          <w:rFonts w:hint="eastAsia" w:hAnsi="宋体"/>
          <w:color w:val="auto"/>
        </w:rPr>
        <w:t xml:space="preserve">     </w:t>
      </w:r>
    </w:p>
    <w:p w14:paraId="3A79DE08">
      <w:pPr>
        <w:pStyle w:val="4"/>
        <w:spacing w:line="340" w:lineRule="exact"/>
        <w:ind w:firstLine="1590" w:firstLineChars="495"/>
        <w:rPr>
          <w:rFonts w:hAnsi="宋体"/>
          <w:b/>
          <w:color w:val="auto"/>
          <w:sz w:val="32"/>
          <w:szCs w:val="32"/>
          <w:u w:val="single"/>
        </w:rPr>
      </w:pPr>
      <w:r>
        <w:rPr>
          <w:rFonts w:hint="eastAsia" w:hAnsi="宋体"/>
          <w:b/>
          <w:color w:val="auto"/>
          <w:sz w:val="32"/>
          <w:szCs w:val="32"/>
        </w:rPr>
        <w:t>住   所：</w:t>
      </w:r>
      <w:r>
        <w:rPr>
          <w:rFonts w:hint="eastAsia" w:hAnsi="宋体"/>
          <w:b/>
          <w:color w:val="auto"/>
          <w:sz w:val="32"/>
          <w:szCs w:val="32"/>
          <w:u w:val="single"/>
        </w:rPr>
        <w:t xml:space="preserve">  </w:t>
      </w:r>
      <w:bookmarkEnd w:id="0"/>
      <w:r>
        <w:rPr>
          <w:rFonts w:hint="eastAsia" w:hAnsi="宋体"/>
          <w:b/>
          <w:color w:val="auto"/>
          <w:sz w:val="32"/>
          <w:szCs w:val="32"/>
          <w:u w:val="single"/>
          <w:lang w:val="en-US" w:eastAsia="zh-CN"/>
        </w:rPr>
        <w:t xml:space="preserve">             </w:t>
      </w:r>
      <w:r>
        <w:rPr>
          <w:rFonts w:hint="eastAsia" w:hAnsi="宋体"/>
          <w:b/>
          <w:color w:val="auto"/>
          <w:sz w:val="32"/>
          <w:szCs w:val="32"/>
          <w:u w:val="single"/>
        </w:rPr>
        <w:t xml:space="preserve">   </w:t>
      </w:r>
    </w:p>
    <w:p w14:paraId="0E61E26C">
      <w:pPr>
        <w:pStyle w:val="4"/>
        <w:rPr>
          <w:rFonts w:hint="eastAsia" w:hAnsi="宋体"/>
          <w:color w:val="auto"/>
        </w:rPr>
      </w:pPr>
    </w:p>
    <w:p w14:paraId="06F9714D">
      <w:pPr>
        <w:pStyle w:val="4"/>
        <w:jc w:val="center"/>
        <w:rPr>
          <w:rFonts w:hint="eastAsia" w:hAnsi="宋体"/>
          <w:color w:val="auto"/>
        </w:rPr>
      </w:pPr>
    </w:p>
    <w:p w14:paraId="683338A8">
      <w:pPr>
        <w:pStyle w:val="4"/>
        <w:jc w:val="center"/>
        <w:rPr>
          <w:rFonts w:hint="eastAsia" w:hAnsi="宋体"/>
          <w:color w:val="auto"/>
        </w:rPr>
      </w:pPr>
    </w:p>
    <w:p w14:paraId="35143076">
      <w:pPr>
        <w:pStyle w:val="4"/>
        <w:jc w:val="center"/>
        <w:rPr>
          <w:rFonts w:hint="eastAsia" w:hAnsi="宋体"/>
          <w:color w:val="auto"/>
        </w:rPr>
      </w:pPr>
    </w:p>
    <w:p w14:paraId="61A9AFA2">
      <w:pPr>
        <w:pStyle w:val="4"/>
        <w:ind w:firstLine="1590" w:firstLineChars="495"/>
        <w:rPr>
          <w:rFonts w:hint="eastAsia" w:hAnsi="宋体"/>
          <w:b/>
          <w:color w:val="auto"/>
          <w:sz w:val="32"/>
          <w:szCs w:val="32"/>
          <w:u w:val="single"/>
        </w:rPr>
      </w:pPr>
      <w:r>
        <w:rPr>
          <w:rFonts w:hint="eastAsia" w:hAnsi="宋体"/>
          <w:b/>
          <w:color w:val="auto"/>
          <w:sz w:val="32"/>
          <w:szCs w:val="32"/>
        </w:rPr>
        <w:t>签订合同地点：</w:t>
      </w:r>
      <w:r>
        <w:rPr>
          <w:rFonts w:hint="eastAsia" w:hAnsi="宋体"/>
          <w:b/>
          <w:color w:val="auto"/>
          <w:sz w:val="32"/>
          <w:szCs w:val="32"/>
          <w:u w:val="single"/>
        </w:rPr>
        <w:t xml:space="preserve"> 广西南宁市（采购人指定地点） </w:t>
      </w:r>
    </w:p>
    <w:p w14:paraId="6D2490BC">
      <w:pPr>
        <w:pStyle w:val="4"/>
        <w:ind w:firstLine="1590" w:firstLineChars="495"/>
        <w:rPr>
          <w:rFonts w:hint="eastAsia" w:hAnsi="宋体"/>
          <w:b/>
          <w:color w:val="auto"/>
          <w:sz w:val="32"/>
          <w:szCs w:val="32"/>
        </w:rPr>
      </w:pPr>
      <w:r>
        <w:rPr>
          <w:rFonts w:hint="eastAsia" w:hAnsi="宋体"/>
          <w:b/>
          <w:color w:val="auto"/>
          <w:sz w:val="32"/>
          <w:szCs w:val="32"/>
        </w:rPr>
        <w:t>签订合同时间：</w:t>
      </w:r>
      <w:r>
        <w:rPr>
          <w:rFonts w:hint="eastAsia" w:hAnsi="宋体"/>
          <w:b/>
          <w:color w:val="auto"/>
          <w:sz w:val="32"/>
          <w:szCs w:val="32"/>
          <w:u w:val="single"/>
        </w:rPr>
        <w:t xml:space="preserve">                    </w:t>
      </w:r>
    </w:p>
    <w:p w14:paraId="36E70339">
      <w:pPr>
        <w:pStyle w:val="4"/>
        <w:jc w:val="center"/>
        <w:rPr>
          <w:rFonts w:hint="eastAsia" w:hAnsi="宋体"/>
          <w:color w:val="auto"/>
        </w:rPr>
      </w:pPr>
      <w:r>
        <w:rPr>
          <w:rFonts w:hint="eastAsia" w:hAnsi="宋体"/>
          <w:color w:val="auto"/>
        </w:rPr>
        <w:t xml:space="preserve"> </w:t>
      </w:r>
    </w:p>
    <w:p w14:paraId="2D32654D">
      <w:pPr>
        <w:pStyle w:val="4"/>
        <w:jc w:val="center"/>
        <w:rPr>
          <w:rFonts w:hint="eastAsia" w:hAnsi="宋体"/>
          <w:color w:val="auto"/>
        </w:rPr>
      </w:pPr>
    </w:p>
    <w:p w14:paraId="3C0594BF">
      <w:pPr>
        <w:pStyle w:val="4"/>
        <w:jc w:val="center"/>
        <w:rPr>
          <w:rFonts w:hint="eastAsia" w:hAnsi="宋体"/>
          <w:color w:val="auto"/>
        </w:rPr>
      </w:pPr>
    </w:p>
    <w:p w14:paraId="72965858">
      <w:pPr>
        <w:pStyle w:val="7"/>
        <w:rPr>
          <w:rFonts w:hint="eastAsia"/>
          <w:color w:val="auto"/>
        </w:rPr>
      </w:pPr>
    </w:p>
    <w:p w14:paraId="121124F9">
      <w:pPr>
        <w:spacing w:line="300" w:lineRule="auto"/>
        <w:jc w:val="center"/>
        <w:rPr>
          <w:rFonts w:hint="eastAsia" w:ascii="黑体" w:hAnsi="宋体" w:eastAsia="黑体"/>
          <w:b/>
          <w:bCs/>
          <w:color w:val="auto"/>
          <w:sz w:val="44"/>
          <w:szCs w:val="44"/>
        </w:rPr>
      </w:pPr>
      <w:r>
        <w:rPr>
          <w:rFonts w:hint="eastAsia" w:ascii="黑体" w:hAnsi="宋体" w:eastAsia="黑体"/>
          <w:b/>
          <w:color w:val="auto"/>
          <w:sz w:val="44"/>
          <w:szCs w:val="44"/>
        </w:rPr>
        <w:br w:type="page"/>
      </w:r>
    </w:p>
    <w:p w14:paraId="78CA9653">
      <w:pPr>
        <w:snapToGrid w:val="0"/>
        <w:spacing w:line="360" w:lineRule="exact"/>
        <w:ind w:right="480"/>
        <w:jc w:val="center"/>
        <w:rPr>
          <w:rFonts w:hint="eastAsia" w:ascii="宋体" w:hAnsi="宋体"/>
          <w:b/>
          <w:bCs/>
          <w:color w:val="auto"/>
          <w:sz w:val="32"/>
          <w:szCs w:val="32"/>
        </w:rPr>
      </w:pPr>
      <w:r>
        <w:rPr>
          <w:rFonts w:hint="eastAsia" w:ascii="宋体" w:hAnsi="宋体"/>
          <w:b/>
          <w:bCs/>
          <w:color w:val="auto"/>
          <w:sz w:val="32"/>
          <w:szCs w:val="32"/>
        </w:rPr>
        <w:t>2026年广西财经学院建设明秀校区智慧消防</w:t>
      </w:r>
    </w:p>
    <w:p w14:paraId="43B3F460">
      <w:pPr>
        <w:snapToGrid w:val="0"/>
        <w:spacing w:line="360" w:lineRule="exact"/>
        <w:ind w:right="480"/>
        <w:jc w:val="center"/>
        <w:rPr>
          <w:rFonts w:hint="eastAsia" w:ascii="宋体" w:hAnsi="宋体"/>
          <w:b/>
          <w:bCs/>
          <w:color w:val="auto"/>
          <w:sz w:val="32"/>
          <w:szCs w:val="32"/>
        </w:rPr>
      </w:pPr>
      <w:r>
        <w:rPr>
          <w:rFonts w:hint="eastAsia" w:ascii="宋体" w:hAnsi="宋体"/>
          <w:b/>
          <w:bCs/>
          <w:color w:val="auto"/>
          <w:sz w:val="32"/>
          <w:szCs w:val="32"/>
        </w:rPr>
        <w:t>一期</w:t>
      </w:r>
      <w:r>
        <w:rPr>
          <w:rFonts w:hint="eastAsia" w:ascii="宋体" w:hAnsi="宋体"/>
          <w:b/>
          <w:bCs/>
          <w:color w:val="auto"/>
          <w:sz w:val="32"/>
          <w:szCs w:val="32"/>
          <w:lang w:val="en-US" w:eastAsia="zh-CN"/>
        </w:rPr>
        <w:t>采购</w:t>
      </w:r>
      <w:r>
        <w:rPr>
          <w:rFonts w:hint="eastAsia" w:ascii="宋体" w:hAnsi="宋体"/>
          <w:b/>
          <w:bCs/>
          <w:color w:val="auto"/>
          <w:sz w:val="32"/>
          <w:szCs w:val="32"/>
        </w:rPr>
        <w:t>项目采购合同</w:t>
      </w:r>
    </w:p>
    <w:p w14:paraId="575D2C1B">
      <w:pPr>
        <w:snapToGrid w:val="0"/>
        <w:spacing w:line="360" w:lineRule="exact"/>
        <w:ind w:right="480"/>
        <w:jc w:val="center"/>
        <w:rPr>
          <w:rFonts w:hint="eastAsia" w:ascii="宋体" w:hAnsi="宋体"/>
          <w:bCs/>
          <w:color w:val="auto"/>
        </w:rPr>
      </w:pPr>
      <w:r>
        <w:rPr>
          <w:rFonts w:hint="eastAsia" w:ascii="宋体" w:hAnsi="宋体"/>
          <w:bCs/>
          <w:color w:val="auto"/>
        </w:rPr>
        <w:t xml:space="preserve">                                       合同编号：</w:t>
      </w:r>
    </w:p>
    <w:p w14:paraId="2A6422DE">
      <w:pPr>
        <w:snapToGrid w:val="0"/>
        <w:spacing w:line="360" w:lineRule="exact"/>
        <w:ind w:firstLine="3685" w:firstLineChars="1748"/>
        <w:rPr>
          <w:rFonts w:hint="eastAsia" w:ascii="宋体" w:hAnsi="宋体"/>
          <w:b/>
          <w:color w:val="auto"/>
        </w:rPr>
      </w:pPr>
    </w:p>
    <w:p w14:paraId="0A4D5335">
      <w:pPr>
        <w:snapToGrid w:val="0"/>
        <w:spacing w:line="360" w:lineRule="exact"/>
        <w:rPr>
          <w:rFonts w:hint="eastAsia" w:ascii="宋体" w:hAnsi="宋体"/>
          <w:color w:val="auto"/>
          <w:u w:val="single"/>
        </w:rPr>
      </w:pPr>
      <w:r>
        <w:rPr>
          <w:rFonts w:hint="eastAsia" w:ascii="宋体" w:hAnsi="宋体"/>
          <w:color w:val="auto"/>
        </w:rPr>
        <w:t xml:space="preserve">   </w:t>
      </w:r>
      <w:bookmarkStart w:id="1" w:name="tip_risk_bookmark_2"/>
      <w:r>
        <w:rPr>
          <w:rFonts w:hint="eastAsia" w:ascii="宋体" w:hAnsi="宋体"/>
          <w:color w:val="auto"/>
        </w:rPr>
        <w:t>采购单位（甲方）</w:t>
      </w:r>
      <w:r>
        <w:rPr>
          <w:rFonts w:hint="eastAsia" w:ascii="宋体" w:hAnsi="宋体"/>
          <w:color w:val="auto"/>
          <w:u w:val="single"/>
        </w:rPr>
        <w:t xml:space="preserve">      广西财经学院           </w:t>
      </w:r>
      <w:r>
        <w:rPr>
          <w:rFonts w:hint="eastAsia" w:ascii="宋体" w:hAnsi="宋体"/>
          <w:color w:val="auto"/>
          <w:spacing w:val="-20"/>
        </w:rPr>
        <w:t xml:space="preserve">  采 购 计 划 号</w:t>
      </w:r>
      <w:bookmarkEnd w:id="1"/>
      <w:r>
        <w:rPr>
          <w:rFonts w:hint="eastAsia" w:ascii="宋体" w:hAnsi="宋体"/>
          <w:color w:val="auto"/>
          <w:u w:val="single"/>
        </w:rPr>
        <w:t xml:space="preserve">                           </w:t>
      </w:r>
    </w:p>
    <w:p w14:paraId="7861C7D6">
      <w:pPr>
        <w:snapToGrid w:val="0"/>
        <w:spacing w:line="360" w:lineRule="exact"/>
        <w:rPr>
          <w:rFonts w:hint="eastAsia" w:ascii="宋体" w:hAnsi="宋体"/>
          <w:color w:val="auto"/>
          <w:u w:val="single"/>
        </w:rPr>
      </w:pPr>
    </w:p>
    <w:p w14:paraId="32D4868F">
      <w:pPr>
        <w:snapToGrid w:val="0"/>
        <w:spacing w:line="360" w:lineRule="exact"/>
        <w:rPr>
          <w:rFonts w:hint="eastAsia" w:ascii="宋体" w:hAnsi="宋体"/>
          <w:color w:val="auto"/>
        </w:rPr>
      </w:pPr>
      <w:r>
        <w:rPr>
          <w:rFonts w:hint="eastAsia" w:ascii="宋体" w:hAnsi="宋体"/>
          <w:color w:val="auto"/>
        </w:rPr>
        <w:t xml:space="preserve">   供 应 商（乙方）</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r>
        <w:rPr>
          <w:rFonts w:hint="eastAsia" w:ascii="宋体" w:hAnsi="宋体"/>
          <w:color w:val="auto"/>
        </w:rPr>
        <w:t xml:space="preserve"> </w:t>
      </w:r>
    </w:p>
    <w:p w14:paraId="7D8B1029">
      <w:pPr>
        <w:snapToGrid w:val="0"/>
        <w:spacing w:line="360" w:lineRule="exact"/>
        <w:rPr>
          <w:rFonts w:hint="eastAsia" w:ascii="宋体" w:hAnsi="宋体"/>
          <w:color w:val="auto"/>
        </w:rPr>
      </w:pPr>
    </w:p>
    <w:p w14:paraId="6D538DAB">
      <w:pPr>
        <w:snapToGrid w:val="0"/>
        <w:spacing w:line="360" w:lineRule="exact"/>
        <w:rPr>
          <w:rFonts w:hint="eastAsia" w:ascii="宋体" w:hAnsi="宋体"/>
          <w:color w:val="auto"/>
          <w:u w:val="single"/>
        </w:rPr>
      </w:pPr>
      <w:r>
        <w:rPr>
          <w:rFonts w:hint="eastAsia" w:ascii="宋体" w:hAnsi="宋体"/>
          <w:color w:val="auto"/>
        </w:rPr>
        <w:t>项目名称和编号</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p>
    <w:p w14:paraId="4B405CAF">
      <w:pPr>
        <w:snapToGrid w:val="0"/>
        <w:spacing w:line="360" w:lineRule="exact"/>
        <w:rPr>
          <w:rFonts w:hint="eastAsia" w:ascii="宋体" w:hAnsi="宋体"/>
          <w:color w:val="auto"/>
          <w:u w:val="single"/>
        </w:rPr>
      </w:pPr>
    </w:p>
    <w:p w14:paraId="62172F56">
      <w:pPr>
        <w:snapToGrid w:val="0"/>
        <w:spacing w:line="360" w:lineRule="exact"/>
        <w:rPr>
          <w:rFonts w:hint="eastAsia" w:ascii="宋体" w:hAnsi="宋体"/>
          <w:color w:val="auto"/>
          <w:u w:val="single"/>
        </w:rPr>
      </w:pPr>
      <w:r>
        <w:rPr>
          <w:rFonts w:hint="eastAsia" w:ascii="宋体" w:hAnsi="宋体"/>
          <w:color w:val="auto"/>
        </w:rPr>
        <w:t xml:space="preserve">   </w:t>
      </w:r>
      <w:bookmarkStart w:id="2" w:name="tip_risk_bookmark_3"/>
      <w:r>
        <w:rPr>
          <w:rFonts w:hint="eastAsia" w:ascii="宋体" w:hAnsi="宋体"/>
          <w:color w:val="auto"/>
        </w:rPr>
        <w:t xml:space="preserve">签  订  地  点  </w:t>
      </w:r>
      <w:r>
        <w:rPr>
          <w:rFonts w:hint="eastAsia" w:ascii="宋体" w:hAnsi="宋体"/>
          <w:color w:val="auto"/>
          <w:u w:val="single"/>
        </w:rPr>
        <w:t xml:space="preserve"> 广西南宁市（采购人指定地点）</w:t>
      </w:r>
      <w:r>
        <w:rPr>
          <w:rFonts w:hint="eastAsia" w:ascii="宋体" w:hAnsi="宋体"/>
          <w:color w:val="auto"/>
        </w:rPr>
        <w:t xml:space="preserve"> 签 订 时 间</w:t>
      </w:r>
      <w:bookmarkEnd w:id="2"/>
      <w:r>
        <w:rPr>
          <w:rFonts w:hint="eastAsia" w:ascii="宋体" w:hAnsi="宋体"/>
          <w:color w:val="auto"/>
        </w:rPr>
        <w:t xml:space="preserve"> </w:t>
      </w:r>
      <w:r>
        <w:rPr>
          <w:rFonts w:hint="eastAsia" w:ascii="宋体" w:hAnsi="宋体"/>
          <w:color w:val="auto"/>
          <w:u w:val="single"/>
        </w:rPr>
        <w:t xml:space="preserve">                         </w:t>
      </w:r>
    </w:p>
    <w:p w14:paraId="5404D85A">
      <w:pPr>
        <w:snapToGrid w:val="0"/>
        <w:spacing w:line="400" w:lineRule="exact"/>
        <w:ind w:firstLine="420" w:firstLineChars="200"/>
        <w:rPr>
          <w:rFonts w:hint="eastAsia" w:ascii="宋体" w:hAnsi="宋体"/>
          <w:color w:val="auto"/>
        </w:rPr>
      </w:pPr>
    </w:p>
    <w:p w14:paraId="3BFCFB81">
      <w:pPr>
        <w:pStyle w:val="4"/>
        <w:spacing w:line="400" w:lineRule="exact"/>
        <w:ind w:firstLine="420" w:firstLineChars="200"/>
        <w:rPr>
          <w:rFonts w:hint="eastAsia" w:hAnsi="宋体" w:eastAsia="宋体" w:cs="宋体"/>
          <w:color w:val="auto"/>
          <w:kern w:val="2"/>
          <w:sz w:val="21"/>
          <w:szCs w:val="24"/>
        </w:rPr>
      </w:pPr>
      <w:r>
        <w:rPr>
          <w:rFonts w:hint="eastAsia" w:hAnsi="宋体" w:eastAsia="宋体" w:cs="宋体"/>
          <w:color w:val="auto"/>
          <w:kern w:val="2"/>
          <w:sz w:val="21"/>
          <w:szCs w:val="24"/>
        </w:rPr>
        <w:t>合同使用说明：根据《中华人民共和国政府采购法》、《中华人民共和国民法典》等法律、法规规定，按照询价公告规定条款和成交供应商报价文件及其承诺，甲乙双方签订本合同。</w:t>
      </w:r>
    </w:p>
    <w:p w14:paraId="4D95C757">
      <w:pPr>
        <w:widowControl/>
        <w:adjustRightInd w:val="0"/>
        <w:snapToGrid w:val="0"/>
        <w:spacing w:line="400" w:lineRule="exact"/>
        <w:ind w:firstLine="422" w:firstLineChars="200"/>
        <w:jc w:val="left"/>
        <w:rPr>
          <w:rFonts w:ascii="宋体" w:hAnsi="宋体"/>
          <w:b/>
          <w:bCs/>
          <w:color w:val="auto"/>
          <w:kern w:val="0"/>
        </w:rPr>
      </w:pPr>
      <w:r>
        <w:rPr>
          <w:rFonts w:hint="eastAsia" w:ascii="宋体" w:hAnsi="宋体"/>
          <w:b/>
          <w:bCs/>
          <w:color w:val="auto"/>
          <w:kern w:val="0"/>
        </w:rPr>
        <w:t xml:space="preserve">第一条  </w:t>
      </w:r>
      <w:bookmarkStart w:id="3" w:name="tip_risk_bookmark_4"/>
      <w:r>
        <w:rPr>
          <w:rFonts w:hint="eastAsia" w:ascii="宋体" w:hAnsi="宋体"/>
          <w:b/>
          <w:bCs/>
          <w:color w:val="auto"/>
          <w:kern w:val="0"/>
        </w:rPr>
        <w:t>合同标的</w:t>
      </w:r>
    </w:p>
    <w:p w14:paraId="222FC9B6">
      <w:pPr>
        <w:snapToGrid w:val="0"/>
        <w:spacing w:line="360" w:lineRule="exact"/>
        <w:ind w:firstLine="420" w:firstLineChars="200"/>
        <w:rPr>
          <w:rFonts w:hint="eastAsia" w:ascii="宋体" w:hAnsi="宋体" w:cs="Arial"/>
          <w:color w:val="auto"/>
        </w:rPr>
      </w:pPr>
      <w:r>
        <w:rPr>
          <w:rFonts w:hint="eastAsia" w:ascii="宋体" w:hAnsi="宋体" w:cs="Arial"/>
          <w:color w:val="auto"/>
        </w:rPr>
        <w:t>1.供货一览表</w:t>
      </w:r>
    </w:p>
    <w:tbl>
      <w:tblPr>
        <w:tblStyle w:val="8"/>
        <w:tblW w:w="53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040"/>
        <w:gridCol w:w="934"/>
        <w:gridCol w:w="1269"/>
        <w:gridCol w:w="1477"/>
        <w:gridCol w:w="1047"/>
        <w:gridCol w:w="577"/>
        <w:gridCol w:w="1111"/>
        <w:gridCol w:w="1196"/>
      </w:tblGrid>
      <w:tr w14:paraId="5F59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7B90E9CB">
            <w:pPr>
              <w:snapToGrid w:val="0"/>
              <w:jc w:val="center"/>
              <w:rPr>
                <w:rFonts w:ascii="宋体" w:hAnsi="宋体" w:cs="Arial"/>
                <w:color w:val="auto"/>
                <w:sz w:val="21"/>
                <w:szCs w:val="21"/>
              </w:rPr>
            </w:pPr>
            <w:r>
              <w:rPr>
                <w:rFonts w:hint="eastAsia" w:ascii="宋体" w:hAnsi="宋体" w:cs="Arial"/>
                <w:color w:val="auto"/>
                <w:sz w:val="21"/>
                <w:szCs w:val="21"/>
              </w:rPr>
              <w:t>序号</w:t>
            </w:r>
          </w:p>
        </w:tc>
        <w:tc>
          <w:tcPr>
            <w:tcW w:w="571" w:type="pct"/>
            <w:tcBorders>
              <w:top w:val="single" w:color="auto" w:sz="4" w:space="0"/>
              <w:left w:val="single" w:color="auto" w:sz="4" w:space="0"/>
              <w:bottom w:val="single" w:color="auto" w:sz="4" w:space="0"/>
              <w:right w:val="single" w:color="auto" w:sz="4" w:space="0"/>
            </w:tcBorders>
            <w:noWrap w:val="0"/>
            <w:vAlign w:val="center"/>
          </w:tcPr>
          <w:p w14:paraId="078D1629">
            <w:pPr>
              <w:snapToGrid w:val="0"/>
              <w:jc w:val="center"/>
              <w:rPr>
                <w:rFonts w:ascii="宋体" w:hAnsi="宋体" w:cs="Arial"/>
                <w:color w:val="auto"/>
                <w:sz w:val="21"/>
                <w:szCs w:val="21"/>
              </w:rPr>
            </w:pPr>
            <w:r>
              <w:rPr>
                <w:rFonts w:hint="eastAsia" w:ascii="宋体" w:hAnsi="宋体" w:cs="Arial"/>
                <w:color w:val="auto"/>
                <w:sz w:val="21"/>
                <w:szCs w:val="21"/>
              </w:rPr>
              <w:t>标的</w:t>
            </w:r>
          </w:p>
          <w:p w14:paraId="247858E2">
            <w:pPr>
              <w:snapToGrid w:val="0"/>
              <w:jc w:val="center"/>
              <w:rPr>
                <w:rFonts w:ascii="宋体" w:hAnsi="宋体" w:cs="Arial"/>
                <w:color w:val="auto"/>
                <w:sz w:val="21"/>
                <w:szCs w:val="21"/>
              </w:rPr>
            </w:pPr>
            <w:r>
              <w:rPr>
                <w:rFonts w:hint="eastAsia" w:ascii="宋体" w:hAnsi="宋体" w:cs="Arial"/>
                <w:color w:val="auto"/>
                <w:sz w:val="21"/>
                <w:szCs w:val="21"/>
              </w:rPr>
              <w:t>名称</w:t>
            </w:r>
          </w:p>
        </w:tc>
        <w:tc>
          <w:tcPr>
            <w:tcW w:w="512" w:type="pct"/>
            <w:tcBorders>
              <w:top w:val="single" w:color="auto" w:sz="4" w:space="0"/>
              <w:left w:val="single" w:color="auto" w:sz="4" w:space="0"/>
              <w:bottom w:val="single" w:color="auto" w:sz="4" w:space="0"/>
              <w:right w:val="single" w:color="auto" w:sz="4" w:space="0"/>
            </w:tcBorders>
            <w:noWrap w:val="0"/>
            <w:vAlign w:val="center"/>
          </w:tcPr>
          <w:p w14:paraId="2E0451BD">
            <w:pPr>
              <w:snapToGrid w:val="0"/>
              <w:jc w:val="center"/>
              <w:rPr>
                <w:rFonts w:ascii="宋体" w:hAnsi="宋体" w:cs="Arial"/>
                <w:color w:val="auto"/>
                <w:sz w:val="21"/>
                <w:szCs w:val="21"/>
              </w:rPr>
            </w:pPr>
            <w:r>
              <w:rPr>
                <w:rFonts w:hint="eastAsia" w:ascii="宋体" w:hAnsi="宋体" w:cs="Arial"/>
                <w:color w:val="auto"/>
                <w:sz w:val="21"/>
                <w:szCs w:val="21"/>
              </w:rPr>
              <w:t>商标</w:t>
            </w:r>
          </w:p>
          <w:p w14:paraId="4DE7B274">
            <w:pPr>
              <w:snapToGrid w:val="0"/>
              <w:jc w:val="center"/>
              <w:rPr>
                <w:rFonts w:ascii="宋体" w:hAnsi="宋体" w:cs="Arial"/>
                <w:color w:val="auto"/>
                <w:sz w:val="21"/>
                <w:szCs w:val="21"/>
              </w:rPr>
            </w:pPr>
            <w:r>
              <w:rPr>
                <w:rFonts w:hint="eastAsia" w:ascii="宋体" w:hAnsi="宋体" w:cs="Arial"/>
                <w:color w:val="auto"/>
                <w:sz w:val="21"/>
                <w:szCs w:val="21"/>
              </w:rPr>
              <w:t>品牌</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19326DCF">
            <w:pPr>
              <w:snapToGrid w:val="0"/>
              <w:jc w:val="center"/>
              <w:rPr>
                <w:rFonts w:ascii="宋体" w:hAnsi="宋体" w:cs="Arial"/>
                <w:color w:val="auto"/>
                <w:sz w:val="21"/>
                <w:szCs w:val="21"/>
              </w:rPr>
            </w:pPr>
            <w:r>
              <w:rPr>
                <w:rFonts w:hint="eastAsia" w:ascii="宋体" w:hAnsi="宋体" w:cs="Arial"/>
                <w:color w:val="auto"/>
                <w:sz w:val="21"/>
                <w:szCs w:val="21"/>
              </w:rPr>
              <w:t>型号</w:t>
            </w:r>
          </w:p>
          <w:p w14:paraId="6E6E9FC5">
            <w:pPr>
              <w:snapToGrid w:val="0"/>
              <w:jc w:val="center"/>
              <w:rPr>
                <w:rFonts w:ascii="宋体" w:hAnsi="宋体" w:cs="Arial"/>
                <w:color w:val="auto"/>
                <w:sz w:val="21"/>
                <w:szCs w:val="21"/>
              </w:rPr>
            </w:pPr>
            <w:r>
              <w:rPr>
                <w:rFonts w:hint="eastAsia" w:ascii="宋体" w:hAnsi="宋体" w:cs="Arial"/>
                <w:color w:val="auto"/>
                <w:sz w:val="21"/>
                <w:szCs w:val="21"/>
              </w:rPr>
              <w:t>参数</w:t>
            </w:r>
          </w:p>
        </w:tc>
        <w:tc>
          <w:tcPr>
            <w:tcW w:w="811" w:type="pct"/>
            <w:tcBorders>
              <w:top w:val="single" w:color="auto" w:sz="4" w:space="0"/>
              <w:left w:val="single" w:color="auto" w:sz="4" w:space="0"/>
              <w:bottom w:val="single" w:color="auto" w:sz="4" w:space="0"/>
              <w:right w:val="single" w:color="auto" w:sz="4" w:space="0"/>
            </w:tcBorders>
            <w:noWrap w:val="0"/>
            <w:vAlign w:val="center"/>
          </w:tcPr>
          <w:p w14:paraId="6015FA35">
            <w:pPr>
              <w:snapToGrid w:val="0"/>
              <w:jc w:val="center"/>
              <w:rPr>
                <w:rFonts w:ascii="宋体" w:hAnsi="宋体" w:cs="Arial"/>
                <w:color w:val="auto"/>
                <w:sz w:val="21"/>
                <w:szCs w:val="21"/>
              </w:rPr>
            </w:pPr>
            <w:r>
              <w:rPr>
                <w:rFonts w:hint="eastAsia" w:ascii="宋体" w:hAnsi="宋体" w:cs="Arial"/>
                <w:color w:val="auto"/>
                <w:sz w:val="21"/>
                <w:szCs w:val="21"/>
              </w:rPr>
              <w:t>生产</w:t>
            </w:r>
          </w:p>
          <w:p w14:paraId="7F2484A0">
            <w:pPr>
              <w:snapToGrid w:val="0"/>
              <w:jc w:val="center"/>
              <w:rPr>
                <w:rFonts w:ascii="宋体" w:hAnsi="宋体" w:cs="Arial"/>
                <w:color w:val="auto"/>
                <w:sz w:val="21"/>
                <w:szCs w:val="21"/>
              </w:rPr>
            </w:pPr>
            <w:r>
              <w:rPr>
                <w:rFonts w:hint="eastAsia" w:ascii="宋体" w:hAnsi="宋体" w:cs="Arial"/>
                <w:color w:val="auto"/>
                <w:sz w:val="21"/>
                <w:szCs w:val="21"/>
              </w:rPr>
              <w:t>厂家</w:t>
            </w:r>
          </w:p>
        </w:tc>
        <w:tc>
          <w:tcPr>
            <w:tcW w:w="574" w:type="pct"/>
            <w:tcBorders>
              <w:top w:val="single" w:color="auto" w:sz="4" w:space="0"/>
              <w:left w:val="single" w:color="auto" w:sz="4" w:space="0"/>
              <w:bottom w:val="single" w:color="auto" w:sz="4" w:space="0"/>
              <w:right w:val="single" w:color="auto" w:sz="4" w:space="0"/>
            </w:tcBorders>
            <w:noWrap w:val="0"/>
            <w:vAlign w:val="center"/>
          </w:tcPr>
          <w:p w14:paraId="2549C0FD">
            <w:pPr>
              <w:snapToGrid w:val="0"/>
              <w:jc w:val="center"/>
              <w:rPr>
                <w:rFonts w:ascii="宋体" w:hAnsi="宋体" w:cs="Arial"/>
                <w:color w:val="auto"/>
                <w:sz w:val="21"/>
                <w:szCs w:val="21"/>
              </w:rPr>
            </w:pPr>
            <w:r>
              <w:rPr>
                <w:rFonts w:hint="eastAsia" w:ascii="宋体" w:hAnsi="宋体" w:cs="Arial"/>
                <w:color w:val="auto"/>
                <w:sz w:val="21"/>
                <w:szCs w:val="21"/>
              </w:rPr>
              <w:t>数量</w:t>
            </w:r>
          </w:p>
        </w:tc>
        <w:tc>
          <w:tcPr>
            <w:tcW w:w="316" w:type="pct"/>
            <w:tcBorders>
              <w:top w:val="single" w:color="auto" w:sz="4" w:space="0"/>
              <w:left w:val="single" w:color="auto" w:sz="4" w:space="0"/>
              <w:bottom w:val="single" w:color="auto" w:sz="4" w:space="0"/>
              <w:right w:val="single" w:color="auto" w:sz="4" w:space="0"/>
            </w:tcBorders>
            <w:noWrap w:val="0"/>
            <w:vAlign w:val="center"/>
          </w:tcPr>
          <w:p w14:paraId="1F1648A3">
            <w:pPr>
              <w:snapToGrid w:val="0"/>
              <w:jc w:val="center"/>
              <w:rPr>
                <w:rFonts w:ascii="宋体" w:hAnsi="宋体" w:cs="Arial"/>
                <w:color w:val="auto"/>
                <w:sz w:val="21"/>
                <w:szCs w:val="21"/>
              </w:rPr>
            </w:pPr>
            <w:r>
              <w:rPr>
                <w:rFonts w:hint="eastAsia" w:ascii="宋体" w:hAnsi="宋体" w:cs="Arial"/>
                <w:color w:val="auto"/>
                <w:sz w:val="21"/>
                <w:szCs w:val="21"/>
              </w:rPr>
              <w:t>单位</w:t>
            </w:r>
          </w:p>
        </w:tc>
        <w:tc>
          <w:tcPr>
            <w:tcW w:w="610" w:type="pct"/>
            <w:tcBorders>
              <w:top w:val="single" w:color="auto" w:sz="4" w:space="0"/>
              <w:left w:val="single" w:color="auto" w:sz="4" w:space="0"/>
              <w:bottom w:val="single" w:color="auto" w:sz="4" w:space="0"/>
              <w:right w:val="single" w:color="auto" w:sz="4" w:space="0"/>
            </w:tcBorders>
            <w:noWrap w:val="0"/>
            <w:vAlign w:val="center"/>
          </w:tcPr>
          <w:p w14:paraId="04AB5451">
            <w:pPr>
              <w:snapToGrid w:val="0"/>
              <w:jc w:val="center"/>
              <w:rPr>
                <w:rFonts w:ascii="宋体" w:hAnsi="宋体" w:cs="Arial"/>
                <w:color w:val="auto"/>
                <w:sz w:val="21"/>
                <w:szCs w:val="21"/>
              </w:rPr>
            </w:pPr>
            <w:r>
              <w:rPr>
                <w:rFonts w:hint="eastAsia" w:ascii="宋体" w:hAnsi="宋体" w:cs="Arial"/>
                <w:color w:val="auto"/>
                <w:sz w:val="21"/>
                <w:szCs w:val="21"/>
              </w:rPr>
              <w:t>单价</w:t>
            </w:r>
          </w:p>
          <w:p w14:paraId="5AEA1875">
            <w:pPr>
              <w:snapToGrid w:val="0"/>
              <w:jc w:val="center"/>
              <w:rPr>
                <w:rFonts w:ascii="宋体" w:hAnsi="宋体" w:cs="Arial"/>
                <w:color w:val="auto"/>
                <w:sz w:val="21"/>
                <w:szCs w:val="21"/>
              </w:rPr>
            </w:pPr>
            <w:r>
              <w:rPr>
                <w:rFonts w:hint="eastAsia" w:ascii="宋体" w:hAnsi="宋体" w:cs="Arial"/>
                <w:color w:val="auto"/>
                <w:sz w:val="21"/>
                <w:szCs w:val="21"/>
              </w:rPr>
              <w:t>（元）</w:t>
            </w:r>
          </w:p>
        </w:tc>
        <w:tc>
          <w:tcPr>
            <w:tcW w:w="656" w:type="pct"/>
            <w:tcBorders>
              <w:top w:val="single" w:color="auto" w:sz="4" w:space="0"/>
              <w:left w:val="single" w:color="auto" w:sz="4" w:space="0"/>
              <w:bottom w:val="single" w:color="auto" w:sz="4" w:space="0"/>
              <w:right w:val="single" w:color="auto" w:sz="4" w:space="0"/>
            </w:tcBorders>
            <w:noWrap w:val="0"/>
            <w:vAlign w:val="center"/>
          </w:tcPr>
          <w:p w14:paraId="35179D16">
            <w:pPr>
              <w:snapToGrid w:val="0"/>
              <w:jc w:val="center"/>
              <w:rPr>
                <w:rFonts w:ascii="宋体" w:hAnsi="宋体" w:cs="Arial"/>
                <w:color w:val="auto"/>
                <w:sz w:val="21"/>
                <w:szCs w:val="21"/>
              </w:rPr>
            </w:pPr>
            <w:r>
              <w:rPr>
                <w:rFonts w:hint="eastAsia" w:ascii="宋体" w:hAnsi="宋体" w:cs="Arial"/>
                <w:color w:val="auto"/>
                <w:sz w:val="21"/>
                <w:szCs w:val="21"/>
              </w:rPr>
              <w:t>金额</w:t>
            </w:r>
          </w:p>
          <w:p w14:paraId="628C7F89">
            <w:pPr>
              <w:snapToGrid w:val="0"/>
              <w:jc w:val="center"/>
              <w:rPr>
                <w:rFonts w:ascii="宋体" w:hAnsi="宋体" w:cs="Arial"/>
                <w:color w:val="auto"/>
                <w:sz w:val="21"/>
                <w:szCs w:val="21"/>
              </w:rPr>
            </w:pPr>
            <w:r>
              <w:rPr>
                <w:rFonts w:hint="eastAsia" w:ascii="宋体" w:hAnsi="宋体" w:cs="Arial"/>
                <w:color w:val="auto"/>
                <w:sz w:val="21"/>
                <w:szCs w:val="21"/>
              </w:rPr>
              <w:t>（元）</w:t>
            </w:r>
          </w:p>
        </w:tc>
      </w:tr>
      <w:tr w14:paraId="37CD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0B5A283B">
            <w:pPr>
              <w:keepNext w:val="0"/>
              <w:keepLines w:val="0"/>
              <w:widowControl/>
              <w:suppressLineNumbers w:val="0"/>
              <w:wordWrap/>
              <w:jc w:val="center"/>
              <w:textAlignment w:val="center"/>
              <w:rPr>
                <w:rFonts w:ascii="宋体" w:hAnsi="宋体" w:cs="Arial"/>
                <w:color w:val="auto"/>
                <w:sz w:val="21"/>
                <w:szCs w:val="21"/>
              </w:rPr>
            </w:pPr>
            <w:r>
              <w:rPr>
                <w:rFonts w:hint="eastAsia" w:ascii="宋体" w:hAnsi="宋体" w:eastAsia="宋体" w:cs="宋体"/>
                <w:b w:val="0"/>
                <w:bCs w:val="0"/>
                <w:i w:val="0"/>
                <w:iCs w:val="0"/>
                <w:color w:val="000000"/>
                <w:kern w:val="0"/>
                <w:sz w:val="21"/>
                <w:szCs w:val="21"/>
                <w:lang w:val="en-US" w:eastAsia="zh-CN" w:bidi="ar"/>
              </w:rPr>
              <w:t>1</w:t>
            </w:r>
          </w:p>
        </w:tc>
        <w:tc>
          <w:tcPr>
            <w:tcW w:w="571" w:type="pct"/>
            <w:tcBorders>
              <w:top w:val="single" w:color="auto" w:sz="4" w:space="0"/>
              <w:left w:val="single" w:color="auto" w:sz="4" w:space="0"/>
              <w:bottom w:val="single" w:color="auto" w:sz="4" w:space="0"/>
              <w:right w:val="single" w:color="auto" w:sz="4" w:space="0"/>
            </w:tcBorders>
            <w:noWrap w:val="0"/>
            <w:vAlign w:val="center"/>
          </w:tcPr>
          <w:p w14:paraId="0E6028E2">
            <w:pPr>
              <w:keepNext w:val="0"/>
              <w:keepLines w:val="0"/>
              <w:widowControl/>
              <w:suppressLineNumbers w:val="0"/>
              <w:wordWrap/>
              <w:jc w:val="center"/>
              <w:textAlignment w:val="center"/>
              <w:rPr>
                <w:rFonts w:ascii="宋体" w:hAnsi="宋体" w:cs="Arial"/>
                <w:color w:val="auto"/>
                <w:sz w:val="21"/>
                <w:szCs w:val="21"/>
              </w:rPr>
            </w:pPr>
          </w:p>
        </w:tc>
        <w:tc>
          <w:tcPr>
            <w:tcW w:w="512" w:type="pct"/>
            <w:tcBorders>
              <w:top w:val="single" w:color="auto" w:sz="4" w:space="0"/>
              <w:left w:val="single" w:color="auto" w:sz="4" w:space="0"/>
              <w:bottom w:val="single" w:color="auto" w:sz="4" w:space="0"/>
              <w:right w:val="single" w:color="auto" w:sz="4" w:space="0"/>
            </w:tcBorders>
            <w:noWrap w:val="0"/>
            <w:vAlign w:val="center"/>
          </w:tcPr>
          <w:p w14:paraId="5EF894C7">
            <w:pPr>
              <w:keepNext w:val="0"/>
              <w:keepLines w:val="0"/>
              <w:widowControl/>
              <w:suppressLineNumbers w:val="0"/>
              <w:wordWrap/>
              <w:jc w:val="center"/>
              <w:textAlignment w:val="center"/>
              <w:rPr>
                <w:rFonts w:ascii="宋体" w:hAnsi="宋体" w:cs="Arial"/>
                <w:color w:val="auto"/>
                <w:sz w:val="21"/>
                <w:szCs w:val="21"/>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69EFD24">
            <w:pPr>
              <w:keepNext w:val="0"/>
              <w:keepLines w:val="0"/>
              <w:widowControl/>
              <w:suppressLineNumbers w:val="0"/>
              <w:wordWrap/>
              <w:jc w:val="center"/>
              <w:textAlignment w:val="center"/>
              <w:rPr>
                <w:rFonts w:ascii="宋体" w:hAnsi="宋体" w:cs="Arial"/>
                <w:color w:val="auto"/>
                <w:sz w:val="21"/>
                <w:szCs w:val="21"/>
              </w:rPr>
            </w:pPr>
          </w:p>
        </w:tc>
        <w:tc>
          <w:tcPr>
            <w:tcW w:w="811" w:type="pct"/>
            <w:tcBorders>
              <w:top w:val="single" w:color="auto" w:sz="4" w:space="0"/>
              <w:left w:val="single" w:color="auto" w:sz="4" w:space="0"/>
              <w:bottom w:val="single" w:color="auto" w:sz="4" w:space="0"/>
              <w:right w:val="single" w:color="auto" w:sz="4" w:space="0"/>
            </w:tcBorders>
            <w:noWrap w:val="0"/>
            <w:vAlign w:val="center"/>
          </w:tcPr>
          <w:p w14:paraId="578AADDF">
            <w:pPr>
              <w:keepNext w:val="0"/>
              <w:keepLines w:val="0"/>
              <w:widowControl/>
              <w:suppressLineNumbers w:val="0"/>
              <w:wordWrap/>
              <w:jc w:val="center"/>
              <w:textAlignment w:val="center"/>
              <w:rPr>
                <w:rFonts w:ascii="宋体" w:hAnsi="宋体" w:cs="Arial"/>
                <w:color w:val="auto"/>
                <w:sz w:val="21"/>
                <w:szCs w:val="21"/>
              </w:rPr>
            </w:pPr>
          </w:p>
        </w:tc>
        <w:tc>
          <w:tcPr>
            <w:tcW w:w="574" w:type="pct"/>
            <w:tcBorders>
              <w:top w:val="single" w:color="auto" w:sz="4" w:space="0"/>
              <w:left w:val="single" w:color="auto" w:sz="4" w:space="0"/>
              <w:bottom w:val="single" w:color="auto" w:sz="4" w:space="0"/>
              <w:right w:val="single" w:color="auto" w:sz="4" w:space="0"/>
            </w:tcBorders>
            <w:noWrap w:val="0"/>
            <w:vAlign w:val="center"/>
          </w:tcPr>
          <w:p w14:paraId="20C080D9">
            <w:pPr>
              <w:keepNext w:val="0"/>
              <w:keepLines w:val="0"/>
              <w:widowControl/>
              <w:suppressLineNumbers w:val="0"/>
              <w:jc w:val="center"/>
              <w:textAlignment w:val="center"/>
              <w:rPr>
                <w:rFonts w:ascii="宋体" w:hAnsi="宋体" w:cs="Arial"/>
                <w:color w:val="auto"/>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75DAAB06">
            <w:pPr>
              <w:keepNext w:val="0"/>
              <w:keepLines w:val="0"/>
              <w:widowControl/>
              <w:suppressLineNumbers w:val="0"/>
              <w:jc w:val="center"/>
              <w:textAlignment w:val="center"/>
              <w:rPr>
                <w:rFonts w:ascii="宋体" w:hAnsi="宋体" w:cs="Arial"/>
                <w:color w:val="auto"/>
                <w:sz w:val="21"/>
                <w:szCs w:val="21"/>
              </w:rPr>
            </w:pPr>
          </w:p>
        </w:tc>
        <w:tc>
          <w:tcPr>
            <w:tcW w:w="610" w:type="pct"/>
            <w:tcBorders>
              <w:top w:val="single" w:color="auto" w:sz="4" w:space="0"/>
              <w:left w:val="single" w:color="auto" w:sz="4" w:space="0"/>
              <w:bottom w:val="single" w:color="auto" w:sz="4" w:space="0"/>
              <w:right w:val="single" w:color="auto" w:sz="4" w:space="0"/>
            </w:tcBorders>
            <w:noWrap w:val="0"/>
            <w:vAlign w:val="center"/>
          </w:tcPr>
          <w:p w14:paraId="1B07B2F2">
            <w:pPr>
              <w:keepNext w:val="0"/>
              <w:keepLines w:val="0"/>
              <w:widowControl/>
              <w:suppressLineNumbers w:val="0"/>
              <w:wordWrap/>
              <w:jc w:val="center"/>
              <w:textAlignment w:val="center"/>
              <w:rPr>
                <w:rFonts w:ascii="宋体" w:hAnsi="宋体" w:cs="Arial"/>
                <w:color w:val="auto"/>
                <w:sz w:val="21"/>
                <w:szCs w:val="21"/>
              </w:rPr>
            </w:pPr>
          </w:p>
        </w:tc>
        <w:tc>
          <w:tcPr>
            <w:tcW w:w="656" w:type="pct"/>
            <w:tcBorders>
              <w:top w:val="single" w:color="auto" w:sz="4" w:space="0"/>
              <w:left w:val="single" w:color="auto" w:sz="4" w:space="0"/>
              <w:bottom w:val="single" w:color="auto" w:sz="4" w:space="0"/>
              <w:right w:val="single" w:color="auto" w:sz="4" w:space="0"/>
            </w:tcBorders>
            <w:noWrap w:val="0"/>
            <w:vAlign w:val="center"/>
          </w:tcPr>
          <w:p w14:paraId="6A7D7172">
            <w:pPr>
              <w:keepNext w:val="0"/>
              <w:keepLines w:val="0"/>
              <w:widowControl/>
              <w:suppressLineNumbers w:val="0"/>
              <w:wordWrap/>
              <w:jc w:val="center"/>
              <w:textAlignment w:val="center"/>
              <w:rPr>
                <w:rFonts w:ascii="宋体" w:hAnsi="宋体" w:cs="Arial"/>
                <w:color w:val="auto"/>
                <w:sz w:val="21"/>
                <w:szCs w:val="21"/>
              </w:rPr>
            </w:pPr>
          </w:p>
        </w:tc>
      </w:tr>
      <w:tr w14:paraId="1DC8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7E66721A">
            <w:pPr>
              <w:keepNext w:val="0"/>
              <w:keepLines w:val="0"/>
              <w:widowControl/>
              <w:suppressLineNumbers w:val="0"/>
              <w:wordWrap/>
              <w:jc w:val="center"/>
              <w:textAlignment w:val="center"/>
              <w:rPr>
                <w:rFonts w:ascii="宋体" w:hAnsi="宋体" w:cs="Arial"/>
                <w:color w:val="auto"/>
                <w:sz w:val="21"/>
                <w:szCs w:val="21"/>
              </w:rPr>
            </w:pPr>
            <w:r>
              <w:rPr>
                <w:rFonts w:hint="eastAsia" w:ascii="宋体" w:hAnsi="宋体" w:eastAsia="宋体" w:cs="宋体"/>
                <w:b w:val="0"/>
                <w:bCs w:val="0"/>
                <w:i w:val="0"/>
                <w:iCs w:val="0"/>
                <w:color w:val="000000"/>
                <w:kern w:val="0"/>
                <w:sz w:val="21"/>
                <w:szCs w:val="21"/>
                <w:lang w:val="en-US" w:eastAsia="zh-CN" w:bidi="ar"/>
              </w:rPr>
              <w:t>2</w:t>
            </w:r>
          </w:p>
        </w:tc>
        <w:tc>
          <w:tcPr>
            <w:tcW w:w="571" w:type="pct"/>
            <w:tcBorders>
              <w:top w:val="single" w:color="auto" w:sz="4" w:space="0"/>
              <w:left w:val="single" w:color="auto" w:sz="4" w:space="0"/>
              <w:bottom w:val="single" w:color="auto" w:sz="4" w:space="0"/>
              <w:right w:val="single" w:color="auto" w:sz="4" w:space="0"/>
            </w:tcBorders>
            <w:noWrap w:val="0"/>
            <w:vAlign w:val="center"/>
          </w:tcPr>
          <w:p w14:paraId="60F41151">
            <w:pPr>
              <w:keepNext w:val="0"/>
              <w:keepLines w:val="0"/>
              <w:widowControl/>
              <w:suppressLineNumbers w:val="0"/>
              <w:wordWrap/>
              <w:jc w:val="center"/>
              <w:textAlignment w:val="center"/>
              <w:rPr>
                <w:rFonts w:ascii="宋体" w:hAnsi="宋体" w:cs="Arial"/>
                <w:color w:val="auto"/>
                <w:sz w:val="21"/>
                <w:szCs w:val="21"/>
              </w:rPr>
            </w:pPr>
          </w:p>
        </w:tc>
        <w:tc>
          <w:tcPr>
            <w:tcW w:w="512" w:type="pct"/>
            <w:tcBorders>
              <w:top w:val="single" w:color="auto" w:sz="4" w:space="0"/>
              <w:left w:val="single" w:color="auto" w:sz="4" w:space="0"/>
              <w:bottom w:val="single" w:color="auto" w:sz="4" w:space="0"/>
              <w:right w:val="single" w:color="auto" w:sz="4" w:space="0"/>
            </w:tcBorders>
            <w:noWrap w:val="0"/>
            <w:vAlign w:val="center"/>
          </w:tcPr>
          <w:p w14:paraId="77D0B394">
            <w:pPr>
              <w:keepNext w:val="0"/>
              <w:keepLines w:val="0"/>
              <w:widowControl/>
              <w:suppressLineNumbers w:val="0"/>
              <w:wordWrap/>
              <w:jc w:val="center"/>
              <w:textAlignment w:val="center"/>
              <w:rPr>
                <w:rFonts w:ascii="宋体" w:hAnsi="宋体" w:cs="Arial"/>
                <w:color w:val="auto"/>
                <w:sz w:val="21"/>
                <w:szCs w:val="21"/>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34D4990">
            <w:pPr>
              <w:keepNext w:val="0"/>
              <w:keepLines w:val="0"/>
              <w:widowControl/>
              <w:suppressLineNumbers w:val="0"/>
              <w:wordWrap/>
              <w:jc w:val="center"/>
              <w:textAlignment w:val="center"/>
              <w:rPr>
                <w:rFonts w:ascii="宋体" w:hAnsi="宋体" w:cs="Arial"/>
                <w:color w:val="auto"/>
                <w:sz w:val="21"/>
                <w:szCs w:val="21"/>
              </w:rPr>
            </w:pPr>
          </w:p>
        </w:tc>
        <w:tc>
          <w:tcPr>
            <w:tcW w:w="811" w:type="pct"/>
            <w:tcBorders>
              <w:top w:val="single" w:color="auto" w:sz="4" w:space="0"/>
              <w:left w:val="single" w:color="auto" w:sz="4" w:space="0"/>
              <w:bottom w:val="single" w:color="auto" w:sz="4" w:space="0"/>
              <w:right w:val="single" w:color="auto" w:sz="4" w:space="0"/>
            </w:tcBorders>
            <w:noWrap w:val="0"/>
            <w:vAlign w:val="center"/>
          </w:tcPr>
          <w:p w14:paraId="1F96F655">
            <w:pPr>
              <w:keepNext w:val="0"/>
              <w:keepLines w:val="0"/>
              <w:widowControl/>
              <w:suppressLineNumbers w:val="0"/>
              <w:wordWrap/>
              <w:jc w:val="center"/>
              <w:textAlignment w:val="center"/>
              <w:rPr>
                <w:rFonts w:ascii="宋体" w:hAnsi="宋体" w:cs="Arial"/>
                <w:color w:val="auto"/>
                <w:sz w:val="21"/>
                <w:szCs w:val="21"/>
              </w:rPr>
            </w:pPr>
          </w:p>
        </w:tc>
        <w:tc>
          <w:tcPr>
            <w:tcW w:w="574" w:type="pct"/>
            <w:tcBorders>
              <w:top w:val="single" w:color="auto" w:sz="4" w:space="0"/>
              <w:left w:val="single" w:color="auto" w:sz="4" w:space="0"/>
              <w:bottom w:val="single" w:color="auto" w:sz="4" w:space="0"/>
              <w:right w:val="single" w:color="auto" w:sz="4" w:space="0"/>
            </w:tcBorders>
            <w:noWrap w:val="0"/>
            <w:vAlign w:val="center"/>
          </w:tcPr>
          <w:p w14:paraId="70A727FD">
            <w:pPr>
              <w:keepNext w:val="0"/>
              <w:keepLines w:val="0"/>
              <w:widowControl/>
              <w:suppressLineNumbers w:val="0"/>
              <w:jc w:val="center"/>
              <w:textAlignment w:val="center"/>
              <w:rPr>
                <w:rFonts w:ascii="宋体" w:hAnsi="宋体" w:cs="Arial"/>
                <w:color w:val="auto"/>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7B4193C3">
            <w:pPr>
              <w:keepNext w:val="0"/>
              <w:keepLines w:val="0"/>
              <w:widowControl/>
              <w:suppressLineNumbers w:val="0"/>
              <w:jc w:val="center"/>
              <w:textAlignment w:val="center"/>
              <w:rPr>
                <w:rFonts w:ascii="宋体" w:hAnsi="宋体" w:cs="Arial"/>
                <w:color w:val="auto"/>
                <w:sz w:val="21"/>
                <w:szCs w:val="21"/>
              </w:rPr>
            </w:pPr>
          </w:p>
        </w:tc>
        <w:tc>
          <w:tcPr>
            <w:tcW w:w="610" w:type="pct"/>
            <w:tcBorders>
              <w:top w:val="single" w:color="auto" w:sz="4" w:space="0"/>
              <w:left w:val="single" w:color="auto" w:sz="4" w:space="0"/>
              <w:bottom w:val="single" w:color="auto" w:sz="4" w:space="0"/>
              <w:right w:val="single" w:color="auto" w:sz="4" w:space="0"/>
            </w:tcBorders>
            <w:noWrap w:val="0"/>
            <w:vAlign w:val="center"/>
          </w:tcPr>
          <w:p w14:paraId="2989DCE6">
            <w:pPr>
              <w:keepNext w:val="0"/>
              <w:keepLines w:val="0"/>
              <w:widowControl/>
              <w:suppressLineNumbers w:val="0"/>
              <w:wordWrap/>
              <w:jc w:val="center"/>
              <w:textAlignment w:val="center"/>
              <w:rPr>
                <w:rFonts w:ascii="宋体" w:hAnsi="宋体" w:cs="Arial"/>
                <w:color w:val="auto"/>
                <w:sz w:val="21"/>
                <w:szCs w:val="21"/>
              </w:rPr>
            </w:pPr>
          </w:p>
        </w:tc>
        <w:tc>
          <w:tcPr>
            <w:tcW w:w="656" w:type="pct"/>
            <w:tcBorders>
              <w:top w:val="single" w:color="auto" w:sz="4" w:space="0"/>
              <w:left w:val="single" w:color="auto" w:sz="4" w:space="0"/>
              <w:bottom w:val="single" w:color="auto" w:sz="4" w:space="0"/>
              <w:right w:val="single" w:color="auto" w:sz="4" w:space="0"/>
            </w:tcBorders>
            <w:noWrap w:val="0"/>
            <w:vAlign w:val="center"/>
          </w:tcPr>
          <w:p w14:paraId="2113C9D1">
            <w:pPr>
              <w:keepNext w:val="0"/>
              <w:keepLines w:val="0"/>
              <w:widowControl/>
              <w:suppressLineNumbers w:val="0"/>
              <w:wordWrap/>
              <w:jc w:val="center"/>
              <w:textAlignment w:val="center"/>
              <w:rPr>
                <w:rFonts w:ascii="宋体" w:hAnsi="宋体" w:cs="Arial"/>
                <w:color w:val="auto"/>
                <w:sz w:val="21"/>
                <w:szCs w:val="21"/>
              </w:rPr>
            </w:pPr>
          </w:p>
        </w:tc>
      </w:tr>
      <w:tr w14:paraId="22D5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53DF0BA5">
            <w:pPr>
              <w:keepNext w:val="0"/>
              <w:keepLines w:val="0"/>
              <w:widowControl/>
              <w:suppressLineNumbers w:val="0"/>
              <w:wordWrap/>
              <w:jc w:val="center"/>
              <w:textAlignment w:val="center"/>
              <w:rPr>
                <w:rFonts w:ascii="宋体" w:hAnsi="宋体" w:cs="Arial"/>
                <w:color w:val="auto"/>
                <w:sz w:val="21"/>
                <w:szCs w:val="21"/>
              </w:rPr>
            </w:pPr>
            <w:r>
              <w:rPr>
                <w:rFonts w:hint="eastAsia" w:ascii="宋体" w:hAnsi="宋体" w:eastAsia="宋体" w:cs="宋体"/>
                <w:b w:val="0"/>
                <w:bCs w:val="0"/>
                <w:i w:val="0"/>
                <w:iCs w:val="0"/>
                <w:color w:val="000000"/>
                <w:kern w:val="0"/>
                <w:sz w:val="21"/>
                <w:szCs w:val="21"/>
                <w:lang w:val="en-US" w:eastAsia="zh-CN" w:bidi="ar"/>
              </w:rPr>
              <w:t>3</w:t>
            </w:r>
          </w:p>
        </w:tc>
        <w:tc>
          <w:tcPr>
            <w:tcW w:w="571" w:type="pct"/>
            <w:tcBorders>
              <w:top w:val="single" w:color="auto" w:sz="4" w:space="0"/>
              <w:left w:val="single" w:color="auto" w:sz="4" w:space="0"/>
              <w:bottom w:val="single" w:color="auto" w:sz="4" w:space="0"/>
              <w:right w:val="single" w:color="auto" w:sz="4" w:space="0"/>
            </w:tcBorders>
            <w:noWrap w:val="0"/>
            <w:vAlign w:val="center"/>
          </w:tcPr>
          <w:p w14:paraId="7BB36C2D">
            <w:pPr>
              <w:keepNext w:val="0"/>
              <w:keepLines w:val="0"/>
              <w:widowControl/>
              <w:suppressLineNumbers w:val="0"/>
              <w:wordWrap/>
              <w:jc w:val="center"/>
              <w:textAlignment w:val="center"/>
              <w:rPr>
                <w:rFonts w:ascii="宋体" w:hAnsi="宋体" w:cs="Arial"/>
                <w:color w:val="auto"/>
                <w:sz w:val="21"/>
                <w:szCs w:val="21"/>
              </w:rPr>
            </w:pPr>
          </w:p>
        </w:tc>
        <w:tc>
          <w:tcPr>
            <w:tcW w:w="512" w:type="pct"/>
            <w:tcBorders>
              <w:top w:val="single" w:color="auto" w:sz="4" w:space="0"/>
              <w:left w:val="single" w:color="auto" w:sz="4" w:space="0"/>
              <w:bottom w:val="single" w:color="auto" w:sz="4" w:space="0"/>
              <w:right w:val="single" w:color="auto" w:sz="4" w:space="0"/>
            </w:tcBorders>
            <w:noWrap w:val="0"/>
            <w:vAlign w:val="center"/>
          </w:tcPr>
          <w:p w14:paraId="71E3D30B">
            <w:pPr>
              <w:keepNext w:val="0"/>
              <w:keepLines w:val="0"/>
              <w:widowControl/>
              <w:suppressLineNumbers w:val="0"/>
              <w:wordWrap/>
              <w:jc w:val="center"/>
              <w:textAlignment w:val="center"/>
              <w:rPr>
                <w:rFonts w:ascii="宋体" w:hAnsi="宋体" w:cs="Arial"/>
                <w:color w:val="auto"/>
                <w:sz w:val="21"/>
                <w:szCs w:val="21"/>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57D1397">
            <w:pPr>
              <w:keepNext w:val="0"/>
              <w:keepLines w:val="0"/>
              <w:widowControl/>
              <w:suppressLineNumbers w:val="0"/>
              <w:wordWrap/>
              <w:jc w:val="center"/>
              <w:textAlignment w:val="center"/>
              <w:rPr>
                <w:rFonts w:ascii="宋体" w:hAnsi="宋体" w:cs="Arial"/>
                <w:color w:val="auto"/>
                <w:sz w:val="21"/>
                <w:szCs w:val="21"/>
              </w:rPr>
            </w:pPr>
          </w:p>
        </w:tc>
        <w:tc>
          <w:tcPr>
            <w:tcW w:w="811" w:type="pct"/>
            <w:tcBorders>
              <w:top w:val="single" w:color="auto" w:sz="4" w:space="0"/>
              <w:left w:val="single" w:color="auto" w:sz="4" w:space="0"/>
              <w:bottom w:val="single" w:color="auto" w:sz="4" w:space="0"/>
              <w:right w:val="single" w:color="auto" w:sz="4" w:space="0"/>
            </w:tcBorders>
            <w:noWrap w:val="0"/>
            <w:vAlign w:val="center"/>
          </w:tcPr>
          <w:p w14:paraId="7E8B42FC">
            <w:pPr>
              <w:keepNext w:val="0"/>
              <w:keepLines w:val="0"/>
              <w:widowControl/>
              <w:suppressLineNumbers w:val="0"/>
              <w:wordWrap/>
              <w:jc w:val="center"/>
              <w:textAlignment w:val="center"/>
              <w:rPr>
                <w:rFonts w:ascii="宋体" w:hAnsi="宋体" w:cs="Arial"/>
                <w:color w:val="auto"/>
                <w:sz w:val="21"/>
                <w:szCs w:val="21"/>
              </w:rPr>
            </w:pPr>
          </w:p>
        </w:tc>
        <w:tc>
          <w:tcPr>
            <w:tcW w:w="574" w:type="pct"/>
            <w:tcBorders>
              <w:top w:val="single" w:color="auto" w:sz="4" w:space="0"/>
              <w:left w:val="single" w:color="auto" w:sz="4" w:space="0"/>
              <w:bottom w:val="single" w:color="auto" w:sz="4" w:space="0"/>
              <w:right w:val="single" w:color="auto" w:sz="4" w:space="0"/>
            </w:tcBorders>
            <w:noWrap w:val="0"/>
            <w:vAlign w:val="center"/>
          </w:tcPr>
          <w:p w14:paraId="4D5DF90F">
            <w:pPr>
              <w:keepNext w:val="0"/>
              <w:keepLines w:val="0"/>
              <w:widowControl/>
              <w:suppressLineNumbers w:val="0"/>
              <w:jc w:val="center"/>
              <w:textAlignment w:val="center"/>
              <w:rPr>
                <w:rFonts w:ascii="宋体" w:hAnsi="宋体" w:cs="Arial"/>
                <w:color w:val="auto"/>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6A4F790B">
            <w:pPr>
              <w:keepNext w:val="0"/>
              <w:keepLines w:val="0"/>
              <w:widowControl/>
              <w:suppressLineNumbers w:val="0"/>
              <w:jc w:val="center"/>
              <w:textAlignment w:val="center"/>
              <w:rPr>
                <w:rFonts w:ascii="宋体" w:hAnsi="宋体" w:cs="Arial"/>
                <w:color w:val="auto"/>
                <w:sz w:val="21"/>
                <w:szCs w:val="21"/>
              </w:rPr>
            </w:pPr>
          </w:p>
        </w:tc>
        <w:tc>
          <w:tcPr>
            <w:tcW w:w="610" w:type="pct"/>
            <w:tcBorders>
              <w:top w:val="single" w:color="auto" w:sz="4" w:space="0"/>
              <w:left w:val="single" w:color="auto" w:sz="4" w:space="0"/>
              <w:bottom w:val="single" w:color="auto" w:sz="4" w:space="0"/>
              <w:right w:val="single" w:color="auto" w:sz="4" w:space="0"/>
            </w:tcBorders>
            <w:noWrap w:val="0"/>
            <w:vAlign w:val="center"/>
          </w:tcPr>
          <w:p w14:paraId="737CD497">
            <w:pPr>
              <w:keepNext w:val="0"/>
              <w:keepLines w:val="0"/>
              <w:widowControl/>
              <w:suppressLineNumbers w:val="0"/>
              <w:wordWrap/>
              <w:jc w:val="center"/>
              <w:textAlignment w:val="center"/>
              <w:rPr>
                <w:rFonts w:ascii="宋体" w:hAnsi="宋体" w:cs="Arial"/>
                <w:color w:val="auto"/>
                <w:sz w:val="21"/>
                <w:szCs w:val="21"/>
              </w:rPr>
            </w:pPr>
          </w:p>
        </w:tc>
        <w:tc>
          <w:tcPr>
            <w:tcW w:w="656" w:type="pct"/>
            <w:tcBorders>
              <w:top w:val="single" w:color="auto" w:sz="4" w:space="0"/>
              <w:left w:val="single" w:color="auto" w:sz="4" w:space="0"/>
              <w:bottom w:val="single" w:color="auto" w:sz="4" w:space="0"/>
              <w:right w:val="single" w:color="auto" w:sz="4" w:space="0"/>
            </w:tcBorders>
            <w:noWrap w:val="0"/>
            <w:vAlign w:val="center"/>
          </w:tcPr>
          <w:p w14:paraId="5F991978">
            <w:pPr>
              <w:keepNext w:val="0"/>
              <w:keepLines w:val="0"/>
              <w:widowControl/>
              <w:suppressLineNumbers w:val="0"/>
              <w:wordWrap/>
              <w:jc w:val="center"/>
              <w:textAlignment w:val="center"/>
              <w:rPr>
                <w:rFonts w:ascii="宋体" w:hAnsi="宋体" w:cs="Arial"/>
                <w:color w:val="auto"/>
                <w:sz w:val="21"/>
                <w:szCs w:val="21"/>
              </w:rPr>
            </w:pPr>
          </w:p>
        </w:tc>
      </w:tr>
      <w:tr w14:paraId="296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18E2EFDE">
            <w:pPr>
              <w:keepNext w:val="0"/>
              <w:keepLines w:val="0"/>
              <w:widowControl/>
              <w:suppressLineNumbers w:val="0"/>
              <w:wordWrap/>
              <w:jc w:val="center"/>
              <w:textAlignment w:val="center"/>
              <w:rPr>
                <w:rFonts w:ascii="宋体" w:hAnsi="宋体" w:cs="Arial"/>
                <w:color w:val="auto"/>
                <w:sz w:val="21"/>
                <w:szCs w:val="21"/>
              </w:rPr>
            </w:pPr>
            <w:r>
              <w:rPr>
                <w:rFonts w:hint="eastAsia" w:ascii="宋体" w:hAnsi="宋体" w:eastAsia="宋体" w:cs="宋体"/>
                <w:b w:val="0"/>
                <w:bCs w:val="0"/>
                <w:i w:val="0"/>
                <w:iCs w:val="0"/>
                <w:color w:val="000000"/>
                <w:kern w:val="0"/>
                <w:sz w:val="21"/>
                <w:szCs w:val="21"/>
                <w:lang w:val="en-US" w:eastAsia="zh-CN" w:bidi="ar"/>
              </w:rPr>
              <w:t>4</w:t>
            </w:r>
          </w:p>
        </w:tc>
        <w:tc>
          <w:tcPr>
            <w:tcW w:w="571" w:type="pct"/>
            <w:tcBorders>
              <w:top w:val="single" w:color="auto" w:sz="4" w:space="0"/>
              <w:left w:val="single" w:color="auto" w:sz="4" w:space="0"/>
              <w:bottom w:val="single" w:color="auto" w:sz="4" w:space="0"/>
              <w:right w:val="single" w:color="auto" w:sz="4" w:space="0"/>
            </w:tcBorders>
            <w:noWrap w:val="0"/>
            <w:vAlign w:val="center"/>
          </w:tcPr>
          <w:p w14:paraId="07F5F080">
            <w:pPr>
              <w:keepNext w:val="0"/>
              <w:keepLines w:val="0"/>
              <w:widowControl/>
              <w:suppressLineNumbers w:val="0"/>
              <w:wordWrap/>
              <w:jc w:val="center"/>
              <w:textAlignment w:val="center"/>
              <w:rPr>
                <w:rFonts w:ascii="宋体" w:hAnsi="宋体" w:cs="Arial"/>
                <w:color w:val="auto"/>
                <w:sz w:val="21"/>
                <w:szCs w:val="21"/>
              </w:rPr>
            </w:pPr>
          </w:p>
        </w:tc>
        <w:tc>
          <w:tcPr>
            <w:tcW w:w="512" w:type="pct"/>
            <w:tcBorders>
              <w:top w:val="single" w:color="auto" w:sz="4" w:space="0"/>
              <w:left w:val="single" w:color="auto" w:sz="4" w:space="0"/>
              <w:bottom w:val="single" w:color="auto" w:sz="4" w:space="0"/>
              <w:right w:val="single" w:color="auto" w:sz="4" w:space="0"/>
            </w:tcBorders>
            <w:noWrap w:val="0"/>
            <w:vAlign w:val="center"/>
          </w:tcPr>
          <w:p w14:paraId="19AFA8E6">
            <w:pPr>
              <w:keepNext w:val="0"/>
              <w:keepLines w:val="0"/>
              <w:widowControl/>
              <w:suppressLineNumbers w:val="0"/>
              <w:wordWrap/>
              <w:jc w:val="center"/>
              <w:textAlignment w:val="center"/>
              <w:rPr>
                <w:rFonts w:ascii="宋体" w:hAnsi="宋体" w:cs="Arial"/>
                <w:color w:val="auto"/>
                <w:sz w:val="21"/>
                <w:szCs w:val="21"/>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EB1CA1B">
            <w:pPr>
              <w:keepNext w:val="0"/>
              <w:keepLines w:val="0"/>
              <w:widowControl/>
              <w:suppressLineNumbers w:val="0"/>
              <w:wordWrap/>
              <w:jc w:val="center"/>
              <w:textAlignment w:val="center"/>
              <w:rPr>
                <w:rFonts w:ascii="宋体" w:hAnsi="宋体" w:cs="Arial"/>
                <w:color w:val="auto"/>
                <w:sz w:val="21"/>
                <w:szCs w:val="21"/>
              </w:rPr>
            </w:pPr>
          </w:p>
        </w:tc>
        <w:tc>
          <w:tcPr>
            <w:tcW w:w="811" w:type="pct"/>
            <w:tcBorders>
              <w:top w:val="single" w:color="auto" w:sz="4" w:space="0"/>
              <w:left w:val="single" w:color="auto" w:sz="4" w:space="0"/>
              <w:bottom w:val="single" w:color="auto" w:sz="4" w:space="0"/>
              <w:right w:val="single" w:color="auto" w:sz="4" w:space="0"/>
            </w:tcBorders>
            <w:noWrap w:val="0"/>
            <w:vAlign w:val="center"/>
          </w:tcPr>
          <w:p w14:paraId="306D1144">
            <w:pPr>
              <w:keepNext w:val="0"/>
              <w:keepLines w:val="0"/>
              <w:widowControl/>
              <w:suppressLineNumbers w:val="0"/>
              <w:wordWrap/>
              <w:jc w:val="center"/>
              <w:textAlignment w:val="center"/>
              <w:rPr>
                <w:rFonts w:ascii="宋体" w:hAnsi="宋体" w:cs="Arial"/>
                <w:color w:val="auto"/>
                <w:sz w:val="21"/>
                <w:szCs w:val="21"/>
              </w:rPr>
            </w:pPr>
          </w:p>
        </w:tc>
        <w:tc>
          <w:tcPr>
            <w:tcW w:w="574" w:type="pct"/>
            <w:tcBorders>
              <w:top w:val="single" w:color="auto" w:sz="4" w:space="0"/>
              <w:left w:val="single" w:color="auto" w:sz="4" w:space="0"/>
              <w:bottom w:val="single" w:color="auto" w:sz="4" w:space="0"/>
              <w:right w:val="single" w:color="auto" w:sz="4" w:space="0"/>
            </w:tcBorders>
            <w:noWrap w:val="0"/>
            <w:vAlign w:val="center"/>
          </w:tcPr>
          <w:p w14:paraId="7B4D8133">
            <w:pPr>
              <w:keepNext w:val="0"/>
              <w:keepLines w:val="0"/>
              <w:widowControl/>
              <w:suppressLineNumbers w:val="0"/>
              <w:jc w:val="center"/>
              <w:textAlignment w:val="center"/>
              <w:rPr>
                <w:rFonts w:ascii="宋体" w:hAnsi="宋体" w:cs="Arial"/>
                <w:color w:val="auto"/>
                <w:sz w:val="21"/>
                <w:szCs w:val="21"/>
              </w:rPr>
            </w:pPr>
          </w:p>
        </w:tc>
        <w:tc>
          <w:tcPr>
            <w:tcW w:w="316" w:type="pct"/>
            <w:tcBorders>
              <w:top w:val="single" w:color="auto" w:sz="4" w:space="0"/>
              <w:left w:val="single" w:color="auto" w:sz="4" w:space="0"/>
              <w:bottom w:val="single" w:color="auto" w:sz="4" w:space="0"/>
              <w:right w:val="single" w:color="auto" w:sz="4" w:space="0"/>
            </w:tcBorders>
            <w:noWrap w:val="0"/>
            <w:vAlign w:val="center"/>
          </w:tcPr>
          <w:p w14:paraId="0C1AF0EB">
            <w:pPr>
              <w:keepNext w:val="0"/>
              <w:keepLines w:val="0"/>
              <w:widowControl/>
              <w:suppressLineNumbers w:val="0"/>
              <w:jc w:val="center"/>
              <w:textAlignment w:val="center"/>
              <w:rPr>
                <w:rFonts w:ascii="宋体" w:hAnsi="宋体" w:cs="Arial"/>
                <w:color w:val="auto"/>
                <w:sz w:val="21"/>
                <w:szCs w:val="21"/>
              </w:rPr>
            </w:pPr>
          </w:p>
        </w:tc>
        <w:tc>
          <w:tcPr>
            <w:tcW w:w="610" w:type="pct"/>
            <w:tcBorders>
              <w:top w:val="single" w:color="auto" w:sz="4" w:space="0"/>
              <w:left w:val="single" w:color="auto" w:sz="4" w:space="0"/>
              <w:bottom w:val="single" w:color="auto" w:sz="4" w:space="0"/>
              <w:right w:val="single" w:color="auto" w:sz="4" w:space="0"/>
            </w:tcBorders>
            <w:noWrap w:val="0"/>
            <w:vAlign w:val="center"/>
          </w:tcPr>
          <w:p w14:paraId="76260F29">
            <w:pPr>
              <w:keepNext w:val="0"/>
              <w:keepLines w:val="0"/>
              <w:widowControl/>
              <w:suppressLineNumbers w:val="0"/>
              <w:wordWrap/>
              <w:jc w:val="center"/>
              <w:textAlignment w:val="center"/>
              <w:rPr>
                <w:rFonts w:ascii="宋体" w:hAnsi="宋体" w:cs="Arial"/>
                <w:color w:val="auto"/>
                <w:sz w:val="21"/>
                <w:szCs w:val="21"/>
              </w:rPr>
            </w:pPr>
          </w:p>
        </w:tc>
        <w:tc>
          <w:tcPr>
            <w:tcW w:w="656" w:type="pct"/>
            <w:tcBorders>
              <w:top w:val="single" w:color="auto" w:sz="4" w:space="0"/>
              <w:left w:val="single" w:color="auto" w:sz="4" w:space="0"/>
              <w:bottom w:val="single" w:color="auto" w:sz="4" w:space="0"/>
              <w:right w:val="single" w:color="auto" w:sz="4" w:space="0"/>
            </w:tcBorders>
            <w:noWrap w:val="0"/>
            <w:vAlign w:val="center"/>
          </w:tcPr>
          <w:p w14:paraId="3D8D0AC2">
            <w:pPr>
              <w:keepNext w:val="0"/>
              <w:keepLines w:val="0"/>
              <w:widowControl/>
              <w:suppressLineNumbers w:val="0"/>
              <w:wordWrap/>
              <w:jc w:val="center"/>
              <w:textAlignment w:val="center"/>
              <w:rPr>
                <w:rFonts w:ascii="宋体" w:hAnsi="宋体" w:cs="Arial"/>
                <w:color w:val="auto"/>
                <w:sz w:val="21"/>
                <w:szCs w:val="21"/>
              </w:rPr>
            </w:pPr>
          </w:p>
        </w:tc>
      </w:tr>
      <w:tr w14:paraId="7755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3F55E45E">
            <w:pPr>
              <w:snapToGrid w:val="0"/>
              <w:spacing w:line="360" w:lineRule="exact"/>
              <w:rPr>
                <w:rFonts w:ascii="宋体" w:hAnsi="宋体" w:cs="Arial"/>
                <w:color w:val="auto"/>
                <w:sz w:val="21"/>
                <w:szCs w:val="21"/>
                <w:u w:val="single"/>
              </w:rPr>
            </w:pPr>
            <w:r>
              <w:rPr>
                <w:rFonts w:hint="eastAsia" w:ascii="宋体" w:hAnsi="宋体" w:cs="Arial"/>
                <w:color w:val="auto"/>
                <w:sz w:val="21"/>
                <w:szCs w:val="21"/>
              </w:rPr>
              <w:t>人民币合计金额（大写）</w:t>
            </w:r>
            <w:r>
              <w:rPr>
                <w:rFonts w:hint="eastAsia" w:ascii="宋体" w:hAnsi="宋体" w:cs="Arial"/>
                <w:color w:val="auto"/>
                <w:sz w:val="21"/>
                <w:szCs w:val="21"/>
                <w:u w:val="single"/>
              </w:rPr>
              <w:t xml:space="preserve">   </w:t>
            </w:r>
            <w:r>
              <w:rPr>
                <w:rFonts w:hint="eastAsia" w:ascii="宋体" w:hAnsi="宋体" w:cs="Arial"/>
                <w:color w:val="auto"/>
                <w:sz w:val="21"/>
                <w:szCs w:val="21"/>
                <w:u w:val="single"/>
                <w:lang w:val="en-US" w:eastAsia="zh-CN"/>
              </w:rPr>
              <w:t xml:space="preserve">    </w:t>
            </w:r>
            <w:r>
              <w:rPr>
                <w:rFonts w:hint="eastAsia" w:ascii="宋体" w:hAnsi="宋体" w:cs="Arial"/>
                <w:color w:val="auto"/>
                <w:sz w:val="21"/>
                <w:szCs w:val="21"/>
                <w:u w:val="single"/>
              </w:rPr>
              <w:t xml:space="preserve">      </w:t>
            </w:r>
            <w:r>
              <w:rPr>
                <w:rFonts w:hint="eastAsia" w:ascii="宋体" w:hAnsi="宋体" w:cs="Arial"/>
                <w:color w:val="auto"/>
                <w:sz w:val="21"/>
                <w:szCs w:val="21"/>
              </w:rPr>
              <w:t>（小写）</w:t>
            </w:r>
            <w:r>
              <w:rPr>
                <w:rFonts w:hint="eastAsia" w:ascii="宋体" w:hAnsi="宋体" w:cs="Arial"/>
                <w:color w:val="auto"/>
                <w:sz w:val="21"/>
                <w:szCs w:val="21"/>
                <w:u w:val="single"/>
              </w:rPr>
              <w:t xml:space="preserve">   </w:t>
            </w:r>
            <w:r>
              <w:rPr>
                <w:rFonts w:hint="eastAsia" w:ascii="宋体" w:hAnsi="宋体" w:cs="Arial"/>
                <w:color w:val="auto"/>
                <w:sz w:val="21"/>
                <w:szCs w:val="21"/>
                <w:u w:val="single"/>
                <w:lang w:val="en-US" w:eastAsia="zh-CN"/>
              </w:rPr>
              <w:t xml:space="preserve">    </w:t>
            </w:r>
            <w:r>
              <w:rPr>
                <w:rFonts w:hint="eastAsia" w:ascii="宋体" w:hAnsi="宋体" w:cs="Arial"/>
                <w:color w:val="auto"/>
                <w:sz w:val="21"/>
                <w:szCs w:val="21"/>
                <w:u w:val="single"/>
              </w:rPr>
              <w:t xml:space="preserve">       </w:t>
            </w:r>
          </w:p>
        </w:tc>
      </w:tr>
      <w:bookmarkEnd w:id="3"/>
    </w:tbl>
    <w:p w14:paraId="42828E78">
      <w:pPr>
        <w:snapToGrid w:val="0"/>
        <w:spacing w:line="420" w:lineRule="exact"/>
        <w:ind w:firstLine="420" w:firstLineChars="200"/>
        <w:rPr>
          <w:rFonts w:hint="eastAsia" w:ascii="宋体" w:hAnsi="宋体" w:cs="宋体"/>
          <w:color w:val="auto"/>
        </w:rPr>
      </w:pPr>
      <w:r>
        <w:rPr>
          <w:rFonts w:ascii="宋体" w:hAnsi="宋体" w:cs="宋体"/>
          <w:color w:val="auto"/>
        </w:rPr>
        <w:t>2</w:t>
      </w:r>
      <w:r>
        <w:rPr>
          <w:rFonts w:hint="eastAsia" w:ascii="宋体" w:hAnsi="宋体" w:cs="宋体"/>
          <w:color w:val="auto"/>
        </w:rPr>
        <w:t>．合同合计金额包括货物价款，备件、专用工具、安装、调试、检验、技术培训及技术资料和包装、运输等全部费用。如谈判文件、响应文件对其另有规定的，从其规定。</w:t>
      </w:r>
    </w:p>
    <w:p w14:paraId="3D88ADF5">
      <w:pPr>
        <w:snapToGrid w:val="0"/>
        <w:spacing w:line="420" w:lineRule="exact"/>
        <w:ind w:firstLine="420" w:firstLineChars="200"/>
        <w:rPr>
          <w:rFonts w:hint="default" w:ascii="宋体" w:hAnsi="宋体" w:cs="宋体"/>
          <w:color w:val="auto"/>
          <w:lang w:val="en-US" w:eastAsia="zh-CN"/>
        </w:rPr>
      </w:pPr>
      <w:r>
        <w:rPr>
          <w:rFonts w:hint="eastAsia" w:ascii="宋体" w:hAnsi="宋体" w:cs="宋体"/>
          <w:color w:val="auto"/>
          <w:lang w:val="en-US" w:eastAsia="zh-CN"/>
        </w:rPr>
        <w:t>3.乙方</w:t>
      </w:r>
      <w:r>
        <w:rPr>
          <w:rFonts w:hint="eastAsia" w:ascii="宋体" w:hAnsi="宋体" w:cs="宋体"/>
          <w:color w:val="auto"/>
        </w:rPr>
        <w:t>的报价为</w:t>
      </w:r>
      <w:r>
        <w:rPr>
          <w:rFonts w:hint="eastAsia" w:ascii="宋体" w:hAnsi="宋体" w:cs="宋体"/>
          <w:color w:val="auto"/>
          <w:lang w:val="en-US" w:eastAsia="zh-CN"/>
        </w:rPr>
        <w:t>甲方</w:t>
      </w:r>
      <w:r>
        <w:rPr>
          <w:rFonts w:hint="eastAsia" w:ascii="宋体" w:hAnsi="宋体" w:cs="宋体"/>
          <w:color w:val="auto"/>
        </w:rPr>
        <w:t>指定地点的现场交货价，包括：（1）货物的价格；（2）货物的标准附件、 备品备件、专用工具的价格；（3） 运输、装卸、调试、培训、技术支持、人工、上门服务、售后服务等费用；（4）必要的保险费用和各项税费；（5）安装调试费用；以及合同明示或暗示的所有责任、义务和一般风险等一切费用</w:t>
      </w:r>
    </w:p>
    <w:p w14:paraId="54AB75ED">
      <w:pPr>
        <w:snapToGrid w:val="0"/>
        <w:spacing w:line="420" w:lineRule="exact"/>
        <w:ind w:firstLine="422" w:firstLineChars="200"/>
        <w:rPr>
          <w:rFonts w:ascii="宋体"/>
          <w:color w:val="auto"/>
        </w:rPr>
      </w:pPr>
      <w:r>
        <w:rPr>
          <w:rFonts w:hint="eastAsia" w:ascii="宋体" w:hAnsi="宋体" w:cs="宋体"/>
          <w:b/>
          <w:bCs/>
          <w:color w:val="auto"/>
        </w:rPr>
        <w:t>第二条　质量保证</w:t>
      </w:r>
    </w:p>
    <w:p w14:paraId="118F4AC0">
      <w:pPr>
        <w:snapToGrid w:val="0"/>
        <w:spacing w:line="420" w:lineRule="exact"/>
        <w:ind w:firstLine="472" w:firstLineChars="225"/>
        <w:rPr>
          <w:rFonts w:hint="eastAsia" w:ascii="宋体" w:hAnsi="宋体" w:cs="宋体"/>
          <w:color w:val="auto"/>
        </w:rPr>
      </w:pPr>
      <w:r>
        <w:rPr>
          <w:rFonts w:hint="eastAsia" w:ascii="宋体" w:hAnsi="宋体" w:cs="宋体"/>
          <w:color w:val="auto"/>
        </w:rPr>
        <w:t>1．设备必须是全新原厂正品</w:t>
      </w:r>
      <w:r>
        <w:rPr>
          <w:rFonts w:ascii="宋体" w:hAnsi="宋体" w:eastAsia="宋体" w:cs="宋体"/>
          <w:sz w:val="24"/>
          <w:szCs w:val="24"/>
        </w:rPr>
        <w:t>。</w:t>
      </w:r>
      <w:r>
        <w:rPr>
          <w:rFonts w:hint="eastAsia" w:ascii="宋体" w:hAnsi="宋体" w:cs="宋体"/>
          <w:color w:val="auto"/>
        </w:rPr>
        <w:t>乙方所提供的货物型号、技术规格、技术参数等质量必须与谈判文件、响应文件和承诺相一致。乙方提供的节能和环保产品必须是列入政府采购清单的产品。</w:t>
      </w:r>
    </w:p>
    <w:p w14:paraId="2C86AE3F">
      <w:pPr>
        <w:snapToGrid w:val="0"/>
        <w:spacing w:line="420" w:lineRule="exact"/>
        <w:ind w:firstLine="472" w:firstLineChars="225"/>
        <w:rPr>
          <w:rFonts w:hint="eastAsia" w:ascii="宋体" w:hAnsi="宋体" w:cs="宋体"/>
          <w:color w:val="auto"/>
        </w:rPr>
      </w:pPr>
      <w:r>
        <w:rPr>
          <w:rFonts w:hint="eastAsia" w:ascii="宋体" w:hAnsi="宋体" w:cs="宋体"/>
          <w:color w:val="auto"/>
        </w:rPr>
        <w:t>2．乙方所提供的货物必须是全新、未经使用的原装产品，且在正常安装、使用和保养条件下，其使用寿命期内各项指标均达到质量要求。</w:t>
      </w:r>
    </w:p>
    <w:p w14:paraId="1234E488">
      <w:pPr>
        <w:snapToGrid w:val="0"/>
        <w:spacing w:line="420" w:lineRule="exact"/>
        <w:ind w:firstLine="422" w:firstLineChars="200"/>
        <w:rPr>
          <w:rFonts w:ascii="宋体"/>
          <w:color w:val="auto"/>
        </w:rPr>
      </w:pPr>
      <w:r>
        <w:rPr>
          <w:rFonts w:hint="eastAsia" w:ascii="宋体" w:hAnsi="宋体" w:cs="宋体"/>
          <w:b/>
          <w:bCs/>
          <w:color w:val="auto"/>
        </w:rPr>
        <w:t>第三条　权利保证</w:t>
      </w:r>
    </w:p>
    <w:p w14:paraId="78766DAD">
      <w:pPr>
        <w:snapToGrid w:val="0"/>
        <w:spacing w:line="420" w:lineRule="exact"/>
        <w:ind w:firstLine="472" w:firstLineChars="225"/>
        <w:rPr>
          <w:rFonts w:hint="eastAsia" w:ascii="宋体" w:hAnsi="宋体" w:cs="宋体"/>
          <w:color w:val="auto"/>
        </w:rPr>
      </w:pPr>
      <w:r>
        <w:rPr>
          <w:rFonts w:hint="eastAsia" w:ascii="宋体" w:hAnsi="宋体" w:cs="宋体"/>
          <w:color w:val="auto"/>
        </w:rPr>
        <w:t>1.乙方应保证所提供货物在使用时不会侵犯任何第三方的专利权、商标权、工业设计权或其他权利。</w:t>
      </w:r>
    </w:p>
    <w:p w14:paraId="0A5EB438">
      <w:pPr>
        <w:snapToGrid w:val="0"/>
        <w:spacing w:line="420" w:lineRule="exact"/>
        <w:ind w:firstLine="472" w:firstLineChars="225"/>
        <w:rPr>
          <w:rFonts w:hint="eastAsia" w:ascii="宋体" w:hAnsi="宋体" w:cs="宋体"/>
          <w:color w:val="auto"/>
        </w:rPr>
      </w:pPr>
      <w:r>
        <w:rPr>
          <w:rFonts w:hint="eastAsia" w:ascii="宋体" w:hAnsi="宋体" w:cs="宋体"/>
          <w:color w:val="auto"/>
        </w:rPr>
        <w:t>2.乙方应按谈判文件规定的时间或响应文件承诺的时间向甲方提供使用货物的有关技术资料。</w:t>
      </w:r>
    </w:p>
    <w:p w14:paraId="2ED90E08">
      <w:pPr>
        <w:snapToGrid w:val="0"/>
        <w:spacing w:line="420" w:lineRule="exact"/>
        <w:ind w:firstLine="472" w:firstLineChars="225"/>
        <w:rPr>
          <w:rFonts w:hint="eastAsia" w:ascii="宋体" w:hAnsi="宋体" w:cs="宋体"/>
          <w:color w:val="auto"/>
        </w:rPr>
      </w:pPr>
      <w:r>
        <w:rPr>
          <w:rFonts w:hint="eastAsia" w:ascii="宋体" w:hAnsi="宋体" w:cs="宋体"/>
          <w:color w:val="auto"/>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同时乙方应对合同期间获取的甲方商业秘密、技术资料、个人信息等承担保密义务。</w:t>
      </w:r>
    </w:p>
    <w:p w14:paraId="785BE8CF">
      <w:pPr>
        <w:snapToGrid w:val="0"/>
        <w:spacing w:line="420" w:lineRule="exact"/>
        <w:ind w:firstLine="472" w:firstLineChars="225"/>
        <w:rPr>
          <w:rFonts w:hint="eastAsia" w:ascii="宋体" w:hAnsi="宋体" w:cs="宋体"/>
          <w:color w:val="auto"/>
        </w:rPr>
      </w:pPr>
      <w:r>
        <w:rPr>
          <w:rFonts w:hint="eastAsia" w:ascii="宋体" w:hAnsi="宋体" w:cs="宋体"/>
          <w:color w:val="auto"/>
        </w:rPr>
        <w:t>4.乙方保证所交付的货物的所有权完全属于乙方且无任何抵押、质押、查封等产权瑕疵。</w:t>
      </w:r>
    </w:p>
    <w:p w14:paraId="5DC98AF1">
      <w:pPr>
        <w:snapToGrid w:val="0"/>
        <w:spacing w:line="420" w:lineRule="exact"/>
        <w:ind w:firstLine="420" w:firstLineChars="200"/>
        <w:rPr>
          <w:rFonts w:hint="eastAsia" w:ascii="宋体" w:hAnsi="宋体" w:eastAsia="宋体" w:cs="宋体"/>
          <w:color w:val="FF0000"/>
          <w:sz w:val="21"/>
          <w:szCs w:val="21"/>
          <w:lang w:eastAsia="zh-CN"/>
        </w:rPr>
      </w:pPr>
      <w:r>
        <w:rPr>
          <w:rFonts w:hint="eastAsia" w:ascii="宋体" w:hAnsi="宋体" w:cs="宋体"/>
          <w:color w:val="auto"/>
          <w:lang w:val="en-US" w:eastAsia="zh-CN"/>
        </w:rPr>
        <w:t>5.</w:t>
      </w:r>
      <w:r>
        <w:rPr>
          <w:rFonts w:hint="eastAsia" w:ascii="宋体" w:hAnsi="宋体" w:cs="宋体"/>
          <w:color w:val="auto"/>
          <w:sz w:val="21"/>
          <w:szCs w:val="21"/>
          <w:lang w:eastAsia="zh-CN"/>
        </w:rPr>
        <w:t>廉洁条款：乙方不得以任何形式向甲方工作人员行贿或提供不正当利益。如乙方违反本条约定，甲方有权单方解除合同，乙方应向甲方支付合同总金额20%的违约金，并赔偿甲方因此遭受的全部损失。</w:t>
      </w:r>
      <w:r>
        <w:rPr>
          <w:rFonts w:hint="eastAsia" w:ascii="宋体" w:hAnsi="宋体" w:cs="宋体"/>
          <w:color w:val="FF0000"/>
          <w:sz w:val="21"/>
          <w:szCs w:val="21"/>
          <w:lang w:eastAsia="zh-CN"/>
        </w:rPr>
        <w:t xml:space="preserve"> </w:t>
      </w:r>
    </w:p>
    <w:p w14:paraId="2008A72F">
      <w:pPr>
        <w:snapToGrid w:val="0"/>
        <w:spacing w:line="420" w:lineRule="exact"/>
        <w:ind w:firstLine="472" w:firstLineChars="225"/>
        <w:rPr>
          <w:rFonts w:hint="default" w:ascii="宋体" w:hAnsi="宋体" w:eastAsia="宋体" w:cs="宋体"/>
          <w:color w:val="auto"/>
          <w:lang w:val="en-US" w:eastAsia="zh-CN"/>
        </w:rPr>
      </w:pPr>
    </w:p>
    <w:p w14:paraId="04C746A2">
      <w:pPr>
        <w:snapToGrid w:val="0"/>
        <w:spacing w:line="420" w:lineRule="exact"/>
        <w:ind w:firstLine="422" w:firstLineChars="200"/>
        <w:rPr>
          <w:rFonts w:ascii="宋体"/>
          <w:b/>
          <w:bCs/>
          <w:color w:val="auto"/>
        </w:rPr>
      </w:pPr>
      <w:r>
        <w:rPr>
          <w:rFonts w:hint="eastAsia" w:ascii="宋体" w:hAnsi="宋体" w:cs="宋体"/>
          <w:b/>
          <w:bCs/>
          <w:color w:val="auto"/>
        </w:rPr>
        <w:t>第四条　包装和运输</w:t>
      </w:r>
    </w:p>
    <w:p w14:paraId="130D1401">
      <w:pPr>
        <w:snapToGrid w:val="0"/>
        <w:spacing w:line="420" w:lineRule="exact"/>
        <w:ind w:firstLine="472" w:firstLineChars="225"/>
        <w:rPr>
          <w:rFonts w:hint="eastAsia" w:ascii="宋体" w:hAnsi="宋体" w:cs="宋体"/>
          <w:color w:val="auto"/>
        </w:rPr>
      </w:pPr>
      <w:r>
        <w:rPr>
          <w:rFonts w:hint="eastAsia" w:ascii="宋体" w:hAnsi="宋体" w:cs="宋体"/>
          <w:color w:val="auto"/>
        </w:rPr>
        <w:t>1.乙方提供的货物均应按谈判文件、响应文件要求的包装材料、包装标准、包装方式进行包装，每一包装单元内应附详细的装箱单和质量合格证。</w:t>
      </w:r>
    </w:p>
    <w:p w14:paraId="067ADDC1">
      <w:pPr>
        <w:snapToGrid w:val="0"/>
        <w:spacing w:line="420" w:lineRule="exact"/>
        <w:ind w:firstLine="472" w:firstLineChars="225"/>
        <w:rPr>
          <w:rFonts w:hint="eastAsia" w:ascii="宋体" w:hAnsi="宋体" w:cs="宋体"/>
          <w:color w:val="auto"/>
        </w:rPr>
      </w:pPr>
      <w:r>
        <w:rPr>
          <w:rFonts w:hint="eastAsia" w:ascii="宋体" w:hAnsi="宋体" w:cs="宋体"/>
          <w:color w:val="auto"/>
        </w:rPr>
        <w:t>2.货物的运输方式：</w:t>
      </w:r>
      <w:r>
        <w:rPr>
          <w:rFonts w:hint="eastAsia" w:ascii="宋体" w:hAnsi="宋体" w:cs="宋体"/>
          <w:color w:val="auto"/>
          <w:u w:val="single"/>
        </w:rPr>
        <w:t>不限。</w:t>
      </w:r>
    </w:p>
    <w:p w14:paraId="1AD6E580">
      <w:pPr>
        <w:snapToGrid w:val="0"/>
        <w:spacing w:line="420" w:lineRule="exact"/>
        <w:ind w:firstLine="472" w:firstLineChars="225"/>
        <w:rPr>
          <w:rFonts w:hint="eastAsia" w:ascii="宋体" w:hAnsi="宋体" w:cs="宋体"/>
          <w:color w:val="auto"/>
        </w:rPr>
      </w:pPr>
      <w:r>
        <w:rPr>
          <w:rFonts w:hint="eastAsia" w:ascii="宋体" w:hAnsi="宋体" w:cs="宋体"/>
          <w:color w:val="auto"/>
        </w:rPr>
        <w:t>3.乙方负责货物运输，货物运输合理损耗及计算方法：</w:t>
      </w:r>
      <w:r>
        <w:rPr>
          <w:rFonts w:hint="eastAsia" w:ascii="宋体" w:hAnsi="宋体" w:cs="宋体"/>
          <w:color w:val="auto"/>
          <w:u w:val="single"/>
        </w:rPr>
        <w:t>所有货物运输损耗由乙方承担</w:t>
      </w:r>
      <w:r>
        <w:rPr>
          <w:rFonts w:hint="eastAsia" w:ascii="宋体" w:hAnsi="宋体" w:cs="宋体"/>
          <w:i w:val="0"/>
          <w:iCs w:val="0"/>
          <w:color w:val="auto"/>
          <w:u w:val="single"/>
        </w:rPr>
        <w:t>。</w:t>
      </w:r>
    </w:p>
    <w:p w14:paraId="0E59D95F">
      <w:pPr>
        <w:snapToGrid w:val="0"/>
        <w:spacing w:line="420" w:lineRule="exact"/>
        <w:ind w:firstLine="422" w:firstLineChars="200"/>
        <w:rPr>
          <w:rFonts w:ascii="宋体"/>
          <w:color w:val="auto"/>
        </w:rPr>
      </w:pPr>
      <w:r>
        <w:rPr>
          <w:rFonts w:hint="eastAsia" w:ascii="宋体" w:hAnsi="宋体" w:cs="宋体"/>
          <w:b/>
          <w:bCs/>
          <w:color w:val="auto"/>
        </w:rPr>
        <w:t>第五条　交付和验收</w:t>
      </w:r>
    </w:p>
    <w:p w14:paraId="7C38EAB4">
      <w:pPr>
        <w:snapToGrid w:val="0"/>
        <w:spacing w:line="420" w:lineRule="exact"/>
        <w:ind w:firstLine="472" w:firstLineChars="225"/>
        <w:rPr>
          <w:rFonts w:hint="eastAsia" w:ascii="宋体" w:hAnsi="宋体" w:cs="宋体"/>
          <w:color w:val="auto"/>
        </w:rPr>
      </w:pPr>
      <w:r>
        <w:rPr>
          <w:rFonts w:hint="eastAsia" w:ascii="宋体" w:hAnsi="宋体" w:cs="宋体"/>
          <w:color w:val="auto"/>
        </w:rPr>
        <w:t>1.</w:t>
      </w:r>
      <w:bookmarkStart w:id="4" w:name="tip_risk_bookmark_5"/>
      <w:r>
        <w:rPr>
          <w:rFonts w:hint="eastAsia" w:ascii="宋体" w:hAnsi="宋体" w:cs="宋体"/>
          <w:color w:val="auto"/>
        </w:rPr>
        <w:t xml:space="preserve">交付使用时间： </w:t>
      </w:r>
      <w:r>
        <w:rPr>
          <w:rFonts w:hint="eastAsia" w:ascii="宋体" w:hAnsi="宋体" w:cs="宋体"/>
          <w:color w:val="auto"/>
          <w:u w:val="single"/>
        </w:rPr>
        <w:t>自合同签订后，接到甲方通知之日起</w:t>
      </w:r>
      <w:r>
        <w:rPr>
          <w:rFonts w:hint="eastAsia" w:ascii="宋体" w:hAnsi="宋体" w:cs="宋体"/>
          <w:color w:val="auto"/>
          <w:u w:val="single"/>
          <w:lang w:val="en-US" w:eastAsia="zh-CN"/>
        </w:rPr>
        <w:t>20</w:t>
      </w:r>
      <w:r>
        <w:rPr>
          <w:rFonts w:hint="eastAsia" w:ascii="宋体" w:hAnsi="宋体" w:cs="宋体"/>
          <w:color w:val="auto"/>
          <w:u w:val="single"/>
        </w:rPr>
        <w:t xml:space="preserve">日内交付货物，设备安装调试验收等依据甲方通知实施 </w:t>
      </w:r>
      <w:r>
        <w:rPr>
          <w:rFonts w:hint="eastAsia" w:ascii="宋体" w:hAnsi="宋体" w:cs="宋体"/>
          <w:color w:val="auto"/>
          <w:lang w:eastAsia="zh-CN"/>
        </w:rPr>
        <w:t>。</w:t>
      </w:r>
      <w:r>
        <w:rPr>
          <w:rFonts w:hint="eastAsia" w:ascii="宋体" w:hAnsi="宋体" w:cs="宋体"/>
          <w:color w:val="auto"/>
        </w:rPr>
        <w:t>地点：</w:t>
      </w:r>
      <w:r>
        <w:rPr>
          <w:rFonts w:hint="eastAsia" w:ascii="宋体" w:hAnsi="宋体" w:cs="宋体"/>
          <w:color w:val="auto"/>
          <w:u w:val="single"/>
        </w:rPr>
        <w:t>广西南宁市（</w:t>
      </w:r>
      <w:r>
        <w:rPr>
          <w:rFonts w:hint="eastAsia" w:ascii="宋体" w:hAnsi="宋体" w:cs="宋体"/>
          <w:color w:val="auto"/>
          <w:u w:val="single"/>
          <w:lang w:val="en-US" w:eastAsia="zh-CN"/>
        </w:rPr>
        <w:t>甲方</w:t>
      </w:r>
      <w:r>
        <w:rPr>
          <w:rFonts w:hint="eastAsia" w:ascii="宋体" w:hAnsi="宋体" w:cs="宋体"/>
          <w:color w:val="auto"/>
          <w:u w:val="single"/>
        </w:rPr>
        <w:t>指定地点）。</w:t>
      </w:r>
      <w:bookmarkEnd w:id="4"/>
    </w:p>
    <w:p w14:paraId="74A6F60B">
      <w:pPr>
        <w:snapToGrid w:val="0"/>
        <w:spacing w:line="420" w:lineRule="exact"/>
        <w:ind w:firstLine="472" w:firstLineChars="225"/>
        <w:rPr>
          <w:rFonts w:hint="eastAsia" w:ascii="宋体" w:hAnsi="宋体" w:cs="宋体"/>
          <w:color w:val="auto"/>
        </w:rPr>
      </w:pPr>
      <w:r>
        <w:rPr>
          <w:rFonts w:hint="eastAsia" w:ascii="宋体" w:hAnsi="宋体" w:cs="宋体"/>
          <w:color w:val="auto"/>
        </w:rPr>
        <w:t>2.乙方提供不符合谈判文件、响应文件和本合同规定的货物，甲方有权拒绝接受。</w:t>
      </w:r>
    </w:p>
    <w:p w14:paraId="7CF5B34F">
      <w:pPr>
        <w:snapToGrid w:val="0"/>
        <w:spacing w:line="420" w:lineRule="exact"/>
        <w:ind w:firstLine="472" w:firstLineChars="225"/>
        <w:rPr>
          <w:rFonts w:hint="eastAsia" w:ascii="宋体" w:hAnsi="宋体" w:cs="宋体"/>
          <w:color w:val="auto"/>
        </w:rPr>
      </w:pPr>
      <w:r>
        <w:rPr>
          <w:rFonts w:hint="eastAsia" w:ascii="宋体" w:hAnsi="宋体" w:cs="宋体"/>
          <w:color w:val="auto"/>
        </w:rPr>
        <w:t>3.乙方应将所提供货物的装箱清单、用户手册、原厂保修卡、随机资料、工具和备品、备件</w:t>
      </w:r>
      <w:r>
        <w:rPr>
          <w:rFonts w:hint="eastAsia" w:ascii="宋体" w:hAnsi="宋体" w:cs="宋体"/>
          <w:color w:val="auto"/>
          <w:lang w:eastAsia="zh-CN"/>
        </w:rPr>
        <w:t>、</w:t>
      </w:r>
      <w:r>
        <w:rPr>
          <w:rFonts w:hint="eastAsia" w:ascii="宋体" w:hAnsi="宋体" w:cs="宋体"/>
          <w:color w:val="auto"/>
        </w:rPr>
        <w:t>有关单证资料等交付给甲方，使用操作及安全须知等重要资料 应附有中文说明。如有缺失应</w:t>
      </w:r>
      <w:r>
        <w:rPr>
          <w:rFonts w:hint="eastAsia"/>
          <w:lang w:val="en-US" w:eastAsia="zh-CN"/>
        </w:rPr>
        <w:t>三个工作日内</w:t>
      </w:r>
      <w:r>
        <w:rPr>
          <w:rFonts w:hint="eastAsia" w:ascii="宋体" w:hAnsi="宋体" w:cs="宋体"/>
          <w:color w:val="auto"/>
        </w:rPr>
        <w:t>补齐，否则视为逾期交货。</w:t>
      </w:r>
    </w:p>
    <w:p w14:paraId="27F78F8D">
      <w:pPr>
        <w:snapToGrid w:val="0"/>
        <w:spacing w:line="420" w:lineRule="exact"/>
        <w:ind w:firstLine="472" w:firstLineChars="225"/>
        <w:rPr>
          <w:rFonts w:hint="eastAsia" w:ascii="宋体" w:hAnsi="宋体" w:cs="宋体"/>
          <w:color w:val="auto"/>
        </w:rPr>
      </w:pPr>
      <w:r>
        <w:rPr>
          <w:rFonts w:hint="eastAsia" w:ascii="宋体" w:hAnsi="宋体" w:cs="宋体"/>
          <w:color w:val="auto"/>
        </w:rPr>
        <w:t>4.</w:t>
      </w:r>
      <w:bookmarkStart w:id="5" w:name="auto_fouce_6"/>
      <w:r>
        <w:rPr>
          <w:rFonts w:hint="eastAsia" w:ascii="宋体" w:hAnsi="宋体" w:cs="宋体"/>
          <w:color w:val="auto"/>
          <w:lang w:eastAsia="zh-CN"/>
        </w:rPr>
        <w:t>甲方应当在到货（安装、调试完）后5个工作日内进行</w:t>
      </w:r>
      <w:r>
        <w:rPr>
          <w:rFonts w:hint="eastAsia"/>
          <w:lang w:val="en-US" w:eastAsia="zh-CN"/>
        </w:rPr>
        <w:t>最终</w:t>
      </w:r>
      <w:r>
        <w:rPr>
          <w:rFonts w:hint="eastAsia" w:ascii="宋体" w:hAnsi="宋体" w:cs="宋体"/>
          <w:color w:val="auto"/>
          <w:lang w:eastAsia="zh-CN"/>
        </w:rPr>
        <w:t>验收，逾期不验收的，不视为验收合格，需双方另行书面确认。验收合格后由甲乙双方签署货物验收单并加盖甲方公章，甲乙双方各执一份。</w:t>
      </w:r>
      <w:bookmarkEnd w:id="5"/>
    </w:p>
    <w:p w14:paraId="69C1BFD2">
      <w:pPr>
        <w:snapToGrid w:val="0"/>
        <w:spacing w:line="420" w:lineRule="exact"/>
        <w:ind w:firstLine="472" w:firstLineChars="225"/>
        <w:rPr>
          <w:rFonts w:hint="eastAsia" w:ascii="宋体" w:hAnsi="宋体" w:cs="宋体"/>
          <w:color w:val="auto"/>
        </w:rPr>
      </w:pPr>
      <w:r>
        <w:rPr>
          <w:rFonts w:hint="eastAsia" w:ascii="宋体" w:hAnsi="宋体" w:cs="宋体"/>
          <w:color w:val="auto"/>
        </w:rPr>
        <w:t>5.</w:t>
      </w:r>
      <w:r>
        <w:rPr>
          <w:rFonts w:hint="eastAsia" w:ascii="宋体" w:hAnsi="宋体" w:cs="宋体"/>
          <w:color w:val="auto"/>
          <w:lang w:val="en-US" w:eastAsia="zh-CN"/>
        </w:rPr>
        <w:t>甲方</w:t>
      </w:r>
      <w:r>
        <w:rPr>
          <w:rFonts w:hint="eastAsia" w:ascii="宋体" w:hAnsi="宋体" w:cs="宋体"/>
          <w:color w:val="auto"/>
        </w:rPr>
        <w:t>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A983FEB">
      <w:pPr>
        <w:snapToGrid w:val="0"/>
        <w:spacing w:line="420" w:lineRule="exact"/>
        <w:ind w:firstLine="472" w:firstLineChars="225"/>
        <w:rPr>
          <w:rFonts w:hint="eastAsia" w:ascii="宋体" w:hAnsi="宋体" w:cs="宋体"/>
          <w:color w:val="auto"/>
        </w:rPr>
      </w:pPr>
      <w:r>
        <w:rPr>
          <w:rFonts w:hint="eastAsia" w:ascii="宋体" w:hAnsi="宋体" w:cs="宋体"/>
          <w:color w:val="auto"/>
        </w:rPr>
        <w:t>6.甲方对验收有异议的，在验收后五个工作日内以书面形式向乙方提出，乙方应自收到甲方书面异议后</w:t>
      </w:r>
      <w:r>
        <w:rPr>
          <w:rFonts w:hint="eastAsia" w:ascii="宋体" w:hAnsi="宋体" w:cs="宋体"/>
          <w:color w:val="auto"/>
          <w:u w:val="single"/>
        </w:rPr>
        <w:t xml:space="preserve"> 七 </w:t>
      </w:r>
      <w:r>
        <w:rPr>
          <w:rFonts w:hint="eastAsia" w:ascii="宋体" w:hAnsi="宋体" w:cs="宋体"/>
          <w:color w:val="auto"/>
        </w:rPr>
        <w:t xml:space="preserve"> 日内及时予以解决。</w:t>
      </w:r>
    </w:p>
    <w:p w14:paraId="747A7363">
      <w:pPr>
        <w:snapToGrid w:val="0"/>
        <w:spacing w:line="420" w:lineRule="exact"/>
        <w:ind w:firstLine="472" w:firstLineChars="225"/>
        <w:rPr>
          <w:rFonts w:hint="eastAsia" w:ascii="宋体" w:hAnsi="宋体" w:cs="宋体"/>
          <w:color w:val="auto"/>
        </w:rPr>
      </w:pPr>
      <w:r>
        <w:rPr>
          <w:rFonts w:hint="eastAsia" w:ascii="宋体" w:hAnsi="宋体" w:cs="宋体"/>
          <w:color w:val="auto"/>
        </w:rPr>
        <w:t>7. 甲方对乙方提交的货物依据谈判文件上的技术规格要求和国家有关质量标准进行现场初步验收，外观、说明书符合谈判文件技术要求的，给予签收，初步验收不合格的不予签收。</w:t>
      </w:r>
    </w:p>
    <w:p w14:paraId="02697C37">
      <w:pPr>
        <w:snapToGrid w:val="0"/>
        <w:spacing w:line="420" w:lineRule="exact"/>
        <w:ind w:firstLine="472" w:firstLineChars="225"/>
        <w:rPr>
          <w:rFonts w:hint="eastAsia" w:ascii="宋体" w:hAnsi="宋体" w:cs="宋体"/>
          <w:color w:val="auto"/>
        </w:rPr>
      </w:pPr>
      <w:r>
        <w:rPr>
          <w:rFonts w:hint="eastAsia" w:ascii="宋体" w:hAnsi="宋体" w:cs="宋体"/>
          <w:color w:val="auto"/>
        </w:rPr>
        <w:t>8. 乙方交货前应对产品作出全面检查和对验收文件进行整理，并列出清单，作为甲方收货验收和使用的技术条件依据，验收材料包括①验收申请书（原件）、②中标通知书复印件、③合同（包括附件加盖采购代理机构章的格式合同中规定的附件）复印件；④项目实施过程文件、 ⑤货物的证明文件、⑥货物的技术资料、⑦培训记录。检验的结果应随货物交甲方。</w:t>
      </w:r>
    </w:p>
    <w:p w14:paraId="1237CD1B">
      <w:pPr>
        <w:snapToGrid w:val="0"/>
        <w:spacing w:line="420" w:lineRule="exact"/>
        <w:ind w:firstLine="472" w:firstLineChars="225"/>
        <w:rPr>
          <w:rFonts w:hint="eastAsia" w:ascii="宋体" w:hAnsi="宋体" w:cs="宋体"/>
          <w:color w:val="auto"/>
        </w:rPr>
      </w:pPr>
      <w:r>
        <w:rPr>
          <w:rFonts w:hint="eastAsia" w:ascii="宋体" w:hAnsi="宋体" w:cs="宋体"/>
          <w:color w:val="auto"/>
        </w:rPr>
        <w:t>9. 甲方对乙方提供的货物在使用前进行调试时，乙方需负责安装并培训甲方的使用操作人员，并协助甲方一起调试，直到符合技术要求，甲方才做最终验收。</w:t>
      </w:r>
    </w:p>
    <w:p w14:paraId="6DBD423A">
      <w:pPr>
        <w:snapToGrid w:val="0"/>
        <w:spacing w:line="420" w:lineRule="exact"/>
        <w:ind w:firstLine="472" w:firstLineChars="225"/>
        <w:rPr>
          <w:rFonts w:hint="eastAsia" w:ascii="宋体" w:hAnsi="宋体" w:cs="宋体"/>
          <w:color w:val="auto"/>
        </w:rPr>
      </w:pPr>
      <w:r>
        <w:rPr>
          <w:rFonts w:hint="eastAsia" w:ascii="宋体" w:hAnsi="宋体" w:cs="宋体"/>
          <w:color w:val="auto"/>
        </w:rPr>
        <w:t>10. 对技术复杂的货物，甲方应请国家认可的专业检测机构参与初步验收及最终验收，并由其出具质量检测报告。</w:t>
      </w:r>
    </w:p>
    <w:p w14:paraId="13B0C843">
      <w:pPr>
        <w:snapToGrid w:val="0"/>
        <w:spacing w:line="420" w:lineRule="exact"/>
        <w:ind w:firstLine="472" w:firstLineChars="225"/>
        <w:rPr>
          <w:rFonts w:hint="eastAsia"/>
          <w:color w:val="auto"/>
        </w:rPr>
      </w:pPr>
      <w:r>
        <w:rPr>
          <w:rFonts w:hint="eastAsia" w:ascii="宋体" w:hAnsi="宋体" w:cs="宋体"/>
          <w:color w:val="auto"/>
        </w:rPr>
        <w:t>11. 验收时乙方必须在现场，验收完毕后作出验收结果报告；验收费用由乙方负责</w:t>
      </w:r>
      <w:r>
        <w:rPr>
          <w:rFonts w:hint="eastAsia" w:ascii="宋体" w:hAnsi="宋体" w:cs="宋体"/>
          <w:color w:val="auto"/>
          <w:lang w:eastAsia="zh-CN"/>
        </w:rPr>
        <w:t>。</w:t>
      </w:r>
    </w:p>
    <w:p w14:paraId="362F5258">
      <w:pPr>
        <w:snapToGrid w:val="0"/>
        <w:spacing w:line="420" w:lineRule="exact"/>
        <w:ind w:firstLine="422" w:firstLineChars="200"/>
        <w:rPr>
          <w:rFonts w:ascii="宋体"/>
          <w:b/>
          <w:bCs/>
          <w:color w:val="auto"/>
        </w:rPr>
      </w:pPr>
      <w:r>
        <w:rPr>
          <w:rFonts w:hint="eastAsia" w:ascii="宋体" w:hAnsi="宋体" w:cs="宋体"/>
          <w:b/>
          <w:bCs/>
          <w:color w:val="auto"/>
        </w:rPr>
        <w:t>第六条　安装和培训</w:t>
      </w:r>
    </w:p>
    <w:p w14:paraId="27588F24">
      <w:pPr>
        <w:snapToGrid w:val="0"/>
        <w:spacing w:line="420" w:lineRule="exact"/>
        <w:ind w:firstLine="420" w:firstLineChars="200"/>
        <w:rPr>
          <w:rFonts w:ascii="宋体"/>
          <w:color w:val="auto"/>
        </w:rPr>
      </w:pPr>
      <w:r>
        <w:rPr>
          <w:rFonts w:ascii="宋体" w:hAnsi="宋体" w:cs="宋体"/>
          <w:color w:val="auto"/>
        </w:rPr>
        <w:t>1</w:t>
      </w:r>
      <w:r>
        <w:rPr>
          <w:rFonts w:hint="eastAsia" w:ascii="宋体" w:hAnsi="宋体" w:cs="宋体"/>
          <w:color w:val="auto"/>
        </w:rPr>
        <w:t>.甲方应提供必要安装条件（如场地、电源、水源等）。</w:t>
      </w:r>
    </w:p>
    <w:p w14:paraId="4C887A0E">
      <w:pPr>
        <w:snapToGrid w:val="0"/>
        <w:spacing w:line="420" w:lineRule="exact"/>
        <w:ind w:firstLine="420" w:firstLineChars="200"/>
        <w:rPr>
          <w:rFonts w:ascii="宋体"/>
          <w:color w:val="auto"/>
          <w:u w:val="single"/>
        </w:rPr>
      </w:pPr>
      <w:r>
        <w:rPr>
          <w:rFonts w:ascii="宋体" w:hAnsi="宋体" w:cs="宋体"/>
          <w:color w:val="auto"/>
        </w:rPr>
        <w:t>2</w:t>
      </w:r>
      <w:r>
        <w:rPr>
          <w:rFonts w:hint="eastAsia" w:ascii="宋体" w:hAnsi="宋体" w:cs="宋体"/>
          <w:color w:val="auto"/>
        </w:rPr>
        <w:t>.乙方负责甲方有关人员的培训。</w:t>
      </w:r>
      <w:r>
        <w:rPr>
          <w:rFonts w:hint="eastAsia"/>
          <w:color w:val="auto"/>
        </w:rPr>
        <w:t>具体培训事项以甲方书面通知的内容为准。</w:t>
      </w:r>
    </w:p>
    <w:p w14:paraId="2EA81A47">
      <w:pPr>
        <w:snapToGrid w:val="0"/>
        <w:spacing w:line="420" w:lineRule="exact"/>
        <w:ind w:firstLine="422" w:firstLineChars="200"/>
        <w:rPr>
          <w:rFonts w:ascii="宋体"/>
          <w:b/>
          <w:bCs/>
          <w:color w:val="auto"/>
        </w:rPr>
      </w:pPr>
      <w:r>
        <w:rPr>
          <w:rFonts w:hint="eastAsia" w:ascii="宋体" w:hAnsi="宋体" w:cs="宋体"/>
          <w:b/>
          <w:bCs/>
          <w:color w:val="auto"/>
        </w:rPr>
        <w:t>第七条</w:t>
      </w:r>
      <w:r>
        <w:rPr>
          <w:rFonts w:ascii="宋体" w:hAnsi="宋体" w:cs="宋体"/>
          <w:b/>
          <w:bCs/>
          <w:color w:val="auto"/>
        </w:rPr>
        <w:t xml:space="preserve">  </w:t>
      </w:r>
      <w:r>
        <w:rPr>
          <w:rFonts w:hint="eastAsia" w:ascii="宋体" w:hAnsi="宋体" w:cs="宋体"/>
          <w:b/>
          <w:bCs/>
          <w:color w:val="auto"/>
        </w:rPr>
        <w:t>售后服务、保修期</w:t>
      </w:r>
    </w:p>
    <w:p w14:paraId="157BE8A3">
      <w:pPr>
        <w:snapToGrid w:val="0"/>
        <w:spacing w:line="420" w:lineRule="exact"/>
        <w:ind w:firstLine="420" w:firstLineChars="200"/>
        <w:rPr>
          <w:rFonts w:ascii="宋体"/>
          <w:color w:val="auto"/>
        </w:rPr>
      </w:pPr>
      <w:r>
        <w:rPr>
          <w:rFonts w:ascii="宋体" w:hAnsi="宋体" w:cs="宋体"/>
          <w:color w:val="auto"/>
        </w:rPr>
        <w:t>1</w:t>
      </w:r>
      <w:r>
        <w:rPr>
          <w:rFonts w:hint="eastAsia" w:ascii="宋体" w:hAnsi="宋体" w:cs="宋体"/>
          <w:color w:val="auto"/>
        </w:rPr>
        <w:t>.乙方应按照国家有关法律法规和“三包”规定以及谈判文件、响应文件和本合同所附的《服务承诺》，为甲方提供售后服务。</w:t>
      </w:r>
    </w:p>
    <w:p w14:paraId="59BDE5A8">
      <w:pPr>
        <w:snapToGrid w:val="0"/>
        <w:spacing w:line="420" w:lineRule="exact"/>
        <w:ind w:firstLine="420" w:firstLineChars="200"/>
        <w:rPr>
          <w:rFonts w:ascii="宋体"/>
          <w:color w:val="auto"/>
          <w:u w:val="single"/>
        </w:rPr>
      </w:pPr>
      <w:r>
        <w:rPr>
          <w:rFonts w:ascii="宋体" w:hAnsi="宋体" w:cs="宋体"/>
          <w:color w:val="auto"/>
        </w:rPr>
        <w:t>2</w:t>
      </w:r>
      <w:r>
        <w:rPr>
          <w:rFonts w:hint="eastAsia" w:ascii="宋体" w:hAnsi="宋体" w:cs="宋体"/>
          <w:color w:val="auto"/>
        </w:rPr>
        <w:t>.</w:t>
      </w:r>
      <w:bookmarkStart w:id="6" w:name="tip_risk_bookmark_7"/>
      <w:r>
        <w:rPr>
          <w:rFonts w:hint="eastAsia" w:ascii="宋体" w:hAnsi="宋体" w:cs="宋体"/>
          <w:color w:val="auto"/>
        </w:rPr>
        <w:t>货物保修期；</w:t>
      </w:r>
      <w:r>
        <w:rPr>
          <w:rFonts w:ascii="宋体" w:hAnsi="宋体" w:cs="宋体"/>
          <w:color w:val="auto"/>
          <w:u w:val="single"/>
        </w:rPr>
        <w:t xml:space="preserve"> </w:t>
      </w:r>
      <w:r>
        <w:rPr>
          <w:rFonts w:hint="eastAsia" w:ascii="宋体" w:hAnsi="宋体" w:cs="宋体"/>
          <w:color w:val="auto"/>
          <w:u w:val="single"/>
        </w:rPr>
        <w:t>分项有质保要求的按分项质保要求，分项没有质保要求的按国家有关产品“三包”规定执行“三包”政策且质保期3年，质保期以通过项目最终验收的验收报告签字日开始计算</w:t>
      </w:r>
      <w:r>
        <w:rPr>
          <w:rFonts w:hint="eastAsia" w:ascii="宋体" w:hAnsi="宋体" w:cs="宋体"/>
          <w:color w:val="auto"/>
          <w:u w:val="single"/>
          <w:lang w:eastAsia="zh-CN"/>
        </w:rPr>
        <w:t>。</w:t>
      </w:r>
      <w:r>
        <w:rPr>
          <w:rFonts w:hint="eastAsia" w:ascii="宋体" w:hAnsi="宋体" w:cs="宋体"/>
          <w:color w:val="auto"/>
          <w:u w:val="single"/>
        </w:rPr>
        <w:t>产品三个月内如有严重质量问题整机包换，质保期从设备重新安装验收之日起计算。</w:t>
      </w:r>
      <w:bookmarkEnd w:id="6"/>
    </w:p>
    <w:p w14:paraId="07B92CFF">
      <w:pPr>
        <w:snapToGrid w:val="0"/>
        <w:spacing w:line="420" w:lineRule="exact"/>
        <w:ind w:firstLine="420" w:firstLineChars="200"/>
        <w:rPr>
          <w:rFonts w:ascii="宋体" w:hAnsi="宋体"/>
          <w:color w:val="auto"/>
          <w:u w:val="single"/>
        </w:rPr>
      </w:pPr>
      <w:r>
        <w:rPr>
          <w:rFonts w:ascii="宋体" w:hAnsi="宋体" w:cs="宋体"/>
          <w:color w:val="auto"/>
        </w:rPr>
        <w:t>3</w:t>
      </w:r>
      <w:r>
        <w:rPr>
          <w:rFonts w:hint="eastAsia" w:ascii="宋体" w:hAnsi="宋体" w:cs="宋体"/>
          <w:color w:val="auto"/>
        </w:rPr>
        <w:t>.乙方提供的服务承诺和售后服务及保修期责任等其它具体约定事项。（见合同附件）</w:t>
      </w:r>
    </w:p>
    <w:p w14:paraId="1F8F4546">
      <w:pPr>
        <w:snapToGrid w:val="0"/>
        <w:spacing w:line="420" w:lineRule="exact"/>
        <w:ind w:firstLine="422" w:firstLineChars="200"/>
        <w:rPr>
          <w:rFonts w:ascii="宋体" w:hAnsi="宋体"/>
          <w:color w:val="auto"/>
        </w:rPr>
      </w:pPr>
      <w:r>
        <w:rPr>
          <w:rFonts w:hint="eastAsia" w:ascii="宋体" w:hAnsi="宋体"/>
          <w:b/>
          <w:color w:val="auto"/>
        </w:rPr>
        <w:t>第八条　付款方式</w:t>
      </w:r>
    </w:p>
    <w:p w14:paraId="06446310">
      <w:pPr>
        <w:snapToGrid w:val="0"/>
        <w:spacing w:line="420" w:lineRule="exact"/>
        <w:ind w:firstLine="420" w:firstLineChars="200"/>
        <w:rPr>
          <w:rFonts w:ascii="宋体" w:hAnsi="宋体"/>
          <w:color w:val="auto"/>
          <w:kern w:val="0"/>
        </w:rPr>
      </w:pPr>
      <w:r>
        <w:rPr>
          <w:rFonts w:hint="eastAsia" w:ascii="宋体" w:hAnsi="宋体"/>
          <w:bCs/>
          <w:color w:val="auto"/>
          <w:kern w:val="0"/>
        </w:rPr>
        <w:t>1.</w:t>
      </w:r>
      <w:r>
        <w:rPr>
          <w:rFonts w:hint="eastAsia" w:ascii="宋体" w:hAnsi="宋体"/>
          <w:color w:val="auto"/>
          <w:kern w:val="0"/>
        </w:rPr>
        <w:t>当采购数量与实际使用数量不一致时，乙方应根据实际使用量供货，合同的最终结算金额按实际使用量乘以成交单价进行计算。</w:t>
      </w:r>
    </w:p>
    <w:p w14:paraId="7B9EB962">
      <w:pPr>
        <w:snapToGrid w:val="0"/>
        <w:spacing w:line="420" w:lineRule="exact"/>
        <w:ind w:firstLine="420" w:firstLineChars="200"/>
        <w:rPr>
          <w:rFonts w:ascii="宋体" w:hAnsi="宋体"/>
          <w:color w:val="auto"/>
          <w:u w:val="single"/>
        </w:rPr>
      </w:pPr>
      <w:r>
        <w:rPr>
          <w:rFonts w:hint="eastAsia" w:ascii="宋体" w:hAnsi="宋体"/>
          <w:color w:val="auto"/>
        </w:rPr>
        <w:t>2.资金性质：</w:t>
      </w:r>
      <w:r>
        <w:rPr>
          <w:rFonts w:hint="eastAsia" w:ascii="宋体" w:hAnsi="宋体"/>
          <w:color w:val="auto"/>
          <w:u w:val="single"/>
        </w:rPr>
        <w:t>财政性资金</w:t>
      </w:r>
      <w:r>
        <w:rPr>
          <w:rFonts w:hint="eastAsia" w:ascii="宋体" w:hAnsi="宋体"/>
          <w:color w:val="auto"/>
        </w:rPr>
        <w:t>。</w:t>
      </w:r>
    </w:p>
    <w:p w14:paraId="6431CB19">
      <w:pPr>
        <w:snapToGrid w:val="0"/>
        <w:spacing w:line="420" w:lineRule="exact"/>
        <w:ind w:firstLine="420" w:firstLineChars="200"/>
        <w:rPr>
          <w:rFonts w:ascii="宋体" w:hAnsi="宋体"/>
          <w:color w:val="auto"/>
        </w:rPr>
      </w:pPr>
      <w:r>
        <w:rPr>
          <w:rFonts w:hint="eastAsia" w:ascii="宋体" w:hAnsi="宋体"/>
          <w:color w:val="auto"/>
        </w:rPr>
        <w:t>3.付款方式：</w:t>
      </w:r>
    </w:p>
    <w:p w14:paraId="2FB93DBB">
      <w:pPr>
        <w:snapToGrid w:val="0"/>
        <w:spacing w:line="420" w:lineRule="exact"/>
        <w:ind w:firstLine="420" w:firstLineChars="200"/>
        <w:rPr>
          <w:rFonts w:hint="eastAsia" w:ascii="宋体" w:hAnsi="宋体"/>
          <w:color w:val="auto"/>
        </w:rPr>
      </w:pPr>
      <w:r>
        <w:rPr>
          <w:rFonts w:hint="eastAsia" w:ascii="宋体" w:hAnsi="宋体"/>
          <w:color w:val="auto"/>
          <w:lang w:eastAsia="zh-CN"/>
        </w:rPr>
        <w:t>①</w:t>
      </w:r>
      <w:bookmarkStart w:id="7" w:name="auto_fouce_8"/>
      <w:r>
        <w:rPr>
          <w:rFonts w:hint="eastAsia" w:ascii="宋体" w:hAnsi="宋体"/>
          <w:color w:val="auto"/>
        </w:rPr>
        <w:t>本项目无预付款，成交人供货安装调试完毕并通过验收后向采购人提供与合同金额一致的有效发票，采购人提请按相关程序一次性拨付100％合同款项。</w:t>
      </w:r>
      <w:bookmarkEnd w:id="7"/>
    </w:p>
    <w:p w14:paraId="20A90497">
      <w:pPr>
        <w:snapToGrid w:val="0"/>
        <w:spacing w:line="420" w:lineRule="exact"/>
        <w:ind w:firstLine="420" w:firstLineChars="200"/>
        <w:rPr>
          <w:rFonts w:ascii="宋体" w:hAnsi="宋体"/>
          <w:bCs/>
          <w:color w:val="auto"/>
          <w:kern w:val="0"/>
          <w:u w:val="single"/>
        </w:rPr>
      </w:pPr>
      <w:r>
        <w:rPr>
          <w:rFonts w:ascii="宋体" w:hAnsi="宋体"/>
          <w:bCs/>
          <w:color w:val="auto"/>
          <w:kern w:val="0"/>
          <w:u w:val="single"/>
        </w:rPr>
        <w:fldChar w:fldCharType="begin"/>
      </w:r>
      <w:r>
        <w:rPr>
          <w:rFonts w:ascii="宋体" w:hAnsi="宋体"/>
          <w:bCs/>
          <w:color w:val="auto"/>
          <w:kern w:val="0"/>
          <w:u w:val="single"/>
        </w:rPr>
        <w:instrText xml:space="preserve"> </w:instrText>
      </w:r>
      <w:r>
        <w:rPr>
          <w:rFonts w:hint="eastAsia" w:ascii="宋体" w:hAnsi="宋体"/>
          <w:bCs/>
          <w:color w:val="auto"/>
          <w:kern w:val="0"/>
          <w:u w:val="single"/>
        </w:rPr>
        <w:instrText xml:space="preserve">= 2 \* GB3</w:instrText>
      </w:r>
      <w:r>
        <w:rPr>
          <w:rFonts w:ascii="宋体" w:hAnsi="宋体"/>
          <w:bCs/>
          <w:color w:val="auto"/>
          <w:kern w:val="0"/>
          <w:u w:val="single"/>
        </w:rPr>
        <w:instrText xml:space="preserve"> </w:instrText>
      </w:r>
      <w:r>
        <w:rPr>
          <w:rFonts w:ascii="宋体" w:hAnsi="宋体"/>
          <w:bCs/>
          <w:color w:val="auto"/>
          <w:kern w:val="0"/>
          <w:u w:val="single"/>
        </w:rPr>
        <w:fldChar w:fldCharType="separate"/>
      </w:r>
      <w:r>
        <w:rPr>
          <w:rFonts w:hint="eastAsia" w:ascii="宋体" w:hAnsi="宋体"/>
          <w:bCs/>
          <w:color w:val="auto"/>
          <w:kern w:val="0"/>
          <w:u w:val="single"/>
        </w:rPr>
        <w:t>②</w:t>
      </w:r>
      <w:r>
        <w:rPr>
          <w:rFonts w:ascii="宋体" w:hAnsi="宋体"/>
          <w:bCs/>
          <w:color w:val="auto"/>
          <w:kern w:val="0"/>
          <w:u w:val="single"/>
        </w:rPr>
        <w:fldChar w:fldCharType="end"/>
      </w:r>
      <w:r>
        <w:rPr>
          <w:rFonts w:hint="eastAsia" w:ascii="宋体" w:hAnsi="宋体"/>
          <w:bCs/>
          <w:color w:val="auto"/>
          <w:kern w:val="0"/>
          <w:u w:val="single"/>
        </w:rPr>
        <w:t>若采购数量与实际使用数量不一致时，乙方应根据实际使用量供货，合同的最终结算金额按实际使用量乘以成交单价进行据实计算。</w:t>
      </w:r>
    </w:p>
    <w:p w14:paraId="247C4DAF">
      <w:pPr>
        <w:snapToGrid w:val="0"/>
        <w:spacing w:line="420" w:lineRule="exact"/>
        <w:ind w:firstLine="422" w:firstLineChars="200"/>
        <w:rPr>
          <w:rFonts w:ascii="宋体"/>
          <w:b/>
          <w:bCs/>
          <w:color w:val="auto"/>
        </w:rPr>
      </w:pPr>
      <w:r>
        <w:rPr>
          <w:rFonts w:hint="eastAsia" w:ascii="宋体" w:hAnsi="宋体" w:cs="宋体"/>
          <w:b/>
          <w:bCs/>
          <w:color w:val="auto"/>
        </w:rPr>
        <w:t>第</w:t>
      </w:r>
      <w:r>
        <w:rPr>
          <w:rFonts w:hint="eastAsia" w:ascii="宋体" w:hAnsi="宋体" w:cs="宋体"/>
          <w:b/>
          <w:bCs/>
          <w:color w:val="auto"/>
          <w:lang w:val="en-US" w:eastAsia="zh-CN"/>
        </w:rPr>
        <w:t>九</w:t>
      </w:r>
      <w:r>
        <w:rPr>
          <w:rFonts w:hint="eastAsia" w:ascii="宋体" w:hAnsi="宋体" w:cs="宋体"/>
          <w:b/>
          <w:bCs/>
          <w:color w:val="auto"/>
        </w:rPr>
        <w:t>条</w:t>
      </w:r>
      <w:r>
        <w:rPr>
          <w:rFonts w:hint="eastAsia" w:ascii="宋体" w:hAnsi="宋体"/>
          <w:b/>
          <w:color w:val="auto"/>
        </w:rPr>
        <w:t>　</w:t>
      </w:r>
      <w:r>
        <w:rPr>
          <w:rFonts w:hint="eastAsia" w:ascii="宋体" w:hAnsi="宋体" w:cs="宋体"/>
          <w:b/>
          <w:bCs/>
          <w:color w:val="auto"/>
        </w:rPr>
        <w:t>税费本合同执行中相关的一切税费均由乙方负担。</w:t>
      </w:r>
    </w:p>
    <w:p w14:paraId="6BD45C0B">
      <w:pPr>
        <w:snapToGrid w:val="0"/>
        <w:spacing w:line="420" w:lineRule="exact"/>
        <w:ind w:firstLine="422" w:firstLineChars="200"/>
        <w:rPr>
          <w:rFonts w:ascii="宋体"/>
          <w:b/>
          <w:bCs/>
          <w:color w:val="auto"/>
        </w:rPr>
      </w:pPr>
      <w:r>
        <w:rPr>
          <w:rFonts w:hint="eastAsia" w:ascii="宋体" w:hAnsi="宋体" w:cs="宋体"/>
          <w:b/>
          <w:bCs/>
          <w:color w:val="auto"/>
        </w:rPr>
        <w:t>第十条</w:t>
      </w:r>
      <w:r>
        <w:rPr>
          <w:rFonts w:hint="eastAsia" w:ascii="宋体" w:hAnsi="宋体"/>
          <w:b/>
          <w:color w:val="auto"/>
        </w:rPr>
        <w:t>　</w:t>
      </w:r>
      <w:r>
        <w:rPr>
          <w:rFonts w:hint="eastAsia" w:ascii="宋体" w:hAnsi="宋体" w:cs="宋体"/>
          <w:b/>
          <w:bCs/>
          <w:color w:val="auto"/>
        </w:rPr>
        <w:t>质量保证及售后服务</w:t>
      </w:r>
    </w:p>
    <w:p w14:paraId="2ECA43B1">
      <w:pPr>
        <w:snapToGrid w:val="0"/>
        <w:spacing w:line="420" w:lineRule="exact"/>
        <w:ind w:firstLine="472" w:firstLineChars="225"/>
        <w:rPr>
          <w:rFonts w:hint="eastAsia" w:ascii="宋体" w:hAnsi="宋体" w:cs="宋体"/>
          <w:color w:val="auto"/>
        </w:rPr>
      </w:pPr>
      <w:r>
        <w:rPr>
          <w:rFonts w:hint="eastAsia" w:ascii="宋体" w:hAnsi="宋体" w:cs="宋体"/>
          <w:color w:val="auto"/>
        </w:rPr>
        <w:t>1. 乙方应按谈判文件规定及响应文件承诺的货物性能、技术要求、质量标准向甲方提供未经使用的全新产品。乙方提供货物的质量保证期按交货验收合格之日起计</w:t>
      </w:r>
      <w:r>
        <w:rPr>
          <w:rFonts w:hint="eastAsia" w:ascii="宋体" w:hAnsi="宋体" w:cs="宋体"/>
          <w:color w:val="auto"/>
          <w:lang w:val="en-US" w:eastAsia="zh-CN"/>
        </w:rPr>
        <w:t>12个月</w:t>
      </w:r>
      <w:bookmarkStart w:id="18" w:name="_GoBack"/>
      <w:bookmarkEnd w:id="18"/>
      <w:r>
        <w:rPr>
          <w:rFonts w:hint="eastAsia" w:ascii="宋体" w:hAnsi="宋体" w:cs="宋体"/>
          <w:color w:val="auto"/>
        </w:rPr>
        <w:t>。在保证期内因货物本身的质量问题发生故障，乙方应负责免费修理和更换零部件。对达不到技术要求者，根据实际情况，经双方协商，可按以下办法处理：</w:t>
      </w:r>
    </w:p>
    <w:p w14:paraId="4F15FB51">
      <w:pPr>
        <w:snapToGrid w:val="0"/>
        <w:spacing w:line="420" w:lineRule="exact"/>
        <w:ind w:firstLine="472" w:firstLineChars="225"/>
        <w:rPr>
          <w:rFonts w:hint="eastAsia" w:ascii="宋体" w:hAnsi="宋体" w:cs="宋体"/>
          <w:color w:val="auto"/>
        </w:rPr>
      </w:pPr>
      <w:r>
        <w:rPr>
          <w:rFonts w:hint="eastAsia" w:ascii="宋体" w:hAnsi="宋体" w:cs="宋体"/>
          <w:color w:val="auto"/>
        </w:rPr>
        <w:t>⑴更换：由乙方承担所发生的全部费用。</w:t>
      </w:r>
    </w:p>
    <w:p w14:paraId="735644AB">
      <w:pPr>
        <w:snapToGrid w:val="0"/>
        <w:spacing w:line="420" w:lineRule="exact"/>
        <w:ind w:firstLine="472" w:firstLineChars="225"/>
        <w:rPr>
          <w:rFonts w:hint="eastAsia" w:ascii="宋体" w:hAnsi="宋体" w:cs="宋体"/>
          <w:color w:val="auto"/>
        </w:rPr>
      </w:pPr>
      <w:r>
        <w:rPr>
          <w:rFonts w:hint="eastAsia" w:ascii="宋体" w:hAnsi="宋体" w:cs="宋体"/>
          <w:color w:val="auto"/>
        </w:rPr>
        <w:t>⑵贬值处理：由甲乙双方合议定价。</w:t>
      </w:r>
    </w:p>
    <w:p w14:paraId="6BBA4291">
      <w:pPr>
        <w:snapToGrid w:val="0"/>
        <w:spacing w:line="420" w:lineRule="exact"/>
        <w:ind w:firstLine="472" w:firstLineChars="225"/>
        <w:rPr>
          <w:rFonts w:hint="eastAsia" w:ascii="宋体" w:hAnsi="宋体" w:cs="宋体"/>
          <w:color w:val="auto"/>
        </w:rPr>
      </w:pPr>
      <w:r>
        <w:rPr>
          <w:rFonts w:hint="eastAsia" w:ascii="宋体" w:hAnsi="宋体" w:cs="宋体"/>
          <w:color w:val="auto"/>
        </w:rPr>
        <w:t>⑶退货处理：乙方应退还甲方支付的合同款，同时应承担该货物的直接费用（运输、保险、检验、</w:t>
      </w:r>
    </w:p>
    <w:p w14:paraId="2DFCF684">
      <w:pPr>
        <w:snapToGrid w:val="0"/>
        <w:spacing w:line="420" w:lineRule="exact"/>
        <w:ind w:firstLine="472" w:firstLineChars="225"/>
        <w:rPr>
          <w:rFonts w:hint="eastAsia" w:ascii="宋体" w:hAnsi="宋体" w:cs="宋体"/>
          <w:color w:val="auto"/>
        </w:rPr>
      </w:pPr>
      <w:r>
        <w:rPr>
          <w:rFonts w:hint="eastAsia" w:ascii="宋体" w:hAnsi="宋体" w:cs="宋体"/>
          <w:color w:val="auto"/>
        </w:rPr>
        <w:t>货款利息及银行手续费等）。</w:t>
      </w:r>
    </w:p>
    <w:p w14:paraId="70B1A626">
      <w:pPr>
        <w:snapToGrid w:val="0"/>
        <w:spacing w:line="420" w:lineRule="exact"/>
        <w:ind w:firstLine="472" w:firstLineChars="225"/>
        <w:rPr>
          <w:rFonts w:hint="eastAsia" w:ascii="宋体" w:hAnsi="宋体" w:cs="宋体"/>
          <w:color w:val="auto"/>
        </w:rPr>
      </w:pPr>
      <w:r>
        <w:rPr>
          <w:rFonts w:hint="eastAsia" w:ascii="宋体" w:hAnsi="宋体" w:cs="宋体"/>
          <w:color w:val="auto"/>
        </w:rPr>
        <w:t>2. 如在使用过程中发生质量问题，乙方在接到甲方通知后在</w:t>
      </w:r>
      <w:r>
        <w:rPr>
          <w:rFonts w:hint="eastAsia" w:ascii="宋体" w:hAnsi="宋体" w:cs="宋体"/>
          <w:color w:val="auto"/>
          <w:u w:val="single"/>
        </w:rPr>
        <w:t xml:space="preserve"> 2 </w:t>
      </w:r>
      <w:r>
        <w:rPr>
          <w:rFonts w:hint="eastAsia" w:ascii="宋体" w:hAnsi="宋体" w:cs="宋体"/>
          <w:color w:val="auto"/>
        </w:rPr>
        <w:t>小时内到达甲方现场。</w:t>
      </w:r>
    </w:p>
    <w:p w14:paraId="6C0B373A">
      <w:pPr>
        <w:snapToGrid w:val="0"/>
        <w:spacing w:line="420" w:lineRule="exact"/>
        <w:ind w:firstLine="472" w:firstLineChars="225"/>
        <w:rPr>
          <w:rFonts w:hint="eastAsia" w:ascii="宋体" w:hAnsi="宋体" w:cs="宋体"/>
          <w:color w:val="auto"/>
        </w:rPr>
      </w:pPr>
      <w:r>
        <w:rPr>
          <w:rFonts w:hint="eastAsia" w:ascii="宋体" w:hAnsi="宋体" w:cs="宋体"/>
          <w:color w:val="auto"/>
        </w:rPr>
        <w:t>3. 在质保期内，乙方应对货物出现的质量及安全问题负责处理解决并承担一切费用。</w:t>
      </w:r>
    </w:p>
    <w:p w14:paraId="1F7459B2">
      <w:pPr>
        <w:snapToGrid w:val="0"/>
        <w:spacing w:line="420" w:lineRule="exact"/>
        <w:ind w:firstLine="472" w:firstLineChars="225"/>
        <w:rPr>
          <w:rFonts w:hint="eastAsia" w:ascii="宋体" w:hAnsi="宋体" w:cs="宋体"/>
          <w:color w:val="auto"/>
        </w:rPr>
      </w:pPr>
      <w:r>
        <w:rPr>
          <w:rFonts w:hint="eastAsia" w:ascii="宋体" w:hAnsi="宋体" w:cs="宋体"/>
          <w:color w:val="auto"/>
        </w:rPr>
        <w:t>4.上述的货物免费保修期为</w:t>
      </w:r>
      <w:r>
        <w:rPr>
          <w:rFonts w:hint="eastAsia" w:ascii="宋体" w:hAnsi="宋体" w:cs="宋体"/>
          <w:color w:val="auto"/>
          <w:u w:val="single"/>
          <w:lang w:val="en-US" w:eastAsia="zh-CN"/>
        </w:rPr>
        <w:t>3</w:t>
      </w:r>
      <w:r>
        <w:rPr>
          <w:rFonts w:hint="eastAsia" w:ascii="宋体" w:hAnsi="宋体" w:cs="宋体"/>
          <w:color w:val="auto"/>
        </w:rPr>
        <w:t>年，因人为因素出现的故障不在免费保修范围内。超过保修期的机器设备，终生维修，维修时只收部件成本费。</w:t>
      </w:r>
    </w:p>
    <w:p w14:paraId="42952704">
      <w:pPr>
        <w:pStyle w:val="4"/>
        <w:snapToGrid w:val="0"/>
        <w:spacing w:line="420" w:lineRule="exact"/>
        <w:ind w:firstLine="413" w:firstLineChars="196"/>
        <w:rPr>
          <w:rFonts w:hAnsi="宋体"/>
          <w:b/>
          <w:bCs/>
          <w:color w:val="auto"/>
          <w:sz w:val="21"/>
          <w:szCs w:val="21"/>
        </w:rPr>
      </w:pPr>
      <w:r>
        <w:rPr>
          <w:rFonts w:hint="eastAsia" w:hAnsi="宋体"/>
          <w:b/>
          <w:bCs/>
          <w:color w:val="auto"/>
          <w:sz w:val="21"/>
          <w:szCs w:val="21"/>
        </w:rPr>
        <w:t>第十</w:t>
      </w:r>
      <w:r>
        <w:rPr>
          <w:rFonts w:hint="eastAsia" w:hAnsi="宋体"/>
          <w:b/>
          <w:bCs/>
          <w:color w:val="auto"/>
          <w:sz w:val="21"/>
          <w:szCs w:val="21"/>
          <w:lang w:val="en-US" w:eastAsia="zh-CN"/>
        </w:rPr>
        <w:t>一</w:t>
      </w:r>
      <w:r>
        <w:rPr>
          <w:rFonts w:hint="eastAsia" w:hAnsi="宋体"/>
          <w:b/>
          <w:bCs/>
          <w:color w:val="auto"/>
          <w:sz w:val="21"/>
          <w:szCs w:val="21"/>
        </w:rPr>
        <w:t>条</w:t>
      </w:r>
      <w:r>
        <w:rPr>
          <w:rFonts w:hint="eastAsia" w:hAnsi="宋体"/>
          <w:b/>
          <w:color w:val="auto"/>
          <w:sz w:val="21"/>
          <w:szCs w:val="21"/>
        </w:rPr>
        <w:t>　</w:t>
      </w:r>
      <w:r>
        <w:rPr>
          <w:rFonts w:hint="eastAsia" w:hAnsi="宋体"/>
          <w:b/>
          <w:bCs/>
          <w:color w:val="auto"/>
          <w:sz w:val="21"/>
          <w:szCs w:val="21"/>
        </w:rPr>
        <w:t>货物包装、发运及运输</w:t>
      </w:r>
    </w:p>
    <w:p w14:paraId="55BD9632">
      <w:pPr>
        <w:pStyle w:val="4"/>
        <w:snapToGrid w:val="0"/>
        <w:spacing w:line="420" w:lineRule="exact"/>
        <w:ind w:left="420" w:leftChars="200"/>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1. 乙方应在货物发运前对其进行满足运输距离、防潮、防震、防锈和防破损装卸等要求包装，以</w:t>
      </w:r>
    </w:p>
    <w:p w14:paraId="2702FE53">
      <w:pPr>
        <w:pStyle w:val="4"/>
        <w:snapToGrid w:val="0"/>
        <w:spacing w:line="420" w:lineRule="exact"/>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保证货物安全运达甲方指定地点。</w:t>
      </w:r>
    </w:p>
    <w:p w14:paraId="23AFD5AB">
      <w:pPr>
        <w:pStyle w:val="4"/>
        <w:snapToGrid w:val="0"/>
        <w:spacing w:line="420" w:lineRule="exact"/>
        <w:ind w:left="420" w:leftChars="200"/>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2. 使用说明书、质量检验证明书、随配附件和工具以及清单一并附于货物内。</w:t>
      </w:r>
    </w:p>
    <w:p w14:paraId="0AA80C79">
      <w:pPr>
        <w:pStyle w:val="4"/>
        <w:snapToGrid w:val="0"/>
        <w:spacing w:line="420" w:lineRule="exact"/>
        <w:ind w:left="420" w:leftChars="200"/>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3. 乙方在货物发运手续办理完毕后二十四小时内或货到甲方四十八小时前通知甲方，以准备接货。</w:t>
      </w:r>
    </w:p>
    <w:p w14:paraId="5B9260B3">
      <w:pPr>
        <w:pStyle w:val="4"/>
        <w:snapToGrid w:val="0"/>
        <w:spacing w:line="420" w:lineRule="exact"/>
        <w:ind w:left="420" w:leftChars="200"/>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 xml:space="preserve">4. </w:t>
      </w:r>
      <w:bookmarkStart w:id="8" w:name="auto_fouce_10"/>
      <w:r>
        <w:rPr>
          <w:rFonts w:hint="eastAsia" w:ascii="宋体" w:hAnsi="宋体" w:cs="宋体"/>
          <w:color w:val="auto"/>
          <w:kern w:val="2"/>
          <w:sz w:val="21"/>
          <w:szCs w:val="24"/>
          <w:lang w:val="en-US" w:eastAsia="zh-CN" w:bidi="ar-SA"/>
        </w:rPr>
        <w:t>货物在交付甲方</w:t>
      </w:r>
      <w:r>
        <w:rPr>
          <w:rFonts w:hint="eastAsia" w:hAnsi="宋体" w:cs="宋体"/>
          <w:color w:val="auto"/>
          <w:kern w:val="2"/>
          <w:sz w:val="21"/>
          <w:szCs w:val="24"/>
          <w:lang w:val="en-US" w:eastAsia="zh-CN" w:bidi="ar-SA"/>
        </w:rPr>
        <w:t>并经甲方最终验收合格</w:t>
      </w:r>
      <w:r>
        <w:rPr>
          <w:rFonts w:hint="eastAsia" w:ascii="宋体" w:hAnsi="宋体" w:cs="宋体"/>
          <w:color w:val="auto"/>
          <w:kern w:val="2"/>
          <w:sz w:val="21"/>
          <w:szCs w:val="24"/>
          <w:lang w:val="en-US" w:eastAsia="zh-CN" w:bidi="ar-SA"/>
        </w:rPr>
        <w:t>前发生的</w:t>
      </w:r>
      <w:r>
        <w:rPr>
          <w:rFonts w:hint="eastAsia" w:hAnsi="宋体" w:cs="宋体"/>
          <w:color w:val="auto"/>
          <w:kern w:val="2"/>
          <w:sz w:val="21"/>
          <w:szCs w:val="24"/>
          <w:lang w:val="en-US" w:eastAsia="zh-CN" w:bidi="ar-SA"/>
        </w:rPr>
        <w:t>毁损、灭失等</w:t>
      </w:r>
      <w:r>
        <w:rPr>
          <w:rFonts w:hint="eastAsia" w:ascii="宋体" w:hAnsi="宋体" w:cs="宋体"/>
          <w:color w:val="auto"/>
          <w:kern w:val="2"/>
          <w:sz w:val="21"/>
          <w:szCs w:val="24"/>
          <w:lang w:val="en-US" w:eastAsia="zh-CN" w:bidi="ar-SA"/>
        </w:rPr>
        <w:t>风险均由乙方负责。</w:t>
      </w:r>
      <w:bookmarkEnd w:id="8"/>
    </w:p>
    <w:p w14:paraId="493914AF">
      <w:pPr>
        <w:pStyle w:val="4"/>
        <w:snapToGrid w:val="0"/>
        <w:spacing w:line="420" w:lineRule="exact"/>
        <w:ind w:left="420" w:leftChars="200" w:right="26"/>
        <w:rPr>
          <w:rFonts w:hint="eastAsia" w:ascii="宋体" w:hAnsi="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5. 货物在规定的交付期限内由乙方送达甲方指定的地点视为交付，乙方同时需书面通知甲方货物已送达。</w:t>
      </w:r>
    </w:p>
    <w:p w14:paraId="1C83A303">
      <w:pPr>
        <w:snapToGrid w:val="0"/>
        <w:spacing w:line="420" w:lineRule="exact"/>
        <w:ind w:firstLine="422" w:firstLineChars="200"/>
        <w:rPr>
          <w:rFonts w:ascii="宋体"/>
          <w:b/>
          <w:bCs/>
          <w:color w:val="auto"/>
        </w:rPr>
      </w:pPr>
      <w:r>
        <w:rPr>
          <w:rFonts w:hint="eastAsia" w:ascii="宋体" w:hAnsi="宋体" w:cs="宋体"/>
          <w:b/>
          <w:bCs/>
          <w:color w:val="auto"/>
        </w:rPr>
        <w:t>第十</w:t>
      </w:r>
      <w:r>
        <w:rPr>
          <w:rFonts w:hint="eastAsia" w:hAnsi="宋体"/>
          <w:b/>
          <w:bCs/>
          <w:color w:val="auto"/>
          <w:sz w:val="21"/>
          <w:szCs w:val="21"/>
        </w:rPr>
        <w:t>二</w:t>
      </w:r>
      <w:r>
        <w:rPr>
          <w:rFonts w:hint="eastAsia" w:ascii="宋体" w:hAnsi="宋体" w:cs="宋体"/>
          <w:b/>
          <w:bCs/>
          <w:color w:val="auto"/>
        </w:rPr>
        <w:t>条　违约责任</w:t>
      </w:r>
    </w:p>
    <w:p w14:paraId="67223704">
      <w:pPr>
        <w:snapToGrid w:val="0"/>
        <w:spacing w:line="420" w:lineRule="exact"/>
        <w:ind w:firstLine="472" w:firstLineChars="225"/>
        <w:rPr>
          <w:rFonts w:hint="eastAsia" w:ascii="宋体" w:hAnsi="宋体" w:cs="宋体"/>
          <w:color w:val="auto"/>
        </w:rPr>
      </w:pPr>
      <w:r>
        <w:rPr>
          <w:rFonts w:hint="eastAsia" w:ascii="宋体" w:hAnsi="宋体" w:cs="宋体"/>
          <w:color w:val="auto"/>
        </w:rPr>
        <w:t>1．</w:t>
      </w:r>
      <w:bookmarkStart w:id="9" w:name="tip_risk_bookmark_11"/>
      <w:r>
        <w:rPr>
          <w:rFonts w:hint="eastAsia" w:ascii="宋体" w:hAnsi="宋体" w:cs="宋体"/>
          <w:color w:val="auto"/>
        </w:rPr>
        <w:t>乙方所提供的货物规格、技术标准、材料等质量不合格的，应收到甲方书面更换通知书后</w:t>
      </w:r>
      <w:r>
        <w:rPr>
          <w:rFonts w:hint="eastAsia" w:ascii="宋体" w:hAnsi="宋体" w:cs="宋体"/>
          <w:color w:val="auto"/>
          <w:lang w:val="en-US" w:eastAsia="zh-CN"/>
        </w:rPr>
        <w:t>5</w:t>
      </w:r>
      <w:r>
        <w:rPr>
          <w:rFonts w:hint="eastAsia"/>
          <w:color w:val="auto"/>
          <w:lang w:val="en-US" w:eastAsia="zh-CN"/>
        </w:rPr>
        <w:t>个工作日内</w:t>
      </w:r>
      <w:r>
        <w:rPr>
          <w:rFonts w:hint="eastAsia" w:ascii="宋体" w:hAnsi="宋体" w:cs="宋体"/>
          <w:color w:val="auto"/>
        </w:rPr>
        <w:t>及时更换，更换不及时的按逾期交货处罚；因货物规格、技术标准、材料等质量问题不合格等问题甲方不同意接收的，乙方应向甲方支付合同总额</w:t>
      </w:r>
      <w:r>
        <w:rPr>
          <w:rFonts w:hint="eastAsia" w:ascii="宋体" w:hAnsi="宋体" w:cs="宋体"/>
          <w:color w:val="auto"/>
          <w:lang w:val="en-US" w:eastAsia="zh-CN"/>
        </w:rPr>
        <w:t>3</w:t>
      </w:r>
      <w:r>
        <w:rPr>
          <w:rFonts w:hint="eastAsia" w:ascii="宋体" w:hAnsi="宋体" w:cs="宋体"/>
          <w:color w:val="auto"/>
        </w:rPr>
        <w:t>0%的违约金并承担因此给甲方造成的全部损失。</w:t>
      </w:r>
      <w:bookmarkEnd w:id="9"/>
    </w:p>
    <w:p w14:paraId="0BCD61C5">
      <w:pPr>
        <w:snapToGrid w:val="0"/>
        <w:spacing w:line="420" w:lineRule="exact"/>
        <w:ind w:firstLine="472" w:firstLineChars="225"/>
        <w:rPr>
          <w:rFonts w:hint="eastAsia" w:ascii="宋体" w:hAnsi="宋体" w:cs="宋体"/>
          <w:color w:val="auto"/>
        </w:rPr>
      </w:pPr>
      <w:r>
        <w:rPr>
          <w:rFonts w:hint="eastAsia" w:ascii="宋体" w:hAnsi="宋体" w:cs="宋体"/>
          <w:color w:val="auto"/>
        </w:rPr>
        <w:t>2．</w:t>
      </w:r>
      <w:bookmarkStart w:id="10" w:name="tip_risk_bookmark_12"/>
      <w:r>
        <w:rPr>
          <w:rFonts w:hint="eastAsia" w:ascii="宋体" w:hAnsi="宋体" w:eastAsia="宋体" w:cs="宋体"/>
          <w:color w:val="auto"/>
          <w:sz w:val="21"/>
          <w:szCs w:val="24"/>
        </w:rPr>
        <w:t>乙方保证所提供货物不存在任何权利瑕疵，</w:t>
      </w:r>
      <w:r>
        <w:rPr>
          <w:rFonts w:hint="eastAsia" w:ascii="宋体" w:hAnsi="宋体" w:eastAsia="宋体" w:cs="宋体"/>
          <w:color w:val="auto"/>
          <w:sz w:val="21"/>
          <w:szCs w:val="24"/>
          <w:lang w:val="en-US" w:eastAsia="zh-CN"/>
        </w:rPr>
        <w:t>乙方</w:t>
      </w:r>
      <w:r>
        <w:rPr>
          <w:rFonts w:hint="eastAsia" w:ascii="宋体" w:hAnsi="宋体" w:eastAsia="宋体" w:cs="宋体"/>
          <w:color w:val="auto"/>
          <w:sz w:val="21"/>
          <w:szCs w:val="24"/>
        </w:rPr>
        <w:t>必须保证所提供的系统及相关服务涉及到的知识产权和相关技术资料是合法取得的</w:t>
      </w:r>
      <w:r>
        <w:rPr>
          <w:rFonts w:hint="eastAsia" w:ascii="宋体" w:hAnsi="宋体" w:eastAsia="宋体" w:cs="宋体"/>
          <w:color w:val="auto"/>
          <w:sz w:val="21"/>
          <w:szCs w:val="24"/>
          <w:lang w:eastAsia="zh-CN"/>
        </w:rPr>
        <w:t>，</w:t>
      </w:r>
      <w:r>
        <w:rPr>
          <w:rFonts w:hint="eastAsia" w:ascii="宋体" w:hAnsi="宋体" w:eastAsia="宋体" w:cs="宋体"/>
          <w:color w:val="auto"/>
          <w:sz w:val="21"/>
          <w:szCs w:val="24"/>
        </w:rPr>
        <w:t>不侵犯任何第三方知识产权、商标、专利、著作权、商业秘密等合法权益。</w:t>
      </w:r>
      <w:r>
        <w:rPr>
          <w:rFonts w:hint="eastAsia" w:ascii="宋体" w:hAnsi="宋体" w:eastAsia="宋体" w:cs="宋体"/>
          <w:color w:val="auto"/>
          <w:sz w:val="21"/>
          <w:szCs w:val="24"/>
          <w:lang w:val="en-US" w:eastAsia="zh-CN"/>
        </w:rPr>
        <w:t>若</w:t>
      </w:r>
      <w:r>
        <w:rPr>
          <w:rFonts w:hint="eastAsia" w:ascii="宋体" w:hAnsi="宋体" w:cs="宋体"/>
          <w:color w:val="auto"/>
        </w:rPr>
        <w:t>乙方提供的货物如侵犯了第三方合法权益而</w:t>
      </w:r>
      <w:r>
        <w:rPr>
          <w:rFonts w:hint="eastAsia" w:ascii="宋体" w:hAnsi="宋体" w:eastAsia="宋体" w:cs="宋体"/>
          <w:color w:val="auto"/>
          <w:sz w:val="21"/>
          <w:szCs w:val="24"/>
        </w:rPr>
        <w:t>由此引发的全部索赔、投诉、纠纷、诉讼、仲裁，</w:t>
      </w:r>
      <w:r>
        <w:rPr>
          <w:rFonts w:hint="eastAsia" w:ascii="宋体" w:hAnsi="宋体" w:eastAsia="宋体" w:cs="宋体"/>
          <w:b w:val="0"/>
          <w:bCs w:val="0"/>
          <w:color w:val="auto"/>
          <w:sz w:val="21"/>
          <w:szCs w:val="24"/>
        </w:rPr>
        <w:t>均由乙方全权负责交涉、应诉、和解、赔偿，均由乙方全权负责交涉、应诉、和解、赔偿，承担全部法律责任</w:t>
      </w:r>
      <w:r>
        <w:rPr>
          <w:rFonts w:hint="eastAsia" w:ascii="宋体" w:hAnsi="宋体" w:cs="宋体"/>
          <w:b w:val="0"/>
          <w:bCs w:val="0"/>
          <w:color w:val="auto"/>
          <w:sz w:val="21"/>
          <w:szCs w:val="24"/>
          <w:lang w:eastAsia="zh-CN"/>
        </w:rPr>
        <w:t>，</w:t>
      </w:r>
      <w:r>
        <w:rPr>
          <w:rFonts w:hint="eastAsia" w:ascii="宋体" w:hAnsi="宋体" w:eastAsia="宋体" w:cs="宋体"/>
          <w:color w:val="auto"/>
          <w:sz w:val="21"/>
          <w:szCs w:val="24"/>
          <w:lang w:val="en-US" w:eastAsia="zh-CN"/>
        </w:rPr>
        <w:t>甲方</w:t>
      </w:r>
      <w:r>
        <w:rPr>
          <w:rFonts w:hint="eastAsia" w:ascii="宋体" w:hAnsi="宋体" w:eastAsia="宋体" w:cs="宋体"/>
          <w:color w:val="auto"/>
          <w:sz w:val="21"/>
          <w:szCs w:val="24"/>
        </w:rPr>
        <w:t>有权追究</w:t>
      </w:r>
      <w:r>
        <w:rPr>
          <w:rFonts w:hint="eastAsia" w:ascii="宋体" w:hAnsi="宋体" w:eastAsia="宋体" w:cs="宋体"/>
          <w:color w:val="auto"/>
          <w:sz w:val="21"/>
          <w:szCs w:val="24"/>
          <w:lang w:val="en-US" w:eastAsia="zh-CN"/>
        </w:rPr>
        <w:t>乙方</w:t>
      </w:r>
      <w:r>
        <w:rPr>
          <w:rFonts w:hint="eastAsia" w:ascii="宋体" w:hAnsi="宋体" w:eastAsia="宋体" w:cs="宋体"/>
          <w:color w:val="auto"/>
          <w:sz w:val="21"/>
          <w:szCs w:val="24"/>
        </w:rPr>
        <w:t>的法律责任， 其不利后果由</w:t>
      </w:r>
      <w:r>
        <w:rPr>
          <w:rFonts w:hint="eastAsia" w:ascii="宋体" w:hAnsi="宋体" w:eastAsia="宋体" w:cs="宋体"/>
          <w:color w:val="auto"/>
          <w:sz w:val="21"/>
          <w:szCs w:val="24"/>
          <w:lang w:val="en-US" w:eastAsia="zh-CN"/>
        </w:rPr>
        <w:t>乙方</w:t>
      </w:r>
      <w:r>
        <w:rPr>
          <w:rFonts w:hint="eastAsia" w:ascii="宋体" w:hAnsi="宋体" w:eastAsia="宋体" w:cs="宋体"/>
          <w:color w:val="auto"/>
          <w:sz w:val="21"/>
          <w:szCs w:val="24"/>
        </w:rPr>
        <w:t>全部承担。乙方出现上述侵权情形的，应立即无条件召回、更换侵权货物，并向甲方支付</w:t>
      </w:r>
      <w:r>
        <w:rPr>
          <w:rFonts w:hint="eastAsia" w:ascii="宋体" w:hAnsi="宋体" w:eastAsia="宋体" w:cs="宋体"/>
          <w:b w:val="0"/>
          <w:bCs w:val="0"/>
          <w:color w:val="auto"/>
          <w:sz w:val="21"/>
          <w:szCs w:val="24"/>
        </w:rPr>
        <w:t xml:space="preserve">合同总金额 </w:t>
      </w:r>
      <w:r>
        <w:rPr>
          <w:rFonts w:hint="eastAsia" w:ascii="宋体" w:hAnsi="宋体" w:cs="宋体"/>
          <w:b w:val="0"/>
          <w:bCs w:val="0"/>
          <w:color w:val="auto"/>
          <w:sz w:val="21"/>
          <w:szCs w:val="24"/>
          <w:lang w:val="en-US" w:eastAsia="zh-CN"/>
        </w:rPr>
        <w:t>3</w:t>
      </w:r>
      <w:r>
        <w:rPr>
          <w:rFonts w:hint="eastAsia" w:ascii="宋体" w:hAnsi="宋体" w:eastAsia="宋体" w:cs="宋体"/>
          <w:b w:val="0"/>
          <w:bCs w:val="0"/>
          <w:color w:val="auto"/>
          <w:sz w:val="21"/>
          <w:szCs w:val="24"/>
        </w:rPr>
        <w:t>0% 的违约金</w:t>
      </w:r>
      <w:r>
        <w:rPr>
          <w:rFonts w:hint="eastAsia" w:ascii="宋体" w:hAnsi="宋体" w:cs="宋体"/>
          <w:color w:val="auto"/>
        </w:rPr>
        <w:t>并承担因此给甲方造成的全部损失。</w:t>
      </w:r>
      <w:bookmarkEnd w:id="10"/>
    </w:p>
    <w:p w14:paraId="5611179C">
      <w:pPr>
        <w:snapToGrid w:val="0"/>
        <w:spacing w:line="420" w:lineRule="exact"/>
        <w:ind w:firstLine="472" w:firstLineChars="225"/>
        <w:rPr>
          <w:rFonts w:hint="eastAsia" w:ascii="宋体" w:hAnsi="宋体" w:cs="宋体"/>
          <w:color w:val="auto"/>
        </w:rPr>
      </w:pPr>
      <w:r>
        <w:rPr>
          <w:rFonts w:hint="eastAsia" w:ascii="宋体" w:hAnsi="宋体" w:cs="宋体"/>
          <w:color w:val="auto"/>
        </w:rPr>
        <w:t>3．因包装、运输引起的货物损坏，乙方按照第十三条违约责任第一点约定处理，承担违约责任。</w:t>
      </w:r>
    </w:p>
    <w:p w14:paraId="6284F5B8">
      <w:pPr>
        <w:snapToGrid w:val="0"/>
        <w:spacing w:line="420" w:lineRule="exact"/>
        <w:ind w:firstLine="472" w:firstLineChars="225"/>
        <w:rPr>
          <w:rFonts w:hint="eastAsia" w:ascii="宋体" w:hAnsi="宋体" w:cs="宋体"/>
          <w:color w:val="auto"/>
        </w:rPr>
      </w:pPr>
      <w:r>
        <w:rPr>
          <w:rFonts w:hint="eastAsia" w:ascii="宋体" w:hAnsi="宋体" w:cs="宋体"/>
          <w:color w:val="auto"/>
        </w:rPr>
        <w:t>4.</w:t>
      </w:r>
      <w:bookmarkStart w:id="11" w:name="tip_risk_bookmark_13"/>
      <w:r>
        <w:rPr>
          <w:rFonts w:hint="eastAsia" w:ascii="宋体" w:hAnsi="宋体" w:cs="宋体"/>
          <w:color w:val="auto"/>
        </w:rPr>
        <w:t>乙方逾期交货的，每逾期一日，按照合同总额每日</w:t>
      </w:r>
      <w:r>
        <w:rPr>
          <w:rFonts w:hint="eastAsia" w:ascii="宋体" w:hAnsi="宋体" w:cs="宋体"/>
          <w:color w:val="auto"/>
          <w:lang w:val="en-US" w:eastAsia="zh-CN"/>
        </w:rPr>
        <w:t>千</w:t>
      </w:r>
      <w:r>
        <w:rPr>
          <w:rFonts w:hint="eastAsia" w:ascii="宋体" w:hAnsi="宋体" w:cs="宋体"/>
          <w:color w:val="auto"/>
        </w:rPr>
        <w:t>分之五向甲方支付违约金；逾期超过</w:t>
      </w:r>
      <w:r>
        <w:rPr>
          <w:rFonts w:hint="eastAsia" w:ascii="宋体" w:hAnsi="宋体" w:cs="宋体"/>
          <w:color w:val="auto"/>
          <w:u w:val="single"/>
          <w:lang w:val="en-US" w:eastAsia="zh-CN"/>
        </w:rPr>
        <w:t xml:space="preserve"> 1</w:t>
      </w:r>
      <w:r>
        <w:rPr>
          <w:rFonts w:hint="eastAsia" w:ascii="宋体" w:hAnsi="宋体" w:cs="宋体"/>
          <w:color w:val="auto"/>
          <w:u w:val="single"/>
        </w:rPr>
        <w:t>0</w:t>
      </w:r>
      <w:r>
        <w:rPr>
          <w:rFonts w:hint="eastAsia" w:ascii="宋体" w:hAnsi="宋体" w:cs="宋体"/>
          <w:color w:val="auto"/>
          <w:u w:val="single"/>
          <w:lang w:val="en-US" w:eastAsia="zh-CN"/>
        </w:rPr>
        <w:t xml:space="preserve"> </w:t>
      </w:r>
      <w:r>
        <w:rPr>
          <w:rFonts w:hint="eastAsia" w:ascii="宋体" w:hAnsi="宋体" w:cs="宋体"/>
          <w:color w:val="auto"/>
        </w:rPr>
        <w:t>天，甲方权解除合同，乙方应向甲方支付合同总额30%的违约金并承担因此给甲方造成的全部损失。</w:t>
      </w:r>
      <w:bookmarkEnd w:id="11"/>
    </w:p>
    <w:p w14:paraId="7EB24CF2">
      <w:pPr>
        <w:snapToGrid w:val="0"/>
        <w:spacing w:line="420" w:lineRule="exact"/>
        <w:ind w:firstLine="472" w:firstLineChars="225"/>
        <w:rPr>
          <w:rFonts w:hint="eastAsia" w:ascii="宋体" w:hAnsi="宋体" w:cs="宋体"/>
          <w:color w:val="auto"/>
        </w:rPr>
      </w:pPr>
      <w:r>
        <w:rPr>
          <w:rFonts w:hint="eastAsia" w:ascii="宋体" w:hAnsi="宋体" w:cs="宋体"/>
          <w:color w:val="auto"/>
        </w:rPr>
        <w:t>5.</w:t>
      </w:r>
      <w:bookmarkStart w:id="12" w:name="auto_fouce_14"/>
      <w:r>
        <w:rPr>
          <w:rFonts w:hint="eastAsia" w:ascii="宋体" w:hAnsi="宋体" w:cs="宋体"/>
          <w:color w:val="auto"/>
        </w:rPr>
        <w:t>甲方无故逾期接收货物的，每逾期一日，按照</w:t>
      </w:r>
      <w:r>
        <w:rPr>
          <w:rFonts w:hint="eastAsia" w:ascii="宋体" w:hAnsi="宋体" w:cs="宋体"/>
          <w:color w:val="auto"/>
          <w:lang w:eastAsia="zh-CN"/>
        </w:rPr>
        <w:t>逾期接收货物金</w:t>
      </w:r>
      <w:r>
        <w:rPr>
          <w:rFonts w:hint="eastAsia" w:ascii="宋体" w:hAnsi="宋体" w:cs="宋体"/>
          <w:color w:val="auto"/>
        </w:rPr>
        <w:t>额每日</w:t>
      </w:r>
      <w:r>
        <w:rPr>
          <w:rFonts w:hint="eastAsia" w:ascii="宋体" w:hAnsi="宋体" w:cs="宋体"/>
          <w:color w:val="auto"/>
          <w:lang w:val="en-US" w:eastAsia="zh-CN"/>
        </w:rPr>
        <w:t>万</w:t>
      </w:r>
      <w:r>
        <w:rPr>
          <w:rFonts w:hint="eastAsia" w:ascii="宋体" w:hAnsi="宋体" w:cs="宋体"/>
          <w:color w:val="auto"/>
        </w:rPr>
        <w:t>分之五向乙方支付违约金，但累计不得超过</w:t>
      </w:r>
      <w:r>
        <w:rPr>
          <w:rFonts w:hint="eastAsia" w:ascii="宋体" w:hAnsi="宋体" w:cs="宋体"/>
          <w:color w:val="auto"/>
          <w:lang w:eastAsia="zh-CN"/>
        </w:rPr>
        <w:t>逾期接收货物金</w:t>
      </w:r>
      <w:r>
        <w:rPr>
          <w:rFonts w:hint="eastAsia" w:ascii="宋体" w:hAnsi="宋体" w:cs="宋体"/>
          <w:color w:val="auto"/>
        </w:rPr>
        <w:t>额的</w:t>
      </w:r>
      <w:r>
        <w:rPr>
          <w:rFonts w:hint="eastAsia" w:ascii="宋体" w:hAnsi="宋体" w:cs="宋体"/>
          <w:color w:val="auto"/>
          <w:u w:val="none"/>
        </w:rPr>
        <w:t>5%</w:t>
      </w:r>
      <w:r>
        <w:rPr>
          <w:rFonts w:hint="eastAsia" w:ascii="宋体" w:hAnsi="宋体" w:cs="宋体"/>
          <w:color w:val="auto"/>
        </w:rPr>
        <w:t>。</w:t>
      </w:r>
      <w:bookmarkEnd w:id="12"/>
    </w:p>
    <w:p w14:paraId="51658B05">
      <w:pPr>
        <w:snapToGrid w:val="0"/>
        <w:spacing w:line="420" w:lineRule="exact"/>
        <w:ind w:firstLine="472" w:firstLineChars="225"/>
        <w:rPr>
          <w:rFonts w:hint="eastAsia" w:ascii="宋体" w:hAnsi="宋体" w:cs="宋体"/>
          <w:color w:val="auto"/>
        </w:rPr>
      </w:pPr>
      <w:r>
        <w:rPr>
          <w:rFonts w:hint="eastAsia" w:ascii="宋体" w:hAnsi="宋体" w:cs="宋体"/>
          <w:color w:val="auto"/>
        </w:rPr>
        <w:t>6.</w:t>
      </w:r>
      <w:bookmarkStart w:id="13" w:name="auto_fouce_15"/>
      <w:r>
        <w:rPr>
          <w:rFonts w:hint="eastAsia" w:ascii="宋体" w:hAnsi="宋体" w:cs="宋体"/>
          <w:color w:val="auto"/>
        </w:rPr>
        <w:t>甲方无故延期付款的，每逾期一日，按照</w:t>
      </w:r>
      <w:r>
        <w:rPr>
          <w:rFonts w:hint="eastAsia" w:ascii="宋体" w:hAnsi="宋体" w:cs="宋体"/>
          <w:color w:val="auto"/>
          <w:lang w:eastAsia="zh-CN"/>
        </w:rPr>
        <w:t>应付未付金</w:t>
      </w:r>
      <w:r>
        <w:rPr>
          <w:rFonts w:hint="eastAsia" w:ascii="宋体" w:hAnsi="宋体" w:cs="宋体"/>
          <w:color w:val="auto"/>
        </w:rPr>
        <w:t>额每日</w:t>
      </w:r>
      <w:r>
        <w:rPr>
          <w:rFonts w:hint="eastAsia" w:ascii="宋体" w:hAnsi="宋体" w:cs="宋体"/>
          <w:color w:val="auto"/>
          <w:lang w:val="en-US" w:eastAsia="zh-CN"/>
        </w:rPr>
        <w:t>万</w:t>
      </w:r>
      <w:r>
        <w:rPr>
          <w:rFonts w:hint="eastAsia" w:ascii="宋体" w:hAnsi="宋体" w:cs="宋体"/>
          <w:color w:val="auto"/>
        </w:rPr>
        <w:t>分之五向乙方支付违约金，但累计不得超过</w:t>
      </w:r>
      <w:r>
        <w:rPr>
          <w:rFonts w:hint="eastAsia" w:ascii="宋体" w:hAnsi="宋体" w:cs="宋体"/>
          <w:color w:val="auto"/>
          <w:lang w:eastAsia="zh-CN"/>
        </w:rPr>
        <w:t>应付未付金</w:t>
      </w:r>
      <w:r>
        <w:rPr>
          <w:rFonts w:hint="eastAsia" w:ascii="宋体" w:hAnsi="宋体" w:cs="宋体"/>
          <w:color w:val="auto"/>
        </w:rPr>
        <w:t>额的</w:t>
      </w:r>
      <w:r>
        <w:rPr>
          <w:rFonts w:hint="eastAsia" w:ascii="宋体" w:hAnsi="宋体" w:cs="宋体"/>
          <w:color w:val="auto"/>
          <w:u w:val="none"/>
        </w:rPr>
        <w:t>5%</w:t>
      </w:r>
      <w:r>
        <w:rPr>
          <w:rFonts w:hint="eastAsia" w:ascii="宋体" w:hAnsi="宋体" w:cs="宋体"/>
          <w:color w:val="auto"/>
        </w:rPr>
        <w:t>。</w:t>
      </w:r>
      <w:bookmarkEnd w:id="13"/>
    </w:p>
    <w:p w14:paraId="4F9B6B39">
      <w:pPr>
        <w:snapToGrid w:val="0"/>
        <w:spacing w:line="420" w:lineRule="exact"/>
        <w:ind w:firstLine="472" w:firstLineChars="225"/>
        <w:rPr>
          <w:rFonts w:hint="eastAsia" w:ascii="宋体" w:hAnsi="宋体" w:cs="宋体"/>
          <w:color w:val="auto"/>
        </w:rPr>
      </w:pPr>
      <w:r>
        <w:rPr>
          <w:rFonts w:hint="eastAsia" w:ascii="宋体" w:hAnsi="宋体" w:cs="宋体"/>
          <w:color w:val="auto"/>
        </w:rPr>
        <w:t>7．</w:t>
      </w:r>
      <w:bookmarkStart w:id="14" w:name="tip_risk_bookmark_16"/>
      <w:r>
        <w:rPr>
          <w:rFonts w:hint="eastAsia" w:ascii="宋体" w:hAnsi="宋体" w:cs="宋体"/>
          <w:color w:val="auto"/>
        </w:rPr>
        <w:t>乙方未按本合同和响应文件中规定的服务承诺提供售后服务的，如乙方存在其他违法行为的，乙方应向甲方支付合同总额</w:t>
      </w:r>
      <w:r>
        <w:rPr>
          <w:rFonts w:hint="default" w:ascii="宋体" w:hAnsi="宋体" w:cs="宋体"/>
          <w:color w:val="auto"/>
          <w:lang w:val="en-US"/>
        </w:rPr>
        <w:t>30</w:t>
      </w:r>
      <w:r>
        <w:rPr>
          <w:rFonts w:hint="eastAsia" w:ascii="宋体" w:hAnsi="宋体" w:cs="宋体"/>
          <w:color w:val="auto"/>
        </w:rPr>
        <w:t>%的违约金并承担因此给甲方造成的全部损失。</w:t>
      </w:r>
      <w:bookmarkEnd w:id="14"/>
    </w:p>
    <w:p w14:paraId="209EC000">
      <w:pPr>
        <w:snapToGrid w:val="0"/>
        <w:spacing w:line="420" w:lineRule="exact"/>
        <w:ind w:firstLine="472" w:firstLineChars="225"/>
        <w:rPr>
          <w:rFonts w:hint="eastAsia" w:ascii="宋体" w:hAnsi="宋体" w:cs="宋体"/>
          <w:color w:val="auto"/>
        </w:rPr>
      </w:pPr>
      <w:r>
        <w:rPr>
          <w:rFonts w:hint="eastAsia" w:ascii="宋体" w:hAnsi="宋体" w:cs="宋体"/>
          <w:color w:val="auto"/>
        </w:rPr>
        <w:t>8．乙方提供的货物在质量保证期内，因设计、工艺或材料的缺陷和其它质量原因造成的问题，</w:t>
      </w:r>
      <w:r>
        <w:rPr>
          <w:rFonts w:hint="eastAsia"/>
          <w:color w:val="auto"/>
        </w:rPr>
        <w:t>处理费用由乙方承担，甲方有权直接从履约保证金中扣除；履约保证金不足的，乙方应在收到甲方书面通知后5个工作日内补足，逾期未补足的，每逾期一日按未补足金额的</w:t>
      </w:r>
      <w:r>
        <w:rPr>
          <w:rFonts w:hint="eastAsia" w:ascii="宋体" w:hAnsi="宋体" w:cs="宋体"/>
          <w:color w:val="auto"/>
          <w:lang w:val="en-US" w:eastAsia="zh-CN"/>
        </w:rPr>
        <w:t>千</w:t>
      </w:r>
      <w:r>
        <w:rPr>
          <w:rFonts w:hint="eastAsia" w:ascii="宋体" w:hAnsi="宋体" w:cs="宋体"/>
          <w:color w:val="auto"/>
        </w:rPr>
        <w:t>分之五</w:t>
      </w:r>
      <w:r>
        <w:rPr>
          <w:rFonts w:hint="eastAsia"/>
          <w:color w:val="auto"/>
        </w:rPr>
        <w:t>支付违约金。</w:t>
      </w:r>
    </w:p>
    <w:p w14:paraId="055CED1B">
      <w:pPr>
        <w:snapToGrid w:val="0"/>
        <w:spacing w:line="420" w:lineRule="exact"/>
        <w:ind w:firstLine="472" w:firstLineChars="225"/>
        <w:rPr>
          <w:rFonts w:hint="eastAsia" w:ascii="宋体" w:hAnsi="宋体" w:cs="宋体"/>
          <w:color w:val="auto"/>
        </w:rPr>
      </w:pPr>
      <w:r>
        <w:rPr>
          <w:rFonts w:hint="eastAsia" w:ascii="宋体" w:hAnsi="宋体" w:cs="宋体"/>
          <w:color w:val="auto"/>
        </w:rPr>
        <w:t>9．</w:t>
      </w:r>
      <w:bookmarkStart w:id="15" w:name="tip_risk_bookmark_17"/>
      <w:r>
        <w:rPr>
          <w:rFonts w:hint="eastAsia" w:ascii="宋体" w:hAnsi="宋体" w:cs="宋体"/>
          <w:color w:val="auto"/>
        </w:rPr>
        <w:t>如乙方存在其他</w:t>
      </w:r>
      <w:r>
        <w:rPr>
          <w:rFonts w:hint="eastAsia"/>
          <w:color w:val="auto"/>
          <w:lang w:val="en-US" w:eastAsia="zh-CN"/>
        </w:rPr>
        <w:t>违约</w:t>
      </w:r>
      <w:r>
        <w:rPr>
          <w:rFonts w:hint="eastAsia" w:ascii="宋体" w:hAnsi="宋体" w:cs="宋体"/>
          <w:color w:val="auto"/>
        </w:rPr>
        <w:t>行为的，乙方应向甲方支付合同总额</w:t>
      </w:r>
      <w:r>
        <w:rPr>
          <w:rFonts w:hint="default" w:ascii="宋体" w:hAnsi="宋体" w:cs="宋体"/>
          <w:color w:val="auto"/>
          <w:lang w:val="en-US"/>
        </w:rPr>
        <w:t>3</w:t>
      </w:r>
      <w:r>
        <w:rPr>
          <w:rFonts w:hint="eastAsia" w:ascii="宋体" w:hAnsi="宋体" w:cs="宋体"/>
          <w:color w:val="auto"/>
        </w:rPr>
        <w:t>0%的违约金并承担因此给甲方造成的全部损失。</w:t>
      </w:r>
      <w:bookmarkEnd w:id="15"/>
    </w:p>
    <w:p w14:paraId="69854CF2">
      <w:pPr>
        <w:snapToGrid w:val="0"/>
        <w:spacing w:line="420" w:lineRule="exact"/>
        <w:ind w:firstLine="472" w:firstLineChars="225"/>
        <w:rPr>
          <w:rFonts w:hint="eastAsia" w:ascii="宋体" w:hAnsi="宋体" w:cs="宋体"/>
          <w:color w:val="auto"/>
        </w:rPr>
      </w:pPr>
      <w:r>
        <w:rPr>
          <w:rFonts w:hint="eastAsia" w:ascii="宋体" w:hAnsi="宋体" w:cs="宋体"/>
          <w:color w:val="auto"/>
        </w:rPr>
        <w:t>10.</w:t>
      </w:r>
      <w:bookmarkStart w:id="16" w:name="tip_risk_bookmark_18"/>
      <w:r>
        <w:rPr>
          <w:rFonts w:hint="eastAsia" w:ascii="宋体" w:hAnsi="宋体" w:cs="宋体"/>
          <w:color w:val="auto"/>
        </w:rPr>
        <w:t>乙方在未经甲方书面同意，不能将本合同约定服务全部或部分转承包或分解后转包任何第三人履行，违反本条约定，甲方可单方面解除本合同，乙方除返还甲方已支付的费用外，乙方应按照本合同总金额30%承担违约责任。</w:t>
      </w:r>
      <w:bookmarkEnd w:id="16"/>
    </w:p>
    <w:p w14:paraId="17C04775">
      <w:pPr>
        <w:snapToGrid w:val="0"/>
        <w:spacing w:line="420" w:lineRule="exact"/>
        <w:ind w:firstLine="472" w:firstLineChars="225"/>
        <w:rPr>
          <w:rFonts w:hint="eastAsia" w:ascii="宋体" w:hAnsi="宋体" w:cs="宋体"/>
          <w:color w:val="auto"/>
        </w:rPr>
      </w:pPr>
      <w:r>
        <w:rPr>
          <w:rFonts w:hint="eastAsia" w:ascii="宋体" w:hAnsi="宋体" w:cs="宋体"/>
          <w:color w:val="auto"/>
        </w:rPr>
        <w:t>11.</w:t>
      </w:r>
      <w:bookmarkStart w:id="17" w:name="tip_risk_bookmark_19"/>
      <w:r>
        <w:rPr>
          <w:rFonts w:hint="eastAsia" w:ascii="宋体" w:hAnsi="宋体" w:cs="宋体"/>
          <w:color w:val="auto"/>
        </w:rPr>
        <w:t>乙方应严格履行保密义务，若乙方的原因导致相关信息泄露给其他第三方的，由此产生的责任，由乙方承担，按本合同总金额20%承担违约责任并赔偿甲方损失。</w:t>
      </w:r>
      <w:bookmarkEnd w:id="17"/>
    </w:p>
    <w:p w14:paraId="4BB67BB0">
      <w:pPr>
        <w:snapToGrid w:val="0"/>
        <w:spacing w:line="420" w:lineRule="exact"/>
        <w:ind w:firstLine="472" w:firstLineChars="225"/>
        <w:rPr>
          <w:rFonts w:hint="eastAsia" w:ascii="宋体" w:hAnsi="宋体" w:eastAsia="宋体" w:cs="宋体"/>
          <w:color w:val="auto"/>
          <w:sz w:val="21"/>
          <w:szCs w:val="24"/>
        </w:rPr>
      </w:pPr>
      <w:r>
        <w:rPr>
          <w:rFonts w:hint="eastAsia" w:ascii="宋体" w:hAnsi="宋体" w:eastAsia="宋体" w:cs="宋体"/>
          <w:color w:val="auto"/>
          <w:lang w:val="en-US" w:eastAsia="zh-CN"/>
        </w:rPr>
        <w:t>1</w:t>
      </w:r>
      <w:r>
        <w:rPr>
          <w:rFonts w:hint="eastAsia" w:ascii="宋体" w:hAnsi="宋体" w:cs="宋体"/>
          <w:color w:val="auto"/>
          <w:lang w:val="en-US" w:eastAsia="zh-CN"/>
        </w:rPr>
        <w:t>2</w:t>
      </w:r>
      <w:r>
        <w:rPr>
          <w:rFonts w:hint="eastAsia" w:ascii="宋体" w:hAnsi="宋体" w:eastAsia="宋体" w:cs="宋体"/>
          <w:color w:val="auto"/>
          <w:lang w:val="en-US" w:eastAsia="zh-CN"/>
        </w:rPr>
        <w:t>.</w:t>
      </w:r>
      <w:r>
        <w:rPr>
          <w:rFonts w:hint="eastAsia" w:ascii="宋体" w:hAnsi="宋体" w:eastAsia="宋体" w:cs="宋体"/>
          <w:color w:val="auto"/>
          <w:sz w:val="21"/>
          <w:szCs w:val="24"/>
        </w:rPr>
        <w:t>乙方出现上述</w:t>
      </w:r>
      <w:r>
        <w:rPr>
          <w:rFonts w:hint="eastAsia" w:ascii="宋体" w:hAnsi="宋体" w:eastAsia="宋体" w:cs="宋体"/>
          <w:color w:val="auto"/>
          <w:sz w:val="21"/>
          <w:szCs w:val="24"/>
          <w:lang w:val="en-US" w:eastAsia="zh-CN"/>
        </w:rPr>
        <w:t>违约</w:t>
      </w:r>
      <w:r>
        <w:rPr>
          <w:rFonts w:hint="eastAsia" w:ascii="宋体" w:hAnsi="宋体" w:eastAsia="宋体" w:cs="宋体"/>
          <w:color w:val="auto"/>
          <w:sz w:val="21"/>
          <w:szCs w:val="24"/>
        </w:rPr>
        <w:t>情形的，</w:t>
      </w:r>
      <w:r>
        <w:rPr>
          <w:rFonts w:hint="eastAsia" w:ascii="宋体" w:hAnsi="宋体" w:eastAsia="宋体" w:cs="宋体"/>
          <w:color w:val="auto"/>
          <w:sz w:val="21"/>
          <w:szCs w:val="24"/>
          <w:lang w:val="en-US" w:eastAsia="zh-CN"/>
        </w:rPr>
        <w:t>除</w:t>
      </w:r>
      <w:r>
        <w:rPr>
          <w:rFonts w:hint="eastAsia" w:ascii="宋体" w:hAnsi="宋体" w:eastAsia="宋体" w:cs="宋体"/>
          <w:color w:val="auto"/>
          <w:sz w:val="21"/>
          <w:szCs w:val="24"/>
        </w:rPr>
        <w:t>向甲方支付</w:t>
      </w:r>
      <w:r>
        <w:rPr>
          <w:rFonts w:hint="eastAsia" w:ascii="宋体" w:hAnsi="宋体" w:eastAsia="宋体" w:cs="宋体"/>
          <w:color w:val="auto"/>
          <w:sz w:val="21"/>
          <w:szCs w:val="24"/>
          <w:lang w:val="en-US" w:eastAsia="zh-CN"/>
        </w:rPr>
        <w:t>对应的违约金之外</w:t>
      </w:r>
      <w:r>
        <w:rPr>
          <w:rStyle w:val="10"/>
          <w:rFonts w:hint="eastAsia" w:ascii="宋体" w:hAnsi="宋体" w:eastAsia="宋体" w:cs="宋体"/>
          <w:b w:val="0"/>
          <w:bCs w:val="0"/>
          <w:color w:val="auto"/>
          <w:sz w:val="21"/>
          <w:szCs w:val="24"/>
          <w:lang w:eastAsia="zh-CN"/>
        </w:rPr>
        <w:t>，</w:t>
      </w:r>
      <w:r>
        <w:rPr>
          <w:rFonts w:hint="eastAsia" w:ascii="宋体" w:hAnsi="宋体" w:eastAsia="宋体" w:cs="宋体"/>
          <w:color w:val="auto"/>
          <w:sz w:val="21"/>
          <w:szCs w:val="24"/>
        </w:rPr>
        <w:t>同时乙方应赔偿甲方因此遭受的全部损失，包括但不限于第三方赔偿金、诉讼费、保全费、律师费、公证费、鉴定费、行政处罚罚款、货物销毁 / 召回 / 返工费用、停产停业损失、商誉损失、维权差旅费等。若前述违约金不足以弥补甲方实际损失的，乙方应就差额部分继续补足。</w:t>
      </w:r>
    </w:p>
    <w:p w14:paraId="078A0AF0">
      <w:pPr>
        <w:snapToGrid w:val="0"/>
        <w:spacing w:line="420" w:lineRule="exact"/>
        <w:ind w:firstLine="420" w:firstLineChars="200"/>
        <w:rPr>
          <w:rFonts w:hint="default" w:ascii="宋体" w:hAnsi="宋体" w:eastAsia="宋体" w:cs="宋体"/>
          <w:color w:val="auto"/>
          <w:sz w:val="21"/>
          <w:szCs w:val="24"/>
          <w:lang w:val="en-US" w:eastAsia="zh-CN"/>
        </w:rPr>
      </w:pPr>
      <w:r>
        <w:rPr>
          <w:rFonts w:hint="eastAsia" w:ascii="宋体" w:hAnsi="宋体" w:cs="宋体"/>
          <w:color w:val="auto"/>
          <w:sz w:val="21"/>
          <w:szCs w:val="24"/>
          <w:lang w:val="en-US" w:eastAsia="zh-CN"/>
        </w:rPr>
        <w:t>13.</w:t>
      </w:r>
      <w:r>
        <w:rPr>
          <w:rFonts w:hint="eastAsia" w:ascii="宋体" w:hAnsi="宋体" w:cs="宋体"/>
          <w:color w:val="auto"/>
          <w:sz w:val="21"/>
          <w:szCs w:val="21"/>
          <w:lang w:eastAsia="zh-CN"/>
        </w:rPr>
        <w:t>合同解除后果：合同解除后，乙方应在甲方指定期限内退还甲方已支付的全部款项，并承担货物的拆除、退回等全部费用及风险。若因乙方违约导致合同解除，乙方还应赔偿甲方另行采购同类货物所产生的差价损失及其他合理费用。</w:t>
      </w:r>
    </w:p>
    <w:p w14:paraId="51A52025">
      <w:pPr>
        <w:snapToGrid w:val="0"/>
        <w:spacing w:line="420" w:lineRule="exact"/>
        <w:ind w:firstLine="474" w:firstLineChars="225"/>
        <w:rPr>
          <w:rFonts w:hint="eastAsia" w:ascii="黑体" w:hAnsi="黑体" w:eastAsia="黑体" w:cs="黑体"/>
          <w:b/>
          <w:bCs/>
          <w:color w:val="auto"/>
          <w:lang w:val="en-US" w:eastAsia="zh-CN"/>
        </w:rPr>
      </w:pPr>
      <w:r>
        <w:rPr>
          <w:rFonts w:hint="eastAsia" w:ascii="黑体" w:hAnsi="黑体" w:eastAsia="黑体" w:cs="黑体"/>
          <w:b/>
          <w:bCs/>
          <w:color w:val="auto"/>
          <w:sz w:val="21"/>
          <w:szCs w:val="24"/>
        </w:rPr>
        <w:t>乙方不得以违约金过高为由请求调低，双方确认本条款约定的违约金已充分考虑</w:t>
      </w:r>
      <w:r>
        <w:rPr>
          <w:rFonts w:hint="eastAsia" w:ascii="黑体" w:hAnsi="黑体" w:eastAsia="黑体" w:cs="黑体"/>
          <w:b/>
          <w:bCs/>
          <w:color w:val="auto"/>
          <w:sz w:val="21"/>
          <w:szCs w:val="24"/>
          <w:lang w:val="en-US" w:eastAsia="zh-CN"/>
        </w:rPr>
        <w:t>违约</w:t>
      </w:r>
      <w:r>
        <w:rPr>
          <w:rFonts w:hint="eastAsia" w:ascii="黑体" w:hAnsi="黑体" w:eastAsia="黑体" w:cs="黑体"/>
          <w:b/>
          <w:bCs/>
          <w:color w:val="auto"/>
          <w:sz w:val="21"/>
          <w:szCs w:val="24"/>
        </w:rPr>
        <w:t>行为的严重性、甲方潜在损失及可预见性，不存在过高情形。</w:t>
      </w:r>
    </w:p>
    <w:p w14:paraId="6CC47B76">
      <w:pPr>
        <w:pStyle w:val="4"/>
        <w:keepNext w:val="0"/>
        <w:keepLines w:val="0"/>
        <w:pageBreakBefore w:val="0"/>
        <w:widowControl w:val="0"/>
        <w:kinsoku/>
        <w:wordWrap/>
        <w:overflowPunct/>
        <w:topLinePunct w:val="0"/>
        <w:autoSpaceDE/>
        <w:autoSpaceDN/>
        <w:bidi w:val="0"/>
        <w:adjustRightInd/>
        <w:snapToGrid w:val="0"/>
        <w:spacing w:line="420" w:lineRule="exact"/>
        <w:ind w:firstLine="422" w:firstLineChars="200"/>
        <w:textAlignment w:val="auto"/>
        <w:rPr>
          <w:rFonts w:hAnsi="宋体"/>
          <w:b/>
          <w:bCs/>
          <w:color w:val="auto"/>
          <w:sz w:val="21"/>
          <w:szCs w:val="21"/>
        </w:rPr>
      </w:pPr>
      <w:r>
        <w:rPr>
          <w:rFonts w:hint="eastAsia" w:hAnsi="宋体"/>
          <w:b/>
          <w:bCs/>
          <w:color w:val="auto"/>
          <w:sz w:val="21"/>
          <w:szCs w:val="21"/>
        </w:rPr>
        <w:t>第十</w:t>
      </w:r>
      <w:r>
        <w:rPr>
          <w:rFonts w:hint="eastAsia" w:ascii="宋体" w:hAnsi="宋体" w:cs="宋体"/>
          <w:b/>
          <w:bCs/>
          <w:color w:val="auto"/>
        </w:rPr>
        <w:t>三</w:t>
      </w:r>
      <w:r>
        <w:rPr>
          <w:rFonts w:hint="eastAsia" w:hAnsi="宋体"/>
          <w:b/>
          <w:bCs/>
          <w:color w:val="auto"/>
          <w:sz w:val="21"/>
          <w:szCs w:val="21"/>
        </w:rPr>
        <w:t>条</w:t>
      </w:r>
      <w:r>
        <w:rPr>
          <w:rFonts w:hint="eastAsia" w:hAnsi="宋体"/>
          <w:b/>
          <w:color w:val="auto"/>
          <w:sz w:val="21"/>
          <w:szCs w:val="21"/>
        </w:rPr>
        <w:t>　</w:t>
      </w:r>
      <w:r>
        <w:rPr>
          <w:rFonts w:hint="eastAsia" w:hAnsi="宋体"/>
          <w:b/>
          <w:bCs/>
          <w:color w:val="auto"/>
          <w:sz w:val="21"/>
          <w:szCs w:val="21"/>
        </w:rPr>
        <w:t>不可抗力事件处理</w:t>
      </w:r>
    </w:p>
    <w:p w14:paraId="3DE6F579">
      <w:pPr>
        <w:pStyle w:val="4"/>
        <w:snapToGrid w:val="0"/>
        <w:spacing w:line="420" w:lineRule="exact"/>
        <w:ind w:firstLine="420" w:firstLineChars="200"/>
        <w:rPr>
          <w:rFonts w:hint="eastAsia"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1. 在合同有效期内，任何一方因不可抗力事件导致不能履行合同，则合同履行期可延长，其延长期与不可抗力影响期相同。</w:t>
      </w:r>
    </w:p>
    <w:p w14:paraId="2A070FB1">
      <w:pPr>
        <w:pStyle w:val="4"/>
        <w:snapToGrid w:val="0"/>
        <w:spacing w:line="420" w:lineRule="exact"/>
        <w:ind w:firstLine="420" w:firstLineChars="200"/>
        <w:rPr>
          <w:rFonts w:hint="eastAsia"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2. 不可抗力事件发生后，应立即通知对方，并寄送有关权威机构出具的证明。</w:t>
      </w:r>
    </w:p>
    <w:p w14:paraId="4BDB787A">
      <w:pPr>
        <w:pStyle w:val="4"/>
        <w:snapToGrid w:val="0"/>
        <w:spacing w:line="420" w:lineRule="exact"/>
        <w:ind w:firstLine="420" w:firstLineChars="200"/>
        <w:rPr>
          <w:rFonts w:hint="eastAsia" w:ascii="宋体" w:hAnsi="宋体" w:cs="宋体"/>
          <w:color w:val="auto"/>
          <w:kern w:val="2"/>
          <w:sz w:val="21"/>
          <w:szCs w:val="21"/>
          <w:lang w:val="en-US" w:eastAsia="zh-CN" w:bidi="ar-SA"/>
        </w:rPr>
      </w:pPr>
      <w:r>
        <w:rPr>
          <w:rFonts w:hint="eastAsia" w:ascii="宋体" w:hAnsi="宋体" w:cs="宋体"/>
          <w:color w:val="auto"/>
          <w:kern w:val="2"/>
          <w:sz w:val="21"/>
          <w:szCs w:val="21"/>
          <w:lang w:val="en-US" w:eastAsia="zh-CN" w:bidi="ar-SA"/>
        </w:rPr>
        <w:t>3. 不可抗力事件延续一百二十天以上，双方应通过友好协商，确定是否继续履行合同。</w:t>
      </w:r>
    </w:p>
    <w:p w14:paraId="53AE39F1">
      <w:pPr>
        <w:snapToGrid w:val="0"/>
        <w:spacing w:line="420" w:lineRule="exact"/>
        <w:ind w:firstLine="422" w:firstLineChars="200"/>
        <w:rPr>
          <w:rFonts w:ascii="宋体"/>
          <w:color w:val="auto"/>
          <w:sz w:val="21"/>
          <w:szCs w:val="21"/>
        </w:rPr>
      </w:pPr>
      <w:r>
        <w:rPr>
          <w:rFonts w:hint="eastAsia" w:ascii="宋体" w:hAnsi="宋体" w:cs="宋体"/>
          <w:b/>
          <w:bCs/>
          <w:color w:val="auto"/>
          <w:sz w:val="21"/>
          <w:szCs w:val="21"/>
        </w:rPr>
        <w:t>第十</w:t>
      </w:r>
      <w:r>
        <w:rPr>
          <w:rFonts w:hint="eastAsia" w:hAnsi="宋体"/>
          <w:b/>
          <w:bCs/>
          <w:color w:val="auto"/>
          <w:sz w:val="21"/>
          <w:szCs w:val="21"/>
        </w:rPr>
        <w:t>四</w:t>
      </w:r>
      <w:r>
        <w:rPr>
          <w:rFonts w:hint="eastAsia" w:ascii="宋体" w:hAnsi="宋体" w:cs="宋体"/>
          <w:b/>
          <w:bCs/>
          <w:color w:val="auto"/>
          <w:sz w:val="21"/>
          <w:szCs w:val="21"/>
        </w:rPr>
        <w:t>条</w:t>
      </w:r>
      <w:r>
        <w:rPr>
          <w:rFonts w:hint="eastAsia" w:ascii="宋体" w:hAnsi="宋体"/>
          <w:b/>
          <w:color w:val="auto"/>
          <w:sz w:val="21"/>
          <w:szCs w:val="21"/>
        </w:rPr>
        <w:t>　</w:t>
      </w:r>
      <w:r>
        <w:rPr>
          <w:rFonts w:hint="eastAsia" w:ascii="宋体" w:hAnsi="宋体" w:cs="宋体"/>
          <w:b/>
          <w:bCs/>
          <w:color w:val="auto"/>
          <w:sz w:val="21"/>
          <w:szCs w:val="21"/>
        </w:rPr>
        <w:t>合同争议解决</w:t>
      </w:r>
    </w:p>
    <w:p w14:paraId="41A5FFD5">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1.因货物质量问题发生争议的，应邀请国家认可的质量检测机构对货物质量进行鉴定。货物符合标准的，鉴定费由甲方承担；货物不符合标准的，鉴定费由乙方承担。</w:t>
      </w:r>
    </w:p>
    <w:p w14:paraId="0F3DA98D">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2.因履行本合同引起的或与本合同有关的争议，甲乙双方应首先通过友好协商解决，如果协商不能解决，任何</w:t>
      </w:r>
      <w:r>
        <w:rPr>
          <w:rFonts w:hint="eastAsia" w:ascii="宋体" w:hAnsi="宋体" w:cs="宋体"/>
          <w:color w:val="auto"/>
          <w:sz w:val="21"/>
          <w:szCs w:val="21"/>
          <w:lang w:val="en-US" w:eastAsia="zh-CN"/>
        </w:rPr>
        <w:t>一</w:t>
      </w:r>
      <w:r>
        <w:rPr>
          <w:rFonts w:hint="eastAsia" w:ascii="宋体" w:hAnsi="宋体" w:cs="宋体"/>
          <w:color w:val="auto"/>
          <w:sz w:val="21"/>
          <w:szCs w:val="21"/>
        </w:rPr>
        <w:t>方有权向甲方所在地有管辖权的人民法院提起诉讼。</w:t>
      </w:r>
    </w:p>
    <w:p w14:paraId="1248DFAF">
      <w:pPr>
        <w:snapToGrid w:val="0"/>
        <w:spacing w:line="420" w:lineRule="exact"/>
        <w:ind w:firstLine="420" w:firstLineChars="200"/>
        <w:rPr>
          <w:rFonts w:ascii="宋体" w:hAnsi="宋体" w:cs="宋体"/>
          <w:color w:val="auto"/>
          <w:sz w:val="21"/>
          <w:szCs w:val="21"/>
        </w:rPr>
      </w:pPr>
      <w:r>
        <w:rPr>
          <w:rFonts w:ascii="宋体" w:hAnsi="宋体" w:cs="宋体"/>
          <w:color w:val="auto"/>
          <w:sz w:val="21"/>
          <w:szCs w:val="21"/>
        </w:rPr>
        <w:t>3</w:t>
      </w:r>
      <w:r>
        <w:rPr>
          <w:rFonts w:hint="eastAsia" w:ascii="宋体" w:hAnsi="宋体" w:cs="宋体"/>
          <w:color w:val="auto"/>
          <w:sz w:val="21"/>
          <w:szCs w:val="21"/>
        </w:rPr>
        <w:t>.诉讼期间，本合同继续履行。</w:t>
      </w:r>
    </w:p>
    <w:p w14:paraId="51A403AF">
      <w:pPr>
        <w:snapToGrid w:val="0"/>
        <w:spacing w:line="420" w:lineRule="exact"/>
        <w:ind w:firstLine="422" w:firstLineChars="200"/>
        <w:rPr>
          <w:rFonts w:ascii="宋体" w:hAnsi="宋体" w:cs="宋体"/>
          <w:b/>
          <w:bCs/>
          <w:color w:val="auto"/>
          <w:sz w:val="21"/>
          <w:szCs w:val="21"/>
        </w:rPr>
      </w:pPr>
      <w:r>
        <w:rPr>
          <w:rFonts w:ascii="宋体" w:hAnsi="宋体" w:cs="宋体"/>
          <w:b/>
          <w:bCs/>
          <w:color w:val="auto"/>
          <w:sz w:val="21"/>
          <w:szCs w:val="21"/>
        </w:rPr>
        <w:t>第十</w:t>
      </w:r>
      <w:r>
        <w:rPr>
          <w:rFonts w:hint="eastAsia" w:ascii="宋体" w:hAnsi="宋体" w:cs="宋体"/>
          <w:b/>
          <w:bCs/>
          <w:color w:val="auto"/>
          <w:sz w:val="21"/>
          <w:szCs w:val="21"/>
        </w:rPr>
        <w:t>五</w:t>
      </w:r>
      <w:r>
        <w:rPr>
          <w:rFonts w:ascii="宋体" w:hAnsi="宋体" w:cs="宋体"/>
          <w:b/>
          <w:bCs/>
          <w:color w:val="auto"/>
          <w:sz w:val="21"/>
          <w:szCs w:val="21"/>
        </w:rPr>
        <w:t>条  通知与送达</w:t>
      </w:r>
    </w:p>
    <w:p w14:paraId="4A62B009">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1.本协议项下对合同一方对另外一方的任何通知或请求，应当发送至接收方在合同中约定的地址、联系人和通信终端。一方当事人变更名称、地址、联系人或通信终端等信息的，应当在变更后3日内及时书面通知对方当事人，对方当事人实际收到变更通知前的送达仍为有效送达，电子送达与书面送达具有同等法律效力。</w:t>
      </w:r>
    </w:p>
    <w:p w14:paraId="1FF2D134">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2.任何一方当事人向对/他方所发出的通知或请求送达时间：</w:t>
      </w:r>
    </w:p>
    <w:p w14:paraId="05CFDE18">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（1）如果是传真，则在发送当日视为送达；</w:t>
      </w:r>
    </w:p>
    <w:p w14:paraId="2E6F5D69">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（2）如果是短信/微信/电子邮件，自电子文件内容在发送方正确填写地址且未被系统退回的情况下，进入对方数据电文接收系统当日视为送达。</w:t>
      </w:r>
    </w:p>
    <w:p w14:paraId="50EACDF8">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（3）如果是信函，在挂号信交邮后第三日视为送达；</w:t>
      </w:r>
    </w:p>
    <w:p w14:paraId="171F5386">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（4）如果是派人专程送达，则在收件人签收之日视为收到；</w:t>
      </w:r>
    </w:p>
    <w:p w14:paraId="2B245B72">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（5）如果同时使用几种通知方式的，以其中较快到达接收方者为准。</w:t>
      </w:r>
    </w:p>
    <w:p w14:paraId="6E447683">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（6）若送达日为非工作日，则视为在下一工作日送达。</w:t>
      </w:r>
    </w:p>
    <w:p w14:paraId="0788FBC9">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3.本合同约定的地址、联系人及电子通信终端等信息亦为双方工作联系往来、法律文书及争议解决时人民法院和/或仲裁机构的法律文书送达地址。人民法院和/或仲裁机构的诉讼文书（含裁判文书）向任何合同任何一方当事人的上述地址和/或工商登记公示地址（居民身份证登记地址）送达的，视为有效送达。当事人对电子通信终端的联系送达适用于争议解决时的送达。</w:t>
      </w:r>
    </w:p>
    <w:p w14:paraId="65774B22">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4.合同送达条款与争议解决条款均为独立条款，不受合同整体或其他条款的效力的影响。</w:t>
      </w:r>
    </w:p>
    <w:p w14:paraId="1C7D4671">
      <w:pPr>
        <w:ind w:firstLine="422" w:firstLineChars="200"/>
        <w:rPr>
          <w:rFonts w:ascii="宋体" w:hAnsi="宋体" w:cs="宋体"/>
          <w:b/>
          <w:bCs/>
          <w:color w:val="auto"/>
          <w:sz w:val="21"/>
          <w:szCs w:val="21"/>
        </w:rPr>
      </w:pPr>
      <w:r>
        <w:rPr>
          <w:rFonts w:ascii="宋体" w:hAnsi="宋体" w:cs="宋体"/>
          <w:b/>
          <w:bCs/>
          <w:color w:val="auto"/>
          <w:sz w:val="21"/>
          <w:szCs w:val="21"/>
        </w:rPr>
        <w:t>第十六条　合同生效及其它</w:t>
      </w:r>
    </w:p>
    <w:p w14:paraId="22C3A6BD">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1．合同经双方法定代表人(负责人)或授权代表（委托代理人）签字并加盖单位公章后生效。</w:t>
      </w:r>
    </w:p>
    <w:p w14:paraId="3E777515">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2．合同执行中涉及采购资金和采购内容修改或补充的，须经广西区财政厅政府采购监督管理处审批，并签书面补充协议报广西区财政厅政府采购监督管理处备案，方可作为主合同不可分割的一部分。任何合同变更需经双方协商一致并签订书面补充协议，补充协议与本合同具有同等法律效力，未经书面确认的变更无效。</w:t>
      </w:r>
    </w:p>
    <w:p w14:paraId="56464158">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3．本合同未尽事宜，遵照相关法律法规有关条文执行。</w:t>
      </w:r>
    </w:p>
    <w:p w14:paraId="57B6A06B">
      <w:pPr>
        <w:snapToGrid w:val="0"/>
        <w:spacing w:line="420" w:lineRule="exact"/>
        <w:ind w:firstLine="422" w:firstLineChars="200"/>
        <w:rPr>
          <w:rFonts w:ascii="宋体"/>
          <w:b/>
          <w:bCs/>
          <w:color w:val="auto"/>
          <w:sz w:val="21"/>
          <w:szCs w:val="21"/>
        </w:rPr>
      </w:pPr>
      <w:r>
        <w:rPr>
          <w:rFonts w:hint="eastAsia" w:ascii="宋体" w:hAnsi="宋体" w:cs="宋体"/>
          <w:b/>
          <w:bCs/>
          <w:color w:val="auto"/>
          <w:sz w:val="21"/>
          <w:szCs w:val="21"/>
        </w:rPr>
        <w:t>第十</w:t>
      </w:r>
      <w:r>
        <w:rPr>
          <w:rFonts w:ascii="宋体" w:hAnsi="宋体" w:cs="宋体"/>
          <w:b/>
          <w:bCs/>
          <w:color w:val="auto"/>
          <w:sz w:val="21"/>
          <w:szCs w:val="21"/>
        </w:rPr>
        <w:t>七</w:t>
      </w:r>
      <w:r>
        <w:rPr>
          <w:rFonts w:hint="eastAsia" w:ascii="宋体" w:hAnsi="宋体" w:cs="宋体"/>
          <w:b/>
          <w:bCs/>
          <w:color w:val="auto"/>
          <w:sz w:val="21"/>
          <w:szCs w:val="21"/>
        </w:rPr>
        <w:t>条　合同的变更、终止与转让</w:t>
      </w:r>
    </w:p>
    <w:p w14:paraId="1AA0793A">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1．除《中华人民共和国政府采购法》第五十条规定的情形外，本合同一经签订，甲乙双方不得擅自变更、中止或终止。</w:t>
      </w:r>
    </w:p>
    <w:p w14:paraId="710E1634">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2．乙方不得擅自转让（无进口资格的供应商委托进口货物除外）其应履行的合同义务。</w:t>
      </w:r>
    </w:p>
    <w:p w14:paraId="134A85A2">
      <w:pPr>
        <w:snapToGrid w:val="0"/>
        <w:spacing w:line="420" w:lineRule="exact"/>
        <w:ind w:firstLine="422" w:firstLineChars="200"/>
        <w:rPr>
          <w:rFonts w:ascii="宋体"/>
          <w:b/>
          <w:bCs/>
          <w:color w:val="auto"/>
          <w:sz w:val="21"/>
          <w:szCs w:val="21"/>
        </w:rPr>
      </w:pPr>
      <w:r>
        <w:rPr>
          <w:rFonts w:hint="eastAsia" w:ascii="宋体" w:hAnsi="宋体" w:cs="宋体"/>
          <w:b/>
          <w:bCs/>
          <w:color w:val="auto"/>
          <w:sz w:val="21"/>
          <w:szCs w:val="21"/>
        </w:rPr>
        <w:t>第十八条　签订本合同依据</w:t>
      </w:r>
    </w:p>
    <w:p w14:paraId="565FE336">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1．</w:t>
      </w:r>
      <w:r>
        <w:rPr>
          <w:rFonts w:hint="eastAsia" w:ascii="宋体" w:hAnsi="宋体" w:cs="宋体"/>
          <w:color w:val="auto"/>
          <w:sz w:val="21"/>
          <w:szCs w:val="21"/>
          <w:lang w:val="en-US" w:eastAsia="zh-CN"/>
        </w:rPr>
        <w:t>询价公告</w:t>
      </w:r>
      <w:r>
        <w:rPr>
          <w:rFonts w:hint="eastAsia" w:ascii="宋体" w:hAnsi="宋体" w:cs="宋体"/>
          <w:color w:val="auto"/>
          <w:sz w:val="21"/>
          <w:szCs w:val="21"/>
        </w:rPr>
        <w:t>；</w:t>
      </w:r>
    </w:p>
    <w:p w14:paraId="67165D15">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2．乙方提供的响应文件；</w:t>
      </w:r>
    </w:p>
    <w:p w14:paraId="4D1C330B">
      <w:pPr>
        <w:snapToGrid w:val="0"/>
        <w:spacing w:line="420" w:lineRule="exact"/>
        <w:ind w:firstLine="472" w:firstLineChars="225"/>
        <w:rPr>
          <w:rFonts w:hint="eastAsia" w:ascii="宋体" w:hAnsi="宋体" w:cs="宋体"/>
          <w:color w:val="auto"/>
          <w:sz w:val="21"/>
          <w:szCs w:val="21"/>
        </w:rPr>
      </w:pPr>
      <w:r>
        <w:rPr>
          <w:rFonts w:hint="eastAsia" w:ascii="宋体" w:hAnsi="宋体" w:cs="宋体"/>
          <w:color w:val="auto"/>
          <w:sz w:val="21"/>
          <w:szCs w:val="21"/>
        </w:rPr>
        <w:t>3．成交通知书。</w:t>
      </w:r>
    </w:p>
    <w:p w14:paraId="543EDB6F">
      <w:pPr>
        <w:snapToGrid w:val="0"/>
        <w:spacing w:line="420" w:lineRule="exact"/>
        <w:ind w:firstLine="422" w:firstLineChars="200"/>
        <w:rPr>
          <w:rFonts w:hint="eastAsia" w:ascii="宋体" w:hAnsi="宋体" w:cs="宋体"/>
          <w:b/>
          <w:bCs/>
          <w:color w:val="auto"/>
          <w:sz w:val="21"/>
          <w:szCs w:val="21"/>
        </w:rPr>
      </w:pPr>
      <w:r>
        <w:rPr>
          <w:rFonts w:hint="eastAsia" w:ascii="宋体" w:hAnsi="宋体" w:cs="宋体"/>
          <w:b/>
          <w:bCs/>
          <w:color w:val="auto"/>
          <w:sz w:val="21"/>
          <w:szCs w:val="21"/>
        </w:rPr>
        <w:t>第十九条　</w:t>
      </w:r>
      <w:r>
        <w:rPr>
          <w:rFonts w:hint="eastAsia" w:ascii="宋体" w:hAnsi="宋体" w:cs="宋体"/>
          <w:color w:val="auto"/>
          <w:sz w:val="21"/>
          <w:szCs w:val="21"/>
        </w:rPr>
        <w:t>本合同一式陆份，甲方肆份，乙方贰份，具有同等法律效力。</w:t>
      </w:r>
    </w:p>
    <w:p w14:paraId="38D8D77C">
      <w:pPr>
        <w:snapToGrid w:val="0"/>
        <w:spacing w:line="420" w:lineRule="exact"/>
        <w:ind w:firstLine="420" w:firstLineChars="200"/>
        <w:rPr>
          <w:rFonts w:hint="eastAsia" w:ascii="宋体" w:hAnsi="宋体" w:eastAsia="宋体" w:cs="宋体"/>
          <w:color w:val="auto"/>
          <w:sz w:val="21"/>
          <w:szCs w:val="21"/>
          <w:lang w:eastAsia="zh-CN"/>
        </w:rPr>
      </w:pPr>
    </w:p>
    <w:p w14:paraId="628BCDB7">
      <w:pPr>
        <w:rPr>
          <w:rFonts w:hint="eastAsia"/>
          <w:color w:val="auto"/>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AB7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47AAA18F">
            <w:pPr>
              <w:snapToGrid w:val="0"/>
              <w:spacing w:line="400" w:lineRule="exact"/>
              <w:rPr>
                <w:rFonts w:ascii="宋体" w:hAnsi="宋体"/>
                <w:color w:val="auto"/>
              </w:rPr>
            </w:pPr>
            <w:r>
              <w:rPr>
                <w:rFonts w:hint="eastAsia" w:ascii="宋体" w:hAnsi="宋体"/>
                <w:color w:val="auto"/>
              </w:rPr>
              <w:t xml:space="preserve">甲方（章） 广西财经学院 </w:t>
            </w:r>
          </w:p>
          <w:p w14:paraId="6D20A4CF">
            <w:pPr>
              <w:snapToGrid w:val="0"/>
              <w:spacing w:line="400" w:lineRule="exact"/>
              <w:rPr>
                <w:rFonts w:hint="eastAsia" w:ascii="宋体" w:hAnsi="宋体"/>
                <w:color w:val="auto"/>
              </w:rPr>
            </w:pPr>
          </w:p>
          <w:p w14:paraId="7EBE7832">
            <w:pPr>
              <w:snapToGrid w:val="0"/>
              <w:spacing w:line="400" w:lineRule="exact"/>
              <w:ind w:firstLine="945" w:firstLineChars="450"/>
              <w:jc w:val="right"/>
              <w:rPr>
                <w:rFonts w:ascii="宋体" w:hAnsi="宋体"/>
                <w:color w:val="auto"/>
              </w:rPr>
            </w:pPr>
            <w:r>
              <w:rPr>
                <w:rFonts w:hint="eastAsia" w:ascii="宋体" w:hAnsi="宋体"/>
                <w:color w:val="auto"/>
              </w:rPr>
              <w:t>年   月   日</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71FFB86B">
            <w:pPr>
              <w:snapToGrid w:val="0"/>
              <w:spacing w:line="400" w:lineRule="exact"/>
              <w:rPr>
                <w:rFonts w:ascii="宋体" w:hAnsi="宋体"/>
                <w:color w:val="auto"/>
              </w:rPr>
            </w:pPr>
            <w:r>
              <w:rPr>
                <w:rFonts w:hint="eastAsia" w:ascii="宋体" w:hAnsi="宋体"/>
                <w:color w:val="auto"/>
              </w:rPr>
              <w:t xml:space="preserve">乙方（章）  </w:t>
            </w:r>
          </w:p>
          <w:p w14:paraId="356CD298">
            <w:pPr>
              <w:snapToGrid w:val="0"/>
              <w:spacing w:line="400" w:lineRule="exact"/>
              <w:rPr>
                <w:rFonts w:hint="eastAsia" w:ascii="宋体" w:hAnsi="宋体"/>
                <w:color w:val="auto"/>
              </w:rPr>
            </w:pPr>
          </w:p>
          <w:p w14:paraId="6AE44DBE">
            <w:pPr>
              <w:snapToGrid w:val="0"/>
              <w:spacing w:line="400" w:lineRule="exact"/>
              <w:jc w:val="right"/>
              <w:rPr>
                <w:rFonts w:ascii="宋体" w:hAnsi="宋体"/>
                <w:color w:val="auto"/>
              </w:rPr>
            </w:pPr>
            <w:r>
              <w:rPr>
                <w:rFonts w:hint="eastAsia" w:ascii="宋体" w:hAnsi="宋体"/>
                <w:color w:val="auto"/>
              </w:rPr>
              <w:t xml:space="preserve"> 年   月   日</w:t>
            </w:r>
          </w:p>
        </w:tc>
      </w:tr>
      <w:tr w14:paraId="4DAB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2D947FCA">
            <w:pPr>
              <w:snapToGrid w:val="0"/>
              <w:spacing w:line="400" w:lineRule="exact"/>
              <w:rPr>
                <w:rFonts w:ascii="宋体" w:hAnsi="宋体"/>
                <w:color w:val="auto"/>
              </w:rPr>
            </w:pPr>
            <w:r>
              <w:rPr>
                <w:rFonts w:hint="eastAsia" w:ascii="宋体" w:hAnsi="宋体"/>
                <w:color w:val="auto"/>
              </w:rPr>
              <w:t>单位地址：南宁市西乡塘区明秀西路100号</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3EE41F48">
            <w:pPr>
              <w:snapToGrid w:val="0"/>
              <w:spacing w:line="400" w:lineRule="exact"/>
              <w:rPr>
                <w:rFonts w:ascii="宋体" w:hAnsi="宋体"/>
                <w:color w:val="auto"/>
              </w:rPr>
            </w:pPr>
            <w:r>
              <w:rPr>
                <w:rFonts w:hint="eastAsia" w:ascii="宋体" w:hAnsi="宋体"/>
                <w:color w:val="auto"/>
              </w:rPr>
              <w:t>单位地址：</w:t>
            </w:r>
          </w:p>
        </w:tc>
      </w:tr>
      <w:tr w14:paraId="772F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C6FBC3E">
            <w:pPr>
              <w:snapToGrid w:val="0"/>
              <w:spacing w:line="400" w:lineRule="exact"/>
              <w:rPr>
                <w:rFonts w:ascii="宋体" w:hAnsi="宋体"/>
                <w:color w:val="auto"/>
              </w:rPr>
            </w:pPr>
            <w:r>
              <w:rPr>
                <w:rFonts w:hint="eastAsia" w:ascii="宋体" w:hAnsi="宋体"/>
                <w:color w:val="auto"/>
              </w:rPr>
              <w:t>法定代表人：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10DA4EF2">
            <w:pPr>
              <w:snapToGrid w:val="0"/>
              <w:spacing w:line="400" w:lineRule="exact"/>
              <w:rPr>
                <w:rFonts w:ascii="宋体" w:hAnsi="宋体"/>
                <w:color w:val="auto"/>
              </w:rPr>
            </w:pPr>
            <w:r>
              <w:rPr>
                <w:rFonts w:hint="eastAsia" w:ascii="宋体" w:hAnsi="宋体"/>
                <w:color w:val="auto"/>
              </w:rPr>
              <w:t>法定代表人：</w:t>
            </w:r>
          </w:p>
        </w:tc>
      </w:tr>
      <w:tr w14:paraId="4F10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2D2E6B24">
            <w:pPr>
              <w:snapToGrid w:val="0"/>
              <w:spacing w:line="400" w:lineRule="exact"/>
              <w:rPr>
                <w:rFonts w:ascii="宋体" w:hAnsi="宋体"/>
                <w:color w:val="auto"/>
              </w:rPr>
            </w:pPr>
            <w:r>
              <w:rPr>
                <w:rFonts w:hint="eastAsia" w:ascii="宋体" w:hAnsi="宋体"/>
                <w:color w:val="auto"/>
              </w:rPr>
              <w:t>委托代理人：</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64AD1E67">
            <w:pPr>
              <w:snapToGrid w:val="0"/>
              <w:spacing w:line="400" w:lineRule="exact"/>
              <w:rPr>
                <w:rFonts w:ascii="宋体" w:hAnsi="宋体"/>
                <w:color w:val="auto"/>
              </w:rPr>
            </w:pPr>
            <w:r>
              <w:rPr>
                <w:rFonts w:hint="eastAsia" w:ascii="宋体" w:hAnsi="宋体"/>
                <w:color w:val="auto"/>
              </w:rPr>
              <w:t>委托代理人</w:t>
            </w:r>
          </w:p>
        </w:tc>
      </w:tr>
      <w:tr w14:paraId="6F5A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6074CA0C">
            <w:pPr>
              <w:snapToGrid w:val="0"/>
              <w:spacing w:line="400" w:lineRule="exact"/>
              <w:rPr>
                <w:rFonts w:ascii="宋体" w:hAnsi="宋体"/>
                <w:color w:val="auto"/>
              </w:rPr>
            </w:pPr>
            <w:r>
              <w:rPr>
                <w:rFonts w:hint="eastAsia" w:ascii="宋体" w:hAnsi="宋体"/>
                <w:color w:val="auto"/>
              </w:rPr>
              <w:t>电话：0771-3821448</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2BC6C348">
            <w:pPr>
              <w:snapToGrid w:val="0"/>
              <w:spacing w:line="400" w:lineRule="exact"/>
              <w:rPr>
                <w:rFonts w:ascii="宋体" w:hAnsi="宋体"/>
                <w:color w:val="auto"/>
              </w:rPr>
            </w:pPr>
            <w:r>
              <w:rPr>
                <w:rFonts w:hint="eastAsia" w:ascii="宋体" w:hAnsi="宋体"/>
                <w:color w:val="auto"/>
              </w:rPr>
              <w:t>电话：</w:t>
            </w:r>
          </w:p>
        </w:tc>
      </w:tr>
      <w:tr w14:paraId="6D62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F50826C">
            <w:pPr>
              <w:snapToGrid w:val="0"/>
              <w:spacing w:line="400" w:lineRule="exact"/>
              <w:rPr>
                <w:rFonts w:ascii="宋体" w:hAnsi="宋体"/>
                <w:color w:val="auto"/>
              </w:rPr>
            </w:pPr>
            <w:r>
              <w:rPr>
                <w:rFonts w:hint="eastAsia" w:ascii="宋体" w:hAnsi="宋体"/>
                <w:color w:val="auto"/>
              </w:rPr>
              <w:t>电子邮箱：</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724BD76A">
            <w:pPr>
              <w:snapToGrid w:val="0"/>
              <w:spacing w:line="400" w:lineRule="exact"/>
              <w:rPr>
                <w:rFonts w:ascii="宋体" w:hAnsi="宋体"/>
                <w:color w:val="auto"/>
              </w:rPr>
            </w:pPr>
            <w:r>
              <w:rPr>
                <w:rFonts w:hint="eastAsia" w:ascii="宋体" w:hAnsi="宋体"/>
                <w:color w:val="auto"/>
              </w:rPr>
              <w:t>电子邮箱：</w:t>
            </w:r>
          </w:p>
        </w:tc>
      </w:tr>
      <w:tr w14:paraId="7C1C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665EED09">
            <w:pPr>
              <w:snapToGrid w:val="0"/>
              <w:spacing w:line="400" w:lineRule="exact"/>
              <w:rPr>
                <w:rFonts w:ascii="宋体" w:hAnsi="宋体"/>
                <w:color w:val="auto"/>
              </w:rPr>
            </w:pPr>
            <w:r>
              <w:rPr>
                <w:rFonts w:hint="eastAsia" w:ascii="宋体" w:hAnsi="宋体"/>
                <w:color w:val="auto"/>
              </w:rPr>
              <w:t>开户银行：</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88F802C">
            <w:pPr>
              <w:snapToGrid w:val="0"/>
              <w:spacing w:line="400" w:lineRule="exact"/>
              <w:rPr>
                <w:rFonts w:ascii="宋体" w:hAnsi="宋体"/>
                <w:color w:val="auto"/>
              </w:rPr>
            </w:pPr>
            <w:r>
              <w:rPr>
                <w:rFonts w:hint="eastAsia" w:ascii="宋体" w:hAnsi="宋体"/>
                <w:color w:val="auto"/>
              </w:rPr>
              <w:t>开户银行：</w:t>
            </w:r>
          </w:p>
        </w:tc>
      </w:tr>
      <w:tr w14:paraId="574C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6BF4F5A1">
            <w:pPr>
              <w:snapToGrid w:val="0"/>
              <w:spacing w:line="400" w:lineRule="exact"/>
              <w:rPr>
                <w:rFonts w:ascii="宋体" w:hAnsi="宋体"/>
                <w:color w:val="auto"/>
              </w:rPr>
            </w:pPr>
            <w:r>
              <w:rPr>
                <w:rFonts w:hint="eastAsia" w:ascii="宋体" w:hAnsi="宋体"/>
                <w:color w:val="auto"/>
              </w:rPr>
              <w:t>账号：</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5DDAF829">
            <w:pPr>
              <w:snapToGrid w:val="0"/>
              <w:spacing w:line="400" w:lineRule="exact"/>
              <w:rPr>
                <w:rFonts w:ascii="宋体" w:hAnsi="宋体"/>
                <w:color w:val="auto"/>
              </w:rPr>
            </w:pPr>
            <w:r>
              <w:rPr>
                <w:rFonts w:hint="eastAsia" w:ascii="宋体" w:hAnsi="宋体"/>
                <w:color w:val="auto"/>
              </w:rPr>
              <w:t>账号：</w:t>
            </w:r>
          </w:p>
        </w:tc>
      </w:tr>
      <w:tr w14:paraId="3BC6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2A6FC954">
            <w:pPr>
              <w:snapToGrid w:val="0"/>
              <w:rPr>
                <w:rFonts w:ascii="宋体" w:hAnsi="宋体"/>
                <w:color w:val="auto"/>
              </w:rPr>
            </w:pPr>
            <w:r>
              <w:rPr>
                <w:rFonts w:hint="eastAsia" w:ascii="宋体" w:hAnsi="宋体"/>
                <w:color w:val="auto"/>
              </w:rPr>
              <w:t>纳税人识别号或统一社会信用代码：12450000498506139N</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0D3AA308">
            <w:pPr>
              <w:snapToGrid w:val="0"/>
              <w:rPr>
                <w:rFonts w:hint="eastAsia" w:ascii="宋体" w:hAnsi="宋体"/>
                <w:color w:val="auto"/>
              </w:rPr>
            </w:pPr>
            <w:r>
              <w:rPr>
                <w:rFonts w:hint="eastAsia" w:ascii="宋体" w:hAnsi="宋体"/>
                <w:color w:val="auto"/>
              </w:rPr>
              <w:t>纳税人识别号或统一社会信用代码：</w:t>
            </w:r>
          </w:p>
          <w:p w14:paraId="204558EB">
            <w:pPr>
              <w:snapToGrid w:val="0"/>
              <w:rPr>
                <w:rFonts w:hint="eastAsia" w:ascii="宋体" w:hAnsi="宋体"/>
                <w:color w:val="auto"/>
              </w:rPr>
            </w:pPr>
          </w:p>
        </w:tc>
      </w:tr>
      <w:tr w14:paraId="4A97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500" w:type="pct"/>
            <w:tcBorders>
              <w:top w:val="single" w:color="auto" w:sz="4" w:space="0"/>
              <w:left w:val="single" w:color="auto" w:sz="4" w:space="0"/>
              <w:bottom w:val="single" w:color="auto" w:sz="4" w:space="0"/>
              <w:right w:val="single" w:color="auto" w:sz="4" w:space="0"/>
            </w:tcBorders>
            <w:noWrap w:val="0"/>
            <w:vAlign w:val="center"/>
          </w:tcPr>
          <w:p w14:paraId="7D2383D0">
            <w:pPr>
              <w:snapToGrid w:val="0"/>
              <w:spacing w:line="400" w:lineRule="exact"/>
              <w:rPr>
                <w:rFonts w:ascii="宋体" w:hAnsi="宋体"/>
                <w:color w:val="auto"/>
              </w:rPr>
            </w:pPr>
            <w:r>
              <w:rPr>
                <w:rFonts w:hint="eastAsia" w:ascii="宋体" w:hAnsi="宋体"/>
                <w:color w:val="auto"/>
              </w:rPr>
              <w:t>邮政编码：</w:t>
            </w:r>
          </w:p>
        </w:tc>
        <w:tc>
          <w:tcPr>
            <w:tcW w:w="2500" w:type="pct"/>
            <w:tcBorders>
              <w:top w:val="single" w:color="auto" w:sz="4" w:space="0"/>
              <w:left w:val="single" w:color="auto" w:sz="4" w:space="0"/>
              <w:bottom w:val="single" w:color="auto" w:sz="4" w:space="0"/>
              <w:right w:val="single" w:color="auto" w:sz="4" w:space="0"/>
            </w:tcBorders>
            <w:noWrap w:val="0"/>
            <w:vAlign w:val="center"/>
          </w:tcPr>
          <w:p w14:paraId="4A5E8FEC">
            <w:pPr>
              <w:snapToGrid w:val="0"/>
              <w:spacing w:line="400" w:lineRule="exact"/>
              <w:rPr>
                <w:rFonts w:ascii="宋体" w:hAnsi="宋体"/>
                <w:color w:val="auto"/>
              </w:rPr>
            </w:pPr>
            <w:r>
              <w:rPr>
                <w:rFonts w:hint="eastAsia" w:ascii="宋体" w:hAnsi="宋体"/>
                <w:color w:val="auto"/>
              </w:rPr>
              <w:t>邮政编码：</w:t>
            </w:r>
          </w:p>
        </w:tc>
      </w:tr>
    </w:tbl>
    <w:p w14:paraId="2025F1E8">
      <w:pPr>
        <w:snapToGrid w:val="0"/>
        <w:jc w:val="center"/>
        <w:rPr>
          <w:rFonts w:hint="eastAsia" w:ascii="宋体" w:hAnsi="宋体"/>
          <w:b/>
          <w:color w:val="auto"/>
        </w:rPr>
      </w:pPr>
    </w:p>
    <w:p w14:paraId="4B5E4EFF">
      <w:pPr>
        <w:snapToGrid w:val="0"/>
        <w:jc w:val="center"/>
        <w:rPr>
          <w:rFonts w:hint="eastAsia" w:ascii="宋体" w:hAnsi="宋体"/>
          <w:b/>
          <w:color w:val="auto"/>
        </w:rPr>
      </w:pPr>
    </w:p>
    <w:p w14:paraId="7F9C35C6">
      <w:pPr>
        <w:pStyle w:val="7"/>
        <w:rPr>
          <w:rFonts w:hint="eastAsia" w:ascii="宋体" w:hAnsi="宋体"/>
          <w:b/>
          <w:color w:val="auto"/>
        </w:rPr>
      </w:pPr>
    </w:p>
    <w:p w14:paraId="2FD6D442">
      <w:pPr>
        <w:pStyle w:val="7"/>
        <w:rPr>
          <w:rFonts w:hint="eastAsia"/>
          <w:color w:val="auto"/>
        </w:rPr>
      </w:pPr>
    </w:p>
    <w:p w14:paraId="18F2E1C0">
      <w:pPr>
        <w:snapToGrid w:val="0"/>
        <w:jc w:val="center"/>
        <w:rPr>
          <w:rFonts w:hint="eastAsia" w:ascii="宋体" w:hAnsi="宋体"/>
          <w:b/>
          <w:color w:val="auto"/>
        </w:rPr>
      </w:pPr>
      <w:r>
        <w:rPr>
          <w:rFonts w:hint="eastAsia" w:ascii="宋体" w:hAnsi="宋体"/>
          <w:b/>
          <w:color w:val="auto"/>
        </w:rPr>
        <w:br w:type="page"/>
      </w:r>
      <w:r>
        <w:rPr>
          <w:rFonts w:hint="eastAsia" w:ascii="宋体" w:hAnsi="宋体"/>
          <w:b/>
          <w:color w:val="auto"/>
        </w:rPr>
        <w:t>合 同 附 件</w:t>
      </w:r>
    </w:p>
    <w:p w14:paraId="2FC43826">
      <w:pPr>
        <w:snapToGrid w:val="0"/>
        <w:jc w:val="center"/>
        <w:rPr>
          <w:rFonts w:hint="eastAsia" w:ascii="宋体" w:hAnsi="宋体"/>
          <w:b/>
          <w:color w:val="auto"/>
        </w:rPr>
      </w:pP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83"/>
        <w:gridCol w:w="4339"/>
      </w:tblGrid>
      <w:tr w14:paraId="427D6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jc w:val="center"/>
        </w:trPr>
        <w:tc>
          <w:tcPr>
            <w:tcW w:w="9163" w:type="dxa"/>
            <w:gridSpan w:val="2"/>
            <w:tcBorders>
              <w:top w:val="single" w:color="auto" w:sz="4" w:space="0"/>
              <w:left w:val="single" w:color="auto" w:sz="4" w:space="0"/>
              <w:right w:val="single" w:color="auto" w:sz="4" w:space="0"/>
            </w:tcBorders>
            <w:noWrap w:val="0"/>
            <w:vAlign w:val="top"/>
          </w:tcPr>
          <w:p w14:paraId="3AE71303">
            <w:pPr>
              <w:snapToGrid w:val="0"/>
              <w:spacing w:line="400" w:lineRule="exact"/>
              <w:ind w:firstLine="422" w:firstLineChars="200"/>
              <w:rPr>
                <w:rFonts w:hint="eastAsia" w:ascii="宋体" w:hAnsi="宋体"/>
                <w:b/>
                <w:color w:val="auto"/>
              </w:rPr>
            </w:pPr>
            <w:r>
              <w:rPr>
                <w:rFonts w:hint="eastAsia" w:ascii="宋体" w:hAnsi="宋体"/>
                <w:b/>
                <w:color w:val="auto"/>
              </w:rPr>
              <w:t>1、</w:t>
            </w:r>
            <w:r>
              <w:rPr>
                <w:rFonts w:hint="eastAsia" w:ascii="宋体" w:hAnsi="宋体"/>
                <w:b/>
                <w:color w:val="auto"/>
                <w:lang w:val="en-US" w:eastAsia="zh-CN"/>
              </w:rPr>
              <w:t>乙方</w:t>
            </w:r>
            <w:r>
              <w:rPr>
                <w:rFonts w:hint="eastAsia" w:ascii="宋体" w:hAnsi="宋体"/>
                <w:b/>
                <w:color w:val="auto"/>
              </w:rPr>
              <w:t>承诺具体事项：</w:t>
            </w:r>
          </w:p>
          <w:p w14:paraId="3F369CC8">
            <w:pPr>
              <w:snapToGrid w:val="0"/>
              <w:spacing w:line="400" w:lineRule="exact"/>
              <w:ind w:firstLine="480" w:firstLineChars="200"/>
            </w:pPr>
            <w:r>
              <w:rPr>
                <w:rFonts w:ascii="宋体" w:hAnsi="宋体" w:eastAsia="宋体" w:cs="宋体"/>
                <w:sz w:val="24"/>
                <w:szCs w:val="24"/>
              </w:rPr>
              <w:t>免费送货上门，免费安装调试合格；</w:t>
            </w:r>
          </w:p>
          <w:p w14:paraId="6C9EB989">
            <w:pPr>
              <w:snapToGrid w:val="0"/>
              <w:spacing w:line="400" w:lineRule="exact"/>
              <w:ind w:firstLine="480" w:firstLineChars="200"/>
              <w:rPr>
                <w:rFonts w:hint="eastAsia"/>
                <w:lang w:eastAsia="zh-CN"/>
              </w:rPr>
            </w:pPr>
            <w:r>
              <w:rPr>
                <w:rFonts w:ascii="宋体" w:hAnsi="宋体" w:eastAsia="宋体" w:cs="宋体"/>
                <w:sz w:val="24"/>
                <w:szCs w:val="24"/>
              </w:rPr>
              <w:t>项目供货及安装过程中产生的残留物或垃圾，需由</w:t>
            </w:r>
            <w:r>
              <w:rPr>
                <w:rFonts w:hint="eastAsia" w:ascii="宋体" w:hAnsi="宋体" w:eastAsia="宋体" w:cs="宋体"/>
                <w:sz w:val="24"/>
                <w:szCs w:val="24"/>
                <w:lang w:val="en-US" w:eastAsia="zh-CN"/>
              </w:rPr>
              <w:t>乙方</w:t>
            </w:r>
            <w:r>
              <w:rPr>
                <w:rFonts w:ascii="宋体" w:hAnsi="宋体" w:eastAsia="宋体" w:cs="宋体"/>
                <w:sz w:val="24"/>
                <w:szCs w:val="24"/>
              </w:rPr>
              <w:t>自行清理至校外国家有关部门指定堆放处，产品包装箱及有关产品说明书等处置需经</w:t>
            </w:r>
            <w:r>
              <w:rPr>
                <w:rFonts w:hint="eastAsia" w:ascii="宋体" w:hAnsi="宋体" w:eastAsia="宋体" w:cs="宋体"/>
                <w:sz w:val="24"/>
                <w:szCs w:val="24"/>
                <w:lang w:val="en-US" w:eastAsia="zh-CN"/>
              </w:rPr>
              <w:t>甲方</w:t>
            </w:r>
            <w:r>
              <w:rPr>
                <w:rFonts w:ascii="宋体" w:hAnsi="宋体" w:eastAsia="宋体" w:cs="宋体"/>
                <w:sz w:val="24"/>
                <w:szCs w:val="24"/>
              </w:rPr>
              <w:t>确认后处 理</w:t>
            </w:r>
            <w:r>
              <w:rPr>
                <w:rFonts w:hint="eastAsia"/>
                <w:lang w:eastAsia="zh-CN"/>
              </w:rPr>
              <w:t>。</w:t>
            </w:r>
          </w:p>
          <w:p w14:paraId="4826868F">
            <w:pPr>
              <w:snapToGrid w:val="0"/>
              <w:spacing w:line="400" w:lineRule="exact"/>
              <w:ind w:firstLine="480" w:firstLineChars="200"/>
            </w:pPr>
            <w:r>
              <w:rPr>
                <w:rFonts w:hint="eastAsia" w:ascii="宋体" w:hAnsi="宋体" w:eastAsia="宋体" w:cs="宋体"/>
                <w:sz w:val="24"/>
                <w:szCs w:val="24"/>
                <w:lang w:val="en-US" w:eastAsia="zh-CN"/>
              </w:rPr>
              <w:t>提供的</w:t>
            </w:r>
            <w:r>
              <w:rPr>
                <w:rFonts w:ascii="宋体" w:hAnsi="宋体" w:eastAsia="宋体" w:cs="宋体"/>
                <w:sz w:val="24"/>
                <w:szCs w:val="24"/>
              </w:rPr>
              <w:t>产品是按厂家出厂标准 配置提供的整套全新，具备正规合法经销渠道，符合国家各项有关质量标准的合格产品。相关部件及服务满足</w:t>
            </w:r>
            <w:r>
              <w:rPr>
                <w:rFonts w:hint="eastAsia" w:ascii="宋体" w:hAnsi="宋体" w:eastAsia="宋体" w:cs="宋体"/>
                <w:sz w:val="24"/>
                <w:szCs w:val="24"/>
                <w:lang w:val="en-US" w:eastAsia="zh-CN"/>
              </w:rPr>
              <w:t>报价要求响应文件</w:t>
            </w:r>
            <w:r>
              <w:rPr>
                <w:rFonts w:ascii="宋体" w:hAnsi="宋体" w:eastAsia="宋体" w:cs="宋体"/>
                <w:sz w:val="24"/>
                <w:szCs w:val="24"/>
              </w:rPr>
              <w:t>中各项要求。所有设备除满足谈判文件要求及响应文件承诺的技术参数和配置外，其余均按国家标准及生产厂家出厂标准配置，若产品在运输过程中损坏无偿调换同样款产品。</w:t>
            </w:r>
          </w:p>
          <w:p w14:paraId="596DDEB4">
            <w:pPr>
              <w:snapToGrid w:val="0"/>
              <w:spacing w:line="400" w:lineRule="exact"/>
              <w:ind w:firstLine="480" w:firstLineChars="200"/>
            </w:pPr>
            <w:r>
              <w:rPr>
                <w:rFonts w:ascii="宋体" w:hAnsi="宋体" w:eastAsia="宋体" w:cs="宋体"/>
                <w:sz w:val="24"/>
                <w:szCs w:val="24"/>
              </w:rPr>
              <w:t>合同签订之后，</w:t>
            </w:r>
            <w:r>
              <w:rPr>
                <w:rFonts w:hint="eastAsia" w:ascii="宋体" w:hAnsi="宋体" w:eastAsia="宋体" w:cs="宋体"/>
                <w:sz w:val="24"/>
                <w:szCs w:val="24"/>
                <w:lang w:val="en-US" w:eastAsia="zh-CN"/>
              </w:rPr>
              <w:t>甲方</w:t>
            </w:r>
            <w:r>
              <w:rPr>
                <w:rFonts w:ascii="宋体" w:hAnsi="宋体" w:eastAsia="宋体" w:cs="宋体"/>
                <w:sz w:val="24"/>
                <w:szCs w:val="24"/>
              </w:rPr>
              <w:t>有权要求</w:t>
            </w:r>
            <w:r>
              <w:rPr>
                <w:rFonts w:hint="eastAsia" w:ascii="宋体" w:hAnsi="宋体" w:eastAsia="宋体" w:cs="宋体"/>
                <w:sz w:val="24"/>
                <w:szCs w:val="24"/>
                <w:lang w:val="en-US" w:eastAsia="zh-CN"/>
              </w:rPr>
              <w:t>乙方</w:t>
            </w:r>
            <w:r>
              <w:rPr>
                <w:rFonts w:ascii="宋体" w:hAnsi="宋体" w:eastAsia="宋体" w:cs="宋体"/>
                <w:sz w:val="24"/>
                <w:szCs w:val="24"/>
              </w:rPr>
              <w:t>提供所投主要产品进行功能测试，包括但不限于第1项货物，如有配置或功能不能满足采购要求，按违约处理，</w:t>
            </w:r>
            <w:r>
              <w:rPr>
                <w:rFonts w:hint="eastAsia" w:ascii="宋体" w:hAnsi="宋体" w:eastAsia="宋体" w:cs="宋体"/>
                <w:sz w:val="24"/>
                <w:szCs w:val="24"/>
                <w:lang w:val="en-US" w:eastAsia="zh-CN"/>
              </w:rPr>
              <w:t>甲方</w:t>
            </w:r>
            <w:r>
              <w:rPr>
                <w:rFonts w:ascii="宋体" w:hAnsi="宋体" w:eastAsia="宋体" w:cs="宋体"/>
                <w:sz w:val="24"/>
                <w:szCs w:val="24"/>
              </w:rPr>
              <w:t>有权 解除合同，必要时</w:t>
            </w:r>
            <w:r>
              <w:rPr>
                <w:rFonts w:hint="eastAsia" w:ascii="宋体" w:hAnsi="宋体" w:eastAsia="宋体" w:cs="宋体"/>
                <w:sz w:val="24"/>
                <w:szCs w:val="24"/>
                <w:lang w:val="en-US" w:eastAsia="zh-CN"/>
              </w:rPr>
              <w:t>甲方</w:t>
            </w:r>
            <w:r>
              <w:rPr>
                <w:rFonts w:ascii="宋体" w:hAnsi="宋体" w:eastAsia="宋体" w:cs="宋体"/>
                <w:sz w:val="24"/>
                <w:szCs w:val="24"/>
              </w:rPr>
              <w:t>有权要求有资质的第三方检测机构进行检测。</w:t>
            </w:r>
          </w:p>
          <w:p w14:paraId="0574C165">
            <w:pPr>
              <w:snapToGrid w:val="0"/>
              <w:spacing w:line="400" w:lineRule="exact"/>
              <w:ind w:firstLine="480" w:firstLineChars="200"/>
            </w:pPr>
            <w:r>
              <w:rPr>
                <w:rFonts w:hint="eastAsia" w:ascii="宋体" w:hAnsi="宋体" w:eastAsia="宋体" w:cs="宋体"/>
                <w:sz w:val="24"/>
                <w:szCs w:val="24"/>
                <w:lang w:val="en-US" w:eastAsia="zh-CN"/>
              </w:rPr>
              <w:t>乙方</w:t>
            </w:r>
            <w:r>
              <w:rPr>
                <w:rFonts w:ascii="宋体" w:hAnsi="宋体" w:eastAsia="宋体" w:cs="宋体"/>
                <w:sz w:val="24"/>
                <w:szCs w:val="24"/>
              </w:rPr>
              <w:t>所提供的产品必须为原装正品的、全新的、完好无破损且为未开箱状态、符合有关质量标准的产品，应提供产品的出厂合格证明，并提供原厂出货证明函，否则</w:t>
            </w:r>
            <w:r>
              <w:rPr>
                <w:rFonts w:hint="eastAsia" w:ascii="宋体" w:hAnsi="宋体" w:eastAsia="宋体" w:cs="宋体"/>
                <w:sz w:val="24"/>
                <w:szCs w:val="24"/>
                <w:lang w:val="en-US" w:eastAsia="zh-CN"/>
              </w:rPr>
              <w:t>甲方</w:t>
            </w:r>
            <w:r>
              <w:rPr>
                <w:rFonts w:ascii="宋体" w:hAnsi="宋体" w:eastAsia="宋体" w:cs="宋体"/>
                <w:sz w:val="24"/>
                <w:szCs w:val="24"/>
              </w:rPr>
              <w:t>有权中止合同，无条件退货，且</w:t>
            </w:r>
            <w:r>
              <w:rPr>
                <w:rFonts w:hint="eastAsia" w:ascii="宋体" w:hAnsi="宋体" w:eastAsia="宋体" w:cs="宋体"/>
                <w:sz w:val="24"/>
                <w:szCs w:val="24"/>
                <w:lang w:val="en-US" w:eastAsia="zh-CN"/>
              </w:rPr>
              <w:t>乙方</w:t>
            </w:r>
            <w:r>
              <w:rPr>
                <w:rFonts w:ascii="宋体" w:hAnsi="宋体" w:eastAsia="宋体" w:cs="宋体"/>
                <w:sz w:val="24"/>
                <w:szCs w:val="24"/>
              </w:rPr>
              <w:t>需赔偿</w:t>
            </w:r>
            <w:r>
              <w:rPr>
                <w:rFonts w:hint="eastAsia" w:ascii="宋体" w:hAnsi="宋体" w:eastAsia="宋体" w:cs="宋体"/>
                <w:sz w:val="24"/>
                <w:szCs w:val="24"/>
                <w:lang w:val="en-US" w:eastAsia="zh-CN"/>
              </w:rPr>
              <w:t>甲方</w:t>
            </w:r>
            <w:r>
              <w:rPr>
                <w:rFonts w:ascii="宋体" w:hAnsi="宋体" w:eastAsia="宋体" w:cs="宋体"/>
                <w:sz w:val="24"/>
                <w:szCs w:val="24"/>
              </w:rPr>
              <w:t>的相关损失；设备到货安装前，</w:t>
            </w:r>
            <w:r>
              <w:rPr>
                <w:rFonts w:hint="eastAsia" w:ascii="宋体" w:hAnsi="宋体" w:eastAsia="宋体" w:cs="宋体"/>
                <w:sz w:val="24"/>
                <w:szCs w:val="24"/>
                <w:lang w:val="en-US" w:eastAsia="zh-CN"/>
              </w:rPr>
              <w:t>甲方</w:t>
            </w:r>
            <w:r>
              <w:rPr>
                <w:rFonts w:ascii="宋体" w:hAnsi="宋体" w:eastAsia="宋体" w:cs="宋体"/>
                <w:sz w:val="24"/>
                <w:szCs w:val="24"/>
              </w:rPr>
              <w:t>现场根据采购文件要求及响应文件承诺逐条对应进行核验（必要时，</w:t>
            </w:r>
            <w:r>
              <w:rPr>
                <w:rFonts w:hint="eastAsia" w:ascii="宋体" w:hAnsi="宋体" w:eastAsia="宋体" w:cs="宋体"/>
                <w:sz w:val="24"/>
                <w:szCs w:val="24"/>
                <w:lang w:val="en-US" w:eastAsia="zh-CN"/>
              </w:rPr>
              <w:t>甲方</w:t>
            </w:r>
            <w:r>
              <w:rPr>
                <w:rFonts w:ascii="宋体" w:hAnsi="宋体" w:eastAsia="宋体" w:cs="宋体"/>
                <w:sz w:val="24"/>
                <w:szCs w:val="24"/>
              </w:rPr>
              <w:t>有权要求供应商对各项指标进行现场演示），核验不合格或</w:t>
            </w:r>
            <w:r>
              <w:rPr>
                <w:rFonts w:hint="eastAsia" w:ascii="宋体" w:hAnsi="宋体" w:eastAsia="宋体" w:cs="宋体"/>
                <w:sz w:val="24"/>
                <w:szCs w:val="24"/>
                <w:lang w:val="en-US" w:eastAsia="zh-CN"/>
              </w:rPr>
              <w:t>乙方</w:t>
            </w:r>
            <w:r>
              <w:rPr>
                <w:rFonts w:ascii="宋体" w:hAnsi="宋体" w:eastAsia="宋体" w:cs="宋体"/>
                <w:sz w:val="24"/>
                <w:szCs w:val="24"/>
              </w:rPr>
              <w:t>未按</w:t>
            </w:r>
            <w:r>
              <w:rPr>
                <w:rFonts w:hint="eastAsia" w:ascii="宋体" w:hAnsi="宋体" w:eastAsia="宋体" w:cs="宋体"/>
                <w:sz w:val="24"/>
                <w:szCs w:val="24"/>
                <w:lang w:val="en-US" w:eastAsia="zh-CN"/>
              </w:rPr>
              <w:t>甲方</w:t>
            </w:r>
            <w:r>
              <w:rPr>
                <w:rFonts w:ascii="宋体" w:hAnsi="宋体" w:eastAsia="宋体" w:cs="宋体"/>
                <w:sz w:val="24"/>
                <w:szCs w:val="24"/>
              </w:rPr>
              <w:t>要求提供现场演示或技术功能无法达到相应技术要求的，按违约处理，</w:t>
            </w:r>
            <w:r>
              <w:rPr>
                <w:rFonts w:hint="eastAsia" w:ascii="宋体" w:hAnsi="宋体" w:eastAsia="宋体" w:cs="宋体"/>
                <w:sz w:val="24"/>
                <w:szCs w:val="24"/>
                <w:lang w:val="en-US" w:eastAsia="zh-CN"/>
              </w:rPr>
              <w:t>甲方</w:t>
            </w:r>
            <w:r>
              <w:rPr>
                <w:rFonts w:ascii="宋体" w:hAnsi="宋体" w:eastAsia="宋体" w:cs="宋体"/>
                <w:sz w:val="24"/>
                <w:szCs w:val="24"/>
              </w:rPr>
              <w:t>有权全部退货，同时报相关监督管理部门处理，由此造成</w:t>
            </w:r>
            <w:r>
              <w:rPr>
                <w:rFonts w:hint="eastAsia" w:ascii="宋体" w:hAnsi="宋体" w:eastAsia="宋体" w:cs="宋体"/>
                <w:sz w:val="24"/>
                <w:szCs w:val="24"/>
                <w:lang w:val="en-US" w:eastAsia="zh-CN"/>
              </w:rPr>
              <w:t>甲方</w:t>
            </w:r>
            <w:r>
              <w:rPr>
                <w:rFonts w:ascii="宋体" w:hAnsi="宋体" w:eastAsia="宋体" w:cs="宋体"/>
                <w:sz w:val="24"/>
                <w:szCs w:val="24"/>
              </w:rPr>
              <w:t>经济损失的由</w:t>
            </w:r>
            <w:r>
              <w:rPr>
                <w:rFonts w:hint="eastAsia" w:ascii="宋体" w:hAnsi="宋体" w:eastAsia="宋体" w:cs="宋体"/>
                <w:sz w:val="24"/>
                <w:szCs w:val="24"/>
                <w:lang w:val="en-US" w:eastAsia="zh-CN"/>
              </w:rPr>
              <w:t>乙方</w:t>
            </w:r>
            <w:r>
              <w:rPr>
                <w:rFonts w:ascii="宋体" w:hAnsi="宋体" w:eastAsia="宋体" w:cs="宋体"/>
                <w:sz w:val="24"/>
                <w:szCs w:val="24"/>
              </w:rPr>
              <w:t>负责承担全部赔偿责任。</w:t>
            </w:r>
          </w:p>
          <w:p w14:paraId="7082FD02">
            <w:pPr>
              <w:snapToGrid w:val="0"/>
              <w:spacing w:line="400" w:lineRule="exact"/>
              <w:ind w:firstLine="480" w:firstLineChars="200"/>
            </w:pPr>
            <w:r>
              <w:rPr>
                <w:rFonts w:ascii="宋体" w:hAnsi="宋体" w:eastAsia="宋体" w:cs="宋体"/>
                <w:sz w:val="24"/>
                <w:szCs w:val="24"/>
              </w:rPr>
              <w:t>成交后，</w:t>
            </w:r>
            <w:r>
              <w:rPr>
                <w:rFonts w:hint="eastAsia" w:ascii="宋体" w:hAnsi="宋体" w:eastAsia="宋体" w:cs="宋体"/>
                <w:sz w:val="24"/>
                <w:szCs w:val="24"/>
                <w:lang w:val="en-US" w:eastAsia="zh-CN"/>
              </w:rPr>
              <w:t>甲方</w:t>
            </w:r>
            <w:r>
              <w:rPr>
                <w:rFonts w:ascii="宋体" w:hAnsi="宋体" w:eastAsia="宋体" w:cs="宋体"/>
                <w:sz w:val="24"/>
                <w:szCs w:val="24"/>
              </w:rPr>
              <w:t>发现</w:t>
            </w:r>
            <w:r>
              <w:rPr>
                <w:rFonts w:hint="eastAsia" w:ascii="宋体" w:hAnsi="宋体" w:eastAsia="宋体" w:cs="宋体"/>
                <w:sz w:val="24"/>
                <w:szCs w:val="24"/>
                <w:lang w:val="en-US" w:eastAsia="zh-CN"/>
              </w:rPr>
              <w:t>乙方</w:t>
            </w:r>
            <w:r>
              <w:rPr>
                <w:rFonts w:ascii="宋体" w:hAnsi="宋体" w:eastAsia="宋体" w:cs="宋体"/>
                <w:sz w:val="24"/>
                <w:szCs w:val="24"/>
              </w:rPr>
              <w:t>在响应文件中提供任何虚假材料的，</w:t>
            </w:r>
            <w:r>
              <w:rPr>
                <w:rFonts w:hint="eastAsia" w:ascii="宋体" w:hAnsi="宋体" w:eastAsia="宋体" w:cs="宋体"/>
                <w:sz w:val="24"/>
                <w:szCs w:val="24"/>
                <w:lang w:val="en-US" w:eastAsia="zh-CN"/>
              </w:rPr>
              <w:t>甲方</w:t>
            </w:r>
            <w:r>
              <w:rPr>
                <w:rFonts w:ascii="宋体" w:hAnsi="宋体" w:eastAsia="宋体" w:cs="宋体"/>
                <w:sz w:val="24"/>
                <w:szCs w:val="24"/>
              </w:rPr>
              <w:t>有权汇报监督管理部门处理，且</w:t>
            </w:r>
            <w:r>
              <w:rPr>
                <w:rFonts w:hint="eastAsia" w:ascii="宋体" w:hAnsi="宋体" w:eastAsia="宋体" w:cs="宋体"/>
                <w:sz w:val="24"/>
                <w:szCs w:val="24"/>
                <w:lang w:val="en-US" w:eastAsia="zh-CN"/>
              </w:rPr>
              <w:t>乙方</w:t>
            </w:r>
            <w:r>
              <w:rPr>
                <w:rFonts w:ascii="宋体" w:hAnsi="宋体" w:eastAsia="宋体" w:cs="宋体"/>
                <w:sz w:val="24"/>
                <w:szCs w:val="24"/>
              </w:rPr>
              <w:t>须依照《中华人民共和国消费者权益保护法》赔偿</w:t>
            </w:r>
            <w:r>
              <w:rPr>
                <w:rFonts w:hint="eastAsia" w:ascii="宋体" w:hAnsi="宋体" w:eastAsia="宋体" w:cs="宋体"/>
                <w:sz w:val="24"/>
                <w:szCs w:val="24"/>
                <w:lang w:val="en-US" w:eastAsia="zh-CN"/>
              </w:rPr>
              <w:t>甲方</w:t>
            </w:r>
            <w:r>
              <w:rPr>
                <w:rFonts w:ascii="宋体" w:hAnsi="宋体" w:eastAsia="宋体" w:cs="宋体"/>
                <w:sz w:val="24"/>
                <w:szCs w:val="24"/>
              </w:rPr>
              <w:t>，民事赔偿并不免除违法</w:t>
            </w:r>
            <w:r>
              <w:rPr>
                <w:rFonts w:hint="eastAsia" w:ascii="宋体" w:hAnsi="宋体" w:eastAsia="宋体" w:cs="宋体"/>
                <w:sz w:val="24"/>
                <w:szCs w:val="24"/>
                <w:lang w:val="en-US" w:eastAsia="zh-CN"/>
              </w:rPr>
              <w:t>乙方</w:t>
            </w:r>
            <w:r>
              <w:rPr>
                <w:rFonts w:ascii="宋体" w:hAnsi="宋体" w:eastAsia="宋体" w:cs="宋体"/>
                <w:sz w:val="24"/>
                <w:szCs w:val="24"/>
              </w:rPr>
              <w:t>的法律责任。</w:t>
            </w:r>
          </w:p>
          <w:p w14:paraId="622A41DF">
            <w:pPr>
              <w:snapToGrid w:val="0"/>
              <w:spacing w:line="400" w:lineRule="exact"/>
              <w:ind w:firstLine="480" w:firstLineChars="200"/>
              <w:rPr>
                <w:rFonts w:hint="eastAsia"/>
                <w:lang w:val="en-US" w:eastAsia="zh-CN"/>
              </w:rPr>
            </w:pPr>
            <w:r>
              <w:rPr>
                <w:rFonts w:ascii="宋体" w:hAnsi="宋体" w:eastAsia="宋体" w:cs="宋体"/>
                <w:sz w:val="24"/>
                <w:szCs w:val="24"/>
              </w:rPr>
              <w:t>本项目货物涉及的产品及其配件包括但不限于各类芯片等必须符合国家有关政策规定，</w:t>
            </w:r>
            <w:r>
              <w:rPr>
                <w:rFonts w:hint="eastAsia" w:ascii="宋体" w:hAnsi="宋体" w:eastAsia="宋体" w:cs="宋体"/>
                <w:sz w:val="24"/>
                <w:szCs w:val="24"/>
                <w:lang w:val="en-US" w:eastAsia="zh-CN"/>
              </w:rPr>
              <w:t>未</w:t>
            </w:r>
            <w:r>
              <w:rPr>
                <w:rFonts w:ascii="宋体" w:hAnsi="宋体" w:eastAsia="宋体" w:cs="宋体"/>
                <w:sz w:val="24"/>
                <w:szCs w:val="24"/>
              </w:rPr>
              <w:t>使用国家禁止使用范围内的产品及其配件。</w:t>
            </w:r>
          </w:p>
          <w:p w14:paraId="1B22FD9D">
            <w:pPr>
              <w:snapToGrid w:val="0"/>
              <w:spacing w:line="400" w:lineRule="exact"/>
              <w:ind w:firstLine="420" w:firstLineChars="200"/>
              <w:rPr>
                <w:rFonts w:hint="eastAsia"/>
                <w:lang w:val="en-US" w:eastAsia="zh-CN"/>
              </w:rPr>
            </w:pPr>
          </w:p>
        </w:tc>
      </w:tr>
      <w:tr w14:paraId="15ED3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jc w:val="center"/>
        </w:trPr>
        <w:tc>
          <w:tcPr>
            <w:tcW w:w="9163" w:type="dxa"/>
            <w:gridSpan w:val="2"/>
            <w:tcBorders>
              <w:top w:val="single" w:color="auto" w:sz="4" w:space="0"/>
              <w:left w:val="single" w:color="auto" w:sz="4" w:space="0"/>
              <w:right w:val="single" w:color="auto" w:sz="4" w:space="0"/>
            </w:tcBorders>
            <w:noWrap w:val="0"/>
            <w:vAlign w:val="top"/>
          </w:tcPr>
          <w:p w14:paraId="0715D376">
            <w:pPr>
              <w:snapToGrid w:val="0"/>
              <w:spacing w:line="400" w:lineRule="exact"/>
              <w:ind w:firstLine="422" w:firstLineChars="200"/>
              <w:rPr>
                <w:rFonts w:hint="eastAsia" w:ascii="宋体" w:hAnsi="宋体"/>
                <w:b/>
                <w:color w:val="auto"/>
              </w:rPr>
            </w:pPr>
            <w:r>
              <w:rPr>
                <w:rFonts w:hint="eastAsia" w:ascii="宋体" w:hAnsi="宋体"/>
                <w:b/>
                <w:color w:val="auto"/>
              </w:rPr>
              <w:t>2、售后服务具体事项：</w:t>
            </w:r>
          </w:p>
          <w:p w14:paraId="26FDF61F">
            <w:pPr>
              <w:snapToGrid w:val="0"/>
              <w:spacing w:line="40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乙方</w:t>
            </w:r>
            <w:r>
              <w:rPr>
                <w:rFonts w:ascii="宋体" w:hAnsi="宋体" w:eastAsia="宋体" w:cs="宋体"/>
                <w:sz w:val="24"/>
                <w:szCs w:val="24"/>
              </w:rPr>
              <w:t>须负责项目设备送货、建设、安装调试与培训，免费提供设备操作培训，并要求在响应文件里提供培训方案；免费现场培训2～ 3名相关人员至掌握设备操作及日常维护</w:t>
            </w:r>
            <w:r>
              <w:rPr>
                <w:rFonts w:hint="eastAsia" w:ascii="宋体" w:hAnsi="宋体" w:eastAsia="宋体" w:cs="宋体"/>
                <w:sz w:val="24"/>
                <w:szCs w:val="24"/>
                <w:lang w:eastAsia="zh-CN"/>
              </w:rPr>
              <w:t>。</w:t>
            </w:r>
          </w:p>
          <w:p w14:paraId="52EB43F6">
            <w:pPr>
              <w:snapToGrid w:val="0"/>
              <w:spacing w:line="400" w:lineRule="exact"/>
              <w:ind w:firstLine="480" w:firstLineChars="200"/>
            </w:pPr>
            <w:r>
              <w:rPr>
                <w:rFonts w:ascii="宋体" w:hAnsi="宋体" w:eastAsia="宋体" w:cs="宋体"/>
                <w:sz w:val="24"/>
                <w:szCs w:val="24"/>
              </w:rPr>
              <w:t>设备如出现故障在接到</w:t>
            </w:r>
            <w:r>
              <w:rPr>
                <w:rFonts w:hint="eastAsia" w:ascii="宋体" w:hAnsi="宋体" w:eastAsia="宋体" w:cs="宋体"/>
                <w:sz w:val="24"/>
                <w:szCs w:val="24"/>
                <w:lang w:val="en-US" w:eastAsia="zh-CN"/>
              </w:rPr>
              <w:t>甲方</w:t>
            </w:r>
            <w:r>
              <w:rPr>
                <w:rFonts w:ascii="宋体" w:hAnsi="宋体" w:eastAsia="宋体" w:cs="宋体"/>
                <w:sz w:val="24"/>
                <w:szCs w:val="24"/>
              </w:rPr>
              <w:t>通知后在30分钟内响应，2小时内上门服务，12小时内解决故障；未能在规定时间内排除故障的，必须在接到</w:t>
            </w:r>
            <w:r>
              <w:rPr>
                <w:rFonts w:hint="eastAsia" w:ascii="宋体" w:hAnsi="宋体" w:eastAsia="宋体" w:cs="宋体"/>
                <w:sz w:val="24"/>
                <w:szCs w:val="24"/>
                <w:lang w:val="en-US" w:eastAsia="zh-CN"/>
              </w:rPr>
              <w:t>甲方</w:t>
            </w:r>
            <w:r>
              <w:rPr>
                <w:rFonts w:ascii="宋体" w:hAnsi="宋体" w:eastAsia="宋体" w:cs="宋体"/>
                <w:sz w:val="24"/>
                <w:szCs w:val="24"/>
              </w:rPr>
              <w:t>通知后48小时内提供同档次的备用机并提交故障解决处理方案；</w:t>
            </w:r>
          </w:p>
          <w:p w14:paraId="353AAF9F">
            <w:pPr>
              <w:snapToGrid w:val="0"/>
              <w:spacing w:line="400" w:lineRule="exact"/>
              <w:ind w:firstLine="480" w:firstLineChars="200"/>
              <w:rPr>
                <w:rFonts w:hint="eastAsia"/>
                <w:lang w:eastAsia="zh-CN"/>
              </w:rPr>
            </w:pPr>
            <w:r>
              <w:rPr>
                <w:rFonts w:ascii="宋体" w:hAnsi="宋体" w:eastAsia="宋体" w:cs="宋体"/>
                <w:sz w:val="24"/>
                <w:szCs w:val="24"/>
              </w:rPr>
              <w:t>提供定期回访及巡检服务；</w:t>
            </w:r>
          </w:p>
        </w:tc>
      </w:tr>
      <w:tr w14:paraId="788E0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jc w:val="center"/>
        </w:trPr>
        <w:tc>
          <w:tcPr>
            <w:tcW w:w="9163" w:type="dxa"/>
            <w:gridSpan w:val="2"/>
            <w:tcBorders>
              <w:top w:val="single" w:color="auto" w:sz="4" w:space="0"/>
              <w:left w:val="single" w:color="auto" w:sz="4" w:space="0"/>
              <w:right w:val="single" w:color="auto" w:sz="4" w:space="0"/>
            </w:tcBorders>
            <w:noWrap w:val="0"/>
            <w:vAlign w:val="top"/>
          </w:tcPr>
          <w:p w14:paraId="203ADB1E">
            <w:pPr>
              <w:snapToGrid w:val="0"/>
              <w:spacing w:line="400" w:lineRule="exact"/>
              <w:ind w:firstLine="422" w:firstLineChars="200"/>
              <w:rPr>
                <w:rFonts w:hint="eastAsia" w:ascii="宋体" w:hAnsi="宋体" w:eastAsia="宋体"/>
                <w:b/>
                <w:color w:val="auto"/>
                <w:lang w:val="en-US" w:eastAsia="zh-CN"/>
              </w:rPr>
            </w:pPr>
            <w:r>
              <w:rPr>
                <w:rFonts w:hint="eastAsia" w:ascii="宋体" w:hAnsi="宋体"/>
                <w:b/>
                <w:color w:val="auto"/>
              </w:rPr>
              <w:t>3、保修期责任：</w:t>
            </w:r>
            <w:r>
              <w:rPr>
                <w:rFonts w:hint="eastAsia" w:ascii="宋体" w:hAnsi="宋体" w:eastAsia="宋体" w:cs="宋体"/>
                <w:sz w:val="24"/>
                <w:szCs w:val="24"/>
                <w:lang w:val="en-US" w:eastAsia="zh-CN"/>
              </w:rPr>
              <w:t>乙方</w:t>
            </w:r>
            <w:r>
              <w:rPr>
                <w:rFonts w:ascii="宋体" w:hAnsi="宋体" w:eastAsia="宋体" w:cs="宋体"/>
                <w:sz w:val="24"/>
                <w:szCs w:val="24"/>
              </w:rPr>
              <w:t>应在响应文件中提供质保期内的智能信息化运维方案，质保期内所有由于质量问题导致的软、硬件产品故障及设备损坏，</w:t>
            </w:r>
            <w:r>
              <w:rPr>
                <w:rFonts w:hint="eastAsia" w:ascii="宋体" w:hAnsi="宋体" w:eastAsia="宋体" w:cs="宋体"/>
                <w:sz w:val="24"/>
                <w:szCs w:val="24"/>
                <w:lang w:val="en-US" w:eastAsia="zh-CN"/>
              </w:rPr>
              <w:t>乙方</w:t>
            </w:r>
            <w:r>
              <w:rPr>
                <w:rFonts w:ascii="宋体" w:hAnsi="宋体" w:eastAsia="宋体" w:cs="宋体"/>
                <w:sz w:val="24"/>
                <w:szCs w:val="24"/>
              </w:rPr>
              <w:t>提供保修、人工及更换备件的上门服务，并提供终身维护。 质保期内</w:t>
            </w:r>
            <w:r>
              <w:rPr>
                <w:rFonts w:hint="eastAsia" w:ascii="宋体" w:hAnsi="宋体" w:eastAsia="宋体" w:cs="宋体"/>
                <w:sz w:val="24"/>
                <w:szCs w:val="24"/>
                <w:lang w:val="en-US" w:eastAsia="zh-CN"/>
              </w:rPr>
              <w:t>甲方</w:t>
            </w:r>
            <w:r>
              <w:rPr>
                <w:rFonts w:ascii="宋体" w:hAnsi="宋体" w:eastAsia="宋体" w:cs="宋体"/>
                <w:sz w:val="24"/>
                <w:szCs w:val="24"/>
              </w:rPr>
              <w:t>不再支付任何费用</w:t>
            </w:r>
            <w:r>
              <w:rPr>
                <w:rFonts w:hint="eastAsia" w:ascii="宋体" w:hAnsi="宋体" w:eastAsia="宋体" w:cs="宋体"/>
                <w:sz w:val="24"/>
                <w:szCs w:val="24"/>
                <w:lang w:eastAsia="zh-CN"/>
              </w:rPr>
              <w:t>。</w:t>
            </w:r>
          </w:p>
        </w:tc>
      </w:tr>
      <w:tr w14:paraId="37497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jc w:val="center"/>
        </w:trPr>
        <w:tc>
          <w:tcPr>
            <w:tcW w:w="9163" w:type="dxa"/>
            <w:gridSpan w:val="2"/>
            <w:tcBorders>
              <w:top w:val="single" w:color="auto" w:sz="4" w:space="0"/>
              <w:left w:val="single" w:color="auto" w:sz="4" w:space="0"/>
              <w:right w:val="single" w:color="auto" w:sz="4" w:space="0"/>
            </w:tcBorders>
            <w:noWrap w:val="0"/>
            <w:vAlign w:val="top"/>
          </w:tcPr>
          <w:p w14:paraId="116506BA">
            <w:pPr>
              <w:snapToGrid w:val="0"/>
              <w:spacing w:line="400" w:lineRule="exact"/>
              <w:ind w:firstLine="422" w:firstLineChars="200"/>
              <w:rPr>
                <w:rFonts w:hint="eastAsia" w:ascii="宋体" w:hAnsi="宋体"/>
                <w:b/>
                <w:color w:val="auto"/>
              </w:rPr>
            </w:pPr>
            <w:r>
              <w:rPr>
                <w:rFonts w:hint="eastAsia" w:ascii="宋体" w:hAnsi="宋体"/>
                <w:b/>
                <w:color w:val="auto"/>
              </w:rPr>
              <w:t>4、其他具体事项：</w:t>
            </w:r>
          </w:p>
          <w:p w14:paraId="25FDF4A3">
            <w:pPr>
              <w:snapToGrid w:val="0"/>
              <w:spacing w:line="400" w:lineRule="exact"/>
              <w:ind w:firstLine="480" w:firstLineChars="200"/>
              <w:rPr>
                <w:rFonts w:hint="eastAsia" w:ascii="宋体" w:hAnsi="宋体"/>
                <w:b/>
                <w:color w:val="auto"/>
              </w:rPr>
            </w:pPr>
            <w:r>
              <w:rPr>
                <w:rFonts w:ascii="宋体" w:hAnsi="宋体" w:eastAsia="宋体" w:cs="宋体"/>
                <w:sz w:val="24"/>
                <w:szCs w:val="24"/>
              </w:rPr>
              <w:t>若</w:t>
            </w:r>
            <w:r>
              <w:rPr>
                <w:rFonts w:hint="eastAsia" w:ascii="宋体" w:hAnsi="宋体" w:eastAsia="宋体" w:cs="宋体"/>
                <w:sz w:val="24"/>
                <w:szCs w:val="24"/>
                <w:lang w:val="en-US" w:eastAsia="zh-CN"/>
              </w:rPr>
              <w:t>乙方</w:t>
            </w:r>
            <w:r>
              <w:rPr>
                <w:rFonts w:ascii="宋体" w:hAnsi="宋体" w:eastAsia="宋体" w:cs="宋体"/>
                <w:sz w:val="24"/>
                <w:szCs w:val="24"/>
              </w:rPr>
              <w:t>为本项目标的及标的涉及的相关材料、设备、人员、运输等购买保险的，相关费用由</w:t>
            </w:r>
            <w:r>
              <w:rPr>
                <w:rFonts w:hint="eastAsia" w:ascii="宋体" w:hAnsi="宋体" w:eastAsia="宋体" w:cs="宋体"/>
                <w:sz w:val="24"/>
                <w:szCs w:val="24"/>
                <w:lang w:val="en-US" w:eastAsia="zh-CN"/>
              </w:rPr>
              <w:t>乙方</w:t>
            </w:r>
            <w:r>
              <w:rPr>
                <w:rFonts w:ascii="宋体" w:hAnsi="宋体" w:eastAsia="宋体" w:cs="宋体"/>
                <w:sz w:val="24"/>
                <w:szCs w:val="24"/>
              </w:rPr>
              <w:t>自行承担。</w:t>
            </w:r>
            <w:r>
              <w:rPr>
                <w:rFonts w:hint="eastAsia" w:ascii="宋体" w:hAnsi="宋体" w:eastAsia="宋体" w:cs="宋体"/>
                <w:sz w:val="24"/>
                <w:szCs w:val="24"/>
                <w:lang w:val="en-US" w:eastAsia="zh-CN"/>
              </w:rPr>
              <w:t>乙方</w:t>
            </w:r>
            <w:r>
              <w:rPr>
                <w:rFonts w:ascii="宋体" w:hAnsi="宋体" w:eastAsia="宋体" w:cs="宋体"/>
                <w:sz w:val="24"/>
                <w:szCs w:val="24"/>
              </w:rPr>
              <w:t>需为本项目指定一名专项责任人负责全程协调与现场管理工作，并提供该责任人与</w:t>
            </w:r>
            <w:r>
              <w:rPr>
                <w:rFonts w:hint="eastAsia" w:ascii="宋体" w:hAnsi="宋体" w:eastAsia="宋体" w:cs="宋体"/>
                <w:sz w:val="24"/>
                <w:szCs w:val="24"/>
                <w:lang w:val="en-US" w:eastAsia="zh-CN"/>
              </w:rPr>
              <w:t>乙方</w:t>
            </w:r>
            <w:r>
              <w:rPr>
                <w:rFonts w:ascii="宋体" w:hAnsi="宋体" w:eastAsia="宋体" w:cs="宋体"/>
                <w:sz w:val="24"/>
                <w:szCs w:val="24"/>
              </w:rPr>
              <w:t>存在持续劳动关系的证明文件（以竞标截止日前半年内任意一个月的社保缴纳记录或工资流水或劳动合同为准）。如中标后经核实该责任人并非</w:t>
            </w:r>
            <w:r>
              <w:rPr>
                <w:rFonts w:hint="eastAsia" w:ascii="宋体" w:hAnsi="宋体" w:eastAsia="宋体" w:cs="宋体"/>
                <w:sz w:val="24"/>
                <w:szCs w:val="24"/>
                <w:lang w:val="en-US" w:eastAsia="zh-CN"/>
              </w:rPr>
              <w:t>乙方</w:t>
            </w:r>
            <w:r>
              <w:rPr>
                <w:rFonts w:ascii="宋体" w:hAnsi="宋体" w:eastAsia="宋体" w:cs="宋体"/>
                <w:sz w:val="24"/>
                <w:szCs w:val="24"/>
              </w:rPr>
              <w:t>长期在职员工，</w:t>
            </w:r>
            <w:r>
              <w:rPr>
                <w:rFonts w:hint="eastAsia" w:ascii="宋体" w:hAnsi="宋体" w:eastAsia="宋体" w:cs="宋体"/>
                <w:sz w:val="24"/>
                <w:szCs w:val="24"/>
                <w:lang w:val="en-US" w:eastAsia="zh-CN"/>
              </w:rPr>
              <w:t>甲方</w:t>
            </w:r>
            <w:r>
              <w:rPr>
                <w:rFonts w:ascii="宋体" w:hAnsi="宋体" w:eastAsia="宋体" w:cs="宋体"/>
                <w:sz w:val="24"/>
                <w:szCs w:val="24"/>
              </w:rPr>
              <w:t>有权向上级监管部门反映，并根据合同约定追究</w:t>
            </w:r>
            <w:r>
              <w:rPr>
                <w:rFonts w:hint="eastAsia" w:ascii="宋体" w:hAnsi="宋体" w:eastAsia="宋体" w:cs="宋体"/>
                <w:sz w:val="24"/>
                <w:szCs w:val="24"/>
                <w:lang w:val="en-US" w:eastAsia="zh-CN"/>
              </w:rPr>
              <w:t>乙方</w:t>
            </w:r>
            <w:r>
              <w:rPr>
                <w:rFonts w:ascii="宋体" w:hAnsi="宋体" w:eastAsia="宋体" w:cs="宋体"/>
                <w:sz w:val="24"/>
                <w:szCs w:val="24"/>
              </w:rPr>
              <w:t>相应责任，同时可不予退还项目担保金并终止合作协议。响应文件中所列明的责任人，必须与项目实际实施过程中驻场履行管理职责的人员为同一人，且须自始至终主导项目建设全过程。</w:t>
            </w:r>
          </w:p>
        </w:tc>
      </w:tr>
      <w:tr w14:paraId="33428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3" w:hRule="atLeast"/>
          <w:jc w:val="center"/>
        </w:trPr>
        <w:tc>
          <w:tcPr>
            <w:tcW w:w="4496" w:type="dxa"/>
            <w:tcBorders>
              <w:top w:val="single" w:color="auto" w:sz="4" w:space="0"/>
              <w:left w:val="single" w:color="auto" w:sz="4" w:space="0"/>
              <w:bottom w:val="single" w:color="auto" w:sz="4" w:space="0"/>
              <w:right w:val="single" w:color="auto" w:sz="4" w:space="0"/>
            </w:tcBorders>
            <w:noWrap w:val="0"/>
            <w:vAlign w:val="center"/>
          </w:tcPr>
          <w:p w14:paraId="1BB4BD1B">
            <w:pPr>
              <w:snapToGrid w:val="0"/>
              <w:spacing w:line="400" w:lineRule="exact"/>
              <w:rPr>
                <w:rFonts w:hint="eastAsia" w:ascii="宋体" w:hAnsi="宋体"/>
                <w:b/>
                <w:color w:val="auto"/>
              </w:rPr>
            </w:pPr>
            <w:r>
              <w:rPr>
                <w:rFonts w:hint="eastAsia" w:ascii="宋体" w:hAnsi="宋体"/>
                <w:b/>
                <w:color w:val="auto"/>
              </w:rPr>
              <w:t>甲方（章）广西财经学院</w:t>
            </w:r>
          </w:p>
          <w:p w14:paraId="1348CABC">
            <w:pPr>
              <w:snapToGrid w:val="0"/>
              <w:spacing w:line="400" w:lineRule="exact"/>
              <w:ind w:firstLine="422" w:firstLineChars="200"/>
              <w:rPr>
                <w:rFonts w:hint="eastAsia" w:ascii="宋体" w:hAnsi="宋体"/>
                <w:b/>
                <w:color w:val="auto"/>
              </w:rPr>
            </w:pPr>
          </w:p>
          <w:p w14:paraId="53622CD6">
            <w:pPr>
              <w:snapToGrid w:val="0"/>
              <w:spacing w:line="400" w:lineRule="exact"/>
              <w:ind w:firstLine="422" w:firstLineChars="200"/>
              <w:rPr>
                <w:rFonts w:hint="eastAsia" w:ascii="宋体" w:hAnsi="宋体"/>
                <w:b/>
                <w:color w:val="auto"/>
              </w:rPr>
            </w:pPr>
          </w:p>
          <w:p w14:paraId="105057DB">
            <w:pPr>
              <w:snapToGrid w:val="0"/>
              <w:spacing w:line="400" w:lineRule="exact"/>
              <w:ind w:firstLine="422" w:firstLineChars="200"/>
              <w:rPr>
                <w:rFonts w:hint="eastAsia" w:ascii="宋体" w:hAnsi="宋体"/>
                <w:b/>
                <w:color w:val="auto"/>
              </w:rPr>
            </w:pPr>
          </w:p>
          <w:p w14:paraId="1DC59275">
            <w:pPr>
              <w:snapToGrid w:val="0"/>
              <w:spacing w:line="400" w:lineRule="exact"/>
              <w:ind w:firstLine="422" w:firstLineChars="200"/>
              <w:jc w:val="right"/>
              <w:rPr>
                <w:rFonts w:hint="eastAsia" w:ascii="宋体" w:hAnsi="宋体"/>
                <w:b/>
                <w:color w:val="auto"/>
              </w:rPr>
            </w:pPr>
            <w:r>
              <w:rPr>
                <w:rFonts w:hint="eastAsia" w:ascii="宋体" w:hAnsi="宋体"/>
                <w:b/>
                <w:color w:val="auto"/>
              </w:rPr>
              <w:t xml:space="preserve">                 </w:t>
            </w:r>
          </w:p>
          <w:p w14:paraId="5B3345EB">
            <w:pPr>
              <w:snapToGrid w:val="0"/>
              <w:spacing w:line="400" w:lineRule="exact"/>
              <w:ind w:firstLine="422" w:firstLineChars="200"/>
              <w:jc w:val="right"/>
              <w:rPr>
                <w:rFonts w:hint="eastAsia" w:ascii="宋体" w:hAnsi="宋体"/>
                <w:b/>
                <w:color w:val="auto"/>
              </w:rPr>
            </w:pPr>
            <w:r>
              <w:rPr>
                <w:rFonts w:hint="eastAsia" w:ascii="宋体" w:hAnsi="宋体"/>
                <w:b/>
                <w:color w:val="auto"/>
              </w:rPr>
              <w:t xml:space="preserve">年   月   日 </w:t>
            </w:r>
          </w:p>
        </w:tc>
        <w:tc>
          <w:tcPr>
            <w:tcW w:w="4667" w:type="dxa"/>
            <w:tcBorders>
              <w:top w:val="single" w:color="auto" w:sz="4" w:space="0"/>
              <w:left w:val="single" w:color="auto" w:sz="4" w:space="0"/>
              <w:bottom w:val="single" w:color="auto" w:sz="4" w:space="0"/>
              <w:right w:val="single" w:color="auto" w:sz="4" w:space="0"/>
            </w:tcBorders>
            <w:noWrap w:val="0"/>
            <w:vAlign w:val="center"/>
          </w:tcPr>
          <w:p w14:paraId="3BEB0DDE">
            <w:pPr>
              <w:snapToGrid w:val="0"/>
              <w:spacing w:line="400" w:lineRule="exact"/>
              <w:rPr>
                <w:rFonts w:hint="eastAsia" w:ascii="宋体" w:hAnsi="宋体"/>
                <w:b/>
                <w:color w:val="auto"/>
              </w:rPr>
            </w:pPr>
            <w:r>
              <w:rPr>
                <w:rFonts w:hint="eastAsia" w:ascii="宋体" w:hAnsi="宋体"/>
                <w:b/>
                <w:color w:val="auto"/>
              </w:rPr>
              <w:t>乙方（章）南宁盛世凌云电子科技有限公司</w:t>
            </w:r>
          </w:p>
          <w:p w14:paraId="738F04AB">
            <w:pPr>
              <w:snapToGrid w:val="0"/>
              <w:spacing w:line="400" w:lineRule="exact"/>
              <w:ind w:firstLine="422" w:firstLineChars="200"/>
              <w:rPr>
                <w:rFonts w:hint="eastAsia" w:ascii="宋体" w:hAnsi="宋体"/>
                <w:b/>
                <w:color w:val="auto"/>
              </w:rPr>
            </w:pPr>
          </w:p>
          <w:p w14:paraId="019BA0B2">
            <w:pPr>
              <w:snapToGrid w:val="0"/>
              <w:spacing w:line="400" w:lineRule="exact"/>
              <w:ind w:firstLine="422" w:firstLineChars="200"/>
              <w:rPr>
                <w:rFonts w:hint="eastAsia" w:ascii="宋体" w:hAnsi="宋体"/>
                <w:b/>
                <w:color w:val="auto"/>
              </w:rPr>
            </w:pPr>
          </w:p>
          <w:p w14:paraId="52112E99">
            <w:pPr>
              <w:snapToGrid w:val="0"/>
              <w:spacing w:line="400" w:lineRule="exact"/>
              <w:ind w:firstLine="422" w:firstLineChars="200"/>
              <w:rPr>
                <w:rFonts w:hint="eastAsia" w:ascii="宋体" w:hAnsi="宋体"/>
                <w:b/>
                <w:color w:val="auto"/>
              </w:rPr>
            </w:pPr>
          </w:p>
          <w:p w14:paraId="6AE27FAC">
            <w:pPr>
              <w:snapToGrid w:val="0"/>
              <w:spacing w:line="400" w:lineRule="exact"/>
              <w:ind w:firstLine="422" w:firstLineChars="200"/>
              <w:rPr>
                <w:rFonts w:hint="eastAsia" w:ascii="宋体" w:hAnsi="宋体"/>
                <w:b/>
                <w:color w:val="auto"/>
              </w:rPr>
            </w:pPr>
          </w:p>
          <w:p w14:paraId="15D5CA5B">
            <w:pPr>
              <w:snapToGrid w:val="0"/>
              <w:spacing w:line="400" w:lineRule="exact"/>
              <w:ind w:firstLine="422" w:firstLineChars="200"/>
              <w:jc w:val="right"/>
              <w:rPr>
                <w:rFonts w:hint="eastAsia" w:ascii="宋体" w:hAnsi="宋体"/>
                <w:b/>
                <w:color w:val="auto"/>
              </w:rPr>
            </w:pPr>
            <w:r>
              <w:rPr>
                <w:rFonts w:hint="eastAsia" w:ascii="宋体" w:hAnsi="宋体"/>
                <w:b/>
                <w:color w:val="auto"/>
              </w:rPr>
              <w:t xml:space="preserve">                 年   月   日</w:t>
            </w:r>
          </w:p>
        </w:tc>
      </w:tr>
    </w:tbl>
    <w:p w14:paraId="064DA9BB">
      <w:pPr>
        <w:rPr>
          <w:rFonts w:hint="eastAsia"/>
          <w:color w:val="auto"/>
        </w:rPr>
      </w:pPr>
      <w:r>
        <w:rPr>
          <w:rFonts w:hint="eastAsia" w:ascii="宋体" w:hAnsi="宋体"/>
          <w:color w:val="auto"/>
        </w:rPr>
        <w:t xml:space="preserve">    注：售后服务事项填不下时可另加附页</w:t>
      </w:r>
    </w:p>
    <w:p w14:paraId="1EBAA206">
      <w:pPr>
        <w:snapToGrid w:val="0"/>
        <w:jc w:val="left"/>
        <w:rPr>
          <w:rFonts w:hint="eastAsia" w:ascii="宋体" w:hAnsi="宋体"/>
          <w:color w:val="auto"/>
        </w:rPr>
      </w:pPr>
    </w:p>
    <w:p w14:paraId="51A4294C"/>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78BE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3F2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D7F45">
    <w:r>
      <w:pict>
        <v:shape id="_x0000_s4145" o:spid="_x0000_s4145" o:spt="136" type="#_x0000_t136" style="position:absolute;left:0pt;margin-left:-48pt;margin-top:66pt;height:12pt;width:116pt;z-index:2517411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6" o:spid="_x0000_s4146" o:spt="136" type="#_x0000_t136" style="position:absolute;left:0pt;margin-left:-48pt;margin-top:266pt;height:12pt;width:116pt;z-index:2517422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7" o:spid="_x0000_s4147" o:spt="136" type="#_x0000_t136" style="position:absolute;left:0pt;margin-left:-48pt;margin-top:455pt;height:12pt;width:116pt;z-index:2517432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8" o:spid="_x0000_s4148" o:spt="136" type="#_x0000_t136" style="position:absolute;left:0pt;margin-left:-48pt;margin-top:669pt;height:12pt;width:116pt;z-index:2517442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9" o:spid="_x0000_s4149" o:spt="136" type="#_x0000_t136" style="position:absolute;left:0pt;margin-left:154pt;margin-top:65pt;height:12pt;width:116pt;z-index:2517452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0" o:spid="_x0000_s4150" o:spt="136" type="#_x0000_t136" style="position:absolute;left:0pt;margin-left:154pt;margin-top:259pt;height:12pt;width:116pt;z-index:2517463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1" o:spid="_x0000_s4151" o:spt="136" type="#_x0000_t136" style="position:absolute;left:0pt;margin-left:154pt;margin-top:457pt;height:12pt;width:116pt;z-index:2517473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2" o:spid="_x0000_s4152" o:spt="136" type="#_x0000_t136" style="position:absolute;left:0pt;margin-left:154pt;margin-top:662pt;height:12pt;width:116pt;z-index:2517483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3" o:spid="_x0000_s4153" o:spt="136" type="#_x0000_t136" style="position:absolute;left:0pt;margin-left:349pt;margin-top:59pt;height:12pt;width:116pt;z-index:2517493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4" o:spid="_x0000_s4154" o:spt="136" type="#_x0000_t136" style="position:absolute;left:0pt;margin-left:349pt;margin-top:256pt;height:12pt;width:116pt;z-index:2517504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5" o:spid="_x0000_s4155" o:spt="136" type="#_x0000_t136" style="position:absolute;left:0pt;margin-left:349pt;margin-top:464pt;height:12pt;width:116pt;z-index:2517514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6" o:spid="_x0000_s4156" o:spt="136" type="#_x0000_t136" style="position:absolute;left:0pt;margin-left:349pt;margin-top:664pt;height:12pt;width:116pt;z-index:2517524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7" o:spid="_x0000_s4157" o:spt="136" type="#_x0000_t136" style="position:absolute;left:0pt;margin-left:546pt;margin-top:61pt;height:12pt;width:116pt;z-index:2517534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8" o:spid="_x0000_s4158" o:spt="136" type="#_x0000_t136" style="position:absolute;left:0pt;margin-left:546pt;margin-top:270pt;height:12pt;width:116pt;z-index:2517544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9" o:spid="_x0000_s4159" o:spt="136" type="#_x0000_t136" style="position:absolute;left:0pt;margin-left:546pt;margin-top:458pt;height:12pt;width:116pt;z-index:2517555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60" o:spid="_x0000_s4160" o:spt="136" type="#_x0000_t136" style="position:absolute;left:0pt;margin-left:546pt;margin-top:657pt;height:12pt;width:116pt;z-index:2517565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0B9B0E8">
    <w:r>
      <w:pict>
        <v:shape id="_x0000_s4161" o:spid="_x0000_s4161" o:spt="136" type="#_x0000_t136" style="position:absolute;left:0pt;margin-left:-47pt;margin-top:57pt;height:12pt;width:116pt;z-index:251708416;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62" o:spid="_x0000_s4162" o:spt="136" type="#_x0000_t136" style="position:absolute;left:0pt;margin-left:-47pt;margin-top:266pt;height:12pt;width:116pt;z-index:251709440;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63" o:spid="_x0000_s4163" o:spt="136" type="#_x0000_t136" style="position:absolute;left:0pt;margin-left:-47pt;margin-top:461pt;height:12pt;width:116pt;z-index:251710464;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64" o:spid="_x0000_s4164" o:spt="136" type="#_x0000_t136" style="position:absolute;left:0pt;margin-left:-47pt;margin-top:658pt;height:12pt;width:116pt;z-index:251711488;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65" o:spid="_x0000_s4165" o:spt="136" type="#_x0000_t136" style="position:absolute;left:0pt;margin-left:144pt;margin-top:70pt;height:12pt;width:116pt;z-index:251712512;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66" o:spid="_x0000_s4166" o:spt="136" type="#_x0000_t136" style="position:absolute;left:0pt;margin-left:144pt;margin-top:257pt;height:12pt;width:116pt;z-index:251713536;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67" o:spid="_x0000_s4167" o:spt="136" type="#_x0000_t136" style="position:absolute;left:0pt;margin-left:144pt;margin-top:461pt;height:12pt;width:116pt;z-index:251714560;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68" o:spid="_x0000_s4168" o:spt="136" type="#_x0000_t136" style="position:absolute;left:0pt;margin-left:144pt;margin-top:656pt;height:12pt;width:116pt;z-index:251715584;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69" o:spid="_x0000_s4169" o:spt="136" type="#_x0000_t136" style="position:absolute;left:0pt;margin-left:346pt;margin-top:63pt;height:12pt;width:116pt;z-index:251716608;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70" o:spid="_x0000_s4170" o:spt="136" type="#_x0000_t136" style="position:absolute;left:0pt;margin-left:346pt;margin-top:260pt;height:12pt;width:116pt;z-index:251717632;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71" o:spid="_x0000_s4171" o:spt="136" type="#_x0000_t136" style="position:absolute;left:0pt;margin-left:346pt;margin-top:467pt;height:12pt;width:116pt;z-index:251718656;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72" o:spid="_x0000_s4172" o:spt="136" type="#_x0000_t136" style="position:absolute;left:0pt;margin-left:346pt;margin-top:656pt;height:12pt;width:116pt;z-index:251719680;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73" o:spid="_x0000_s4173" o:spt="136" type="#_x0000_t136" style="position:absolute;left:0pt;margin-left:555pt;margin-top:65pt;height:12pt;width:116pt;z-index:251720704;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74" o:spid="_x0000_s4174" o:spt="136" type="#_x0000_t136" style="position:absolute;left:0pt;margin-left:555pt;margin-top:261pt;height:12pt;width:116pt;z-index:251721728;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75" o:spid="_x0000_s4175" o:spt="136" type="#_x0000_t136" style="position:absolute;left:0pt;margin-left:555pt;margin-top:461pt;height:12pt;width:116pt;z-index:251722752;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76" o:spid="_x0000_s4176" o:spt="136" type="#_x0000_t136" style="position:absolute;left:0pt;margin-left:555pt;margin-top:663pt;height:12pt;width:116pt;z-index:251723776;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p>
  <w:p w14:paraId="48080343">
    <w:r>
      <w:pict>
        <v:shape id="_x0000_s4177" o:spid="_x0000_s4177" o:spt="136" type="#_x0000_t136" style="position:absolute;left:0pt;margin-left:-53pt;margin-top:69pt;height:12pt;width:116pt;rotation:-2621440f;z-index:251675648;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78" o:spid="_x0000_s4178" o:spt="136" type="#_x0000_t136" style="position:absolute;left:0pt;margin-left:-53pt;margin-top:260pt;height:12pt;width:116pt;rotation:-2621440f;z-index:251676672;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79" o:spid="_x0000_s4179" o:spt="136" type="#_x0000_t136" style="position:absolute;left:0pt;margin-left:-53pt;margin-top:470pt;height:12pt;width:116pt;rotation:-2621440f;z-index:251677696;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0" o:spid="_x0000_s4180" o:spt="136" type="#_x0000_t136" style="position:absolute;left:0pt;margin-left:-53pt;margin-top:662pt;height:12pt;width:116pt;rotation:-2621440f;z-index:251678720;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1" o:spid="_x0000_s4181" o:spt="136" type="#_x0000_t136" style="position:absolute;left:0pt;margin-left:143pt;margin-top:57pt;height:12pt;width:116pt;rotation:-2621440f;z-index:251679744;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2" o:spid="_x0000_s4182" o:spt="136" type="#_x0000_t136" style="position:absolute;left:0pt;margin-left:143pt;margin-top:265pt;height:12pt;width:116pt;rotation:-2621440f;z-index:251680768;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3" o:spid="_x0000_s4183" o:spt="136" type="#_x0000_t136" style="position:absolute;left:0pt;margin-left:143pt;margin-top:468pt;height:12pt;width:116pt;rotation:-2621440f;z-index:251681792;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4" o:spid="_x0000_s4184" o:spt="136" type="#_x0000_t136" style="position:absolute;left:0pt;margin-left:143pt;margin-top:669pt;height:12pt;width:116pt;rotation:-2621440f;z-index:251682816;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5" o:spid="_x0000_s4185" o:spt="136" type="#_x0000_t136" style="position:absolute;left:0pt;margin-left:353pt;margin-top:67pt;height:12pt;width:116pt;rotation:-2621440f;z-index:251683840;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6" o:spid="_x0000_s4186" o:spt="136" type="#_x0000_t136" style="position:absolute;left:0pt;margin-left:353pt;margin-top:261pt;height:12pt;width:116pt;rotation:-2621440f;z-index:251684864;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7" o:spid="_x0000_s4187" o:spt="136" type="#_x0000_t136" style="position:absolute;left:0pt;margin-left:353pt;margin-top:468pt;height:12pt;width:116pt;rotation:-2621440f;z-index:251685888;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8" o:spid="_x0000_s4188" o:spt="136" type="#_x0000_t136" style="position:absolute;left:0pt;margin-left:353pt;margin-top:668pt;height:12pt;width:116pt;rotation:-2621440f;z-index:251686912;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89" o:spid="_x0000_s4189" o:spt="136" type="#_x0000_t136" style="position:absolute;left:0pt;margin-left:542pt;margin-top:57pt;height:12pt;width:116pt;rotation:-2621440f;z-index:251687936;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90" o:spid="_x0000_s4190" o:spt="136" type="#_x0000_t136" style="position:absolute;left:0pt;margin-left:542pt;margin-top:269pt;height:12pt;width:116pt;rotation:-2621440f;z-index:251688960;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91" o:spid="_x0000_s4191" o:spt="136" type="#_x0000_t136" style="position:absolute;left:0pt;margin-left:542pt;margin-top:457pt;height:12pt;width:116pt;rotation:-2621440f;z-index:251689984;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92" o:spid="_x0000_s4192" o:spt="136" type="#_x0000_t136" style="position:absolute;left:0pt;margin-left:542pt;margin-top:663pt;height:12pt;width:116pt;rotation:-2621440f;z-index:251691008;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48C5A">
    <w:r>
      <w:pict>
        <v:shape id="_x0000_s4097" o:spid="_x0000_s4097" o:spt="136" type="#_x0000_t136" style="position:absolute;left:0pt;margin-left:-48pt;margin-top:66pt;height:12pt;width:116pt;z-index:251724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098" o:spid="_x0000_s4098" o:spt="136" type="#_x0000_t136" style="position:absolute;left:0pt;margin-left:-48pt;margin-top:266pt;height:12pt;width:116pt;z-index:251725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099" o:spid="_x0000_s4099" o:spt="136" type="#_x0000_t136" style="position:absolute;left:0pt;margin-left:-48pt;margin-top:455pt;height:12pt;width:116pt;z-index:251726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0" o:spid="_x0000_s4100" o:spt="136" type="#_x0000_t136" style="position:absolute;left:0pt;margin-left:-48pt;margin-top:669pt;height:12pt;width:116pt;z-index:251727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1" o:spid="_x0000_s4101" o:spt="136" type="#_x0000_t136" style="position:absolute;left:0pt;margin-left:154pt;margin-top:65pt;height:12pt;width:116pt;z-index:251728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2" o:spid="_x0000_s4102" o:spt="136" type="#_x0000_t136" style="position:absolute;left:0pt;margin-left:154pt;margin-top:259pt;height:12pt;width:116pt;z-index:251729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3" o:spid="_x0000_s4103" o:spt="136" type="#_x0000_t136" style="position:absolute;left:0pt;margin-left:154pt;margin-top:457pt;height:12pt;width:116pt;z-index:251730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4" o:spid="_x0000_s4104" o:spt="136" type="#_x0000_t136" style="position:absolute;left:0pt;margin-left:154pt;margin-top:662pt;height:12pt;width:116pt;z-index:2517319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5" o:spid="_x0000_s4105" o:spt="136" type="#_x0000_t136" style="position:absolute;left:0pt;margin-left:349pt;margin-top:59pt;height:12pt;width:116pt;z-index:2517329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6" o:spid="_x0000_s4106" o:spt="136" type="#_x0000_t136" style="position:absolute;left:0pt;margin-left:349pt;margin-top:256pt;height:12pt;width:116pt;z-index:2517340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7" o:spid="_x0000_s4107" o:spt="136" type="#_x0000_t136" style="position:absolute;left:0pt;margin-left:349pt;margin-top:464pt;height:12pt;width:116pt;z-index:2517350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8" o:spid="_x0000_s4108" o:spt="136" type="#_x0000_t136" style="position:absolute;left:0pt;margin-left:349pt;margin-top:664pt;height:12pt;width:116pt;z-index:2517360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09" o:spid="_x0000_s4109" o:spt="136" type="#_x0000_t136" style="position:absolute;left:0pt;margin-left:546pt;margin-top:61pt;height:12pt;width:116pt;z-index:2517370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10" o:spid="_x0000_s4110" o:spt="136" type="#_x0000_t136" style="position:absolute;left:0pt;margin-left:546pt;margin-top:270pt;height:12pt;width:116pt;z-index:2517381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11" o:spid="_x0000_s4111" o:spt="136" type="#_x0000_t136" style="position:absolute;left:0pt;margin-left:546pt;margin-top:458pt;height:12pt;width:116pt;z-index:2517391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12" o:spid="_x0000_s4112" o:spt="136" type="#_x0000_t136" style="position:absolute;left:0pt;margin-left:546pt;margin-top:657pt;height:12pt;width:116pt;z-index:2517401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610386F">
    <w:r>
      <w:pict>
        <v:shape id="_x0000_s4113" o:spid="_x0000_s4113" o:spt="136" type="#_x0000_t136" style="position:absolute;left:0pt;margin-left:-47pt;margin-top:57pt;height:12pt;width:116pt;z-index:251692032;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14" o:spid="_x0000_s4114" o:spt="136" type="#_x0000_t136" style="position:absolute;left:0pt;margin-left:-47pt;margin-top:266pt;height:12pt;width:116pt;z-index:251693056;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15" o:spid="_x0000_s4115" o:spt="136" type="#_x0000_t136" style="position:absolute;left:0pt;margin-left:-47pt;margin-top:461pt;height:12pt;width:116pt;z-index:251694080;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16" o:spid="_x0000_s4116" o:spt="136" type="#_x0000_t136" style="position:absolute;left:0pt;margin-left:-47pt;margin-top:658pt;height:12pt;width:116pt;z-index:251695104;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17" o:spid="_x0000_s4117" o:spt="136" type="#_x0000_t136" style="position:absolute;left:0pt;margin-left:144pt;margin-top:70pt;height:12pt;width:116pt;z-index:251696128;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18" o:spid="_x0000_s4118" o:spt="136" type="#_x0000_t136" style="position:absolute;left:0pt;margin-left:144pt;margin-top:257pt;height:12pt;width:116pt;z-index:251697152;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19" o:spid="_x0000_s4119" o:spt="136" type="#_x0000_t136" style="position:absolute;left:0pt;margin-left:144pt;margin-top:461pt;height:12pt;width:116pt;z-index:251698176;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20" o:spid="_x0000_s4120" o:spt="136" type="#_x0000_t136" style="position:absolute;left:0pt;margin-left:144pt;margin-top:656pt;height:12pt;width:116pt;z-index:251699200;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21" o:spid="_x0000_s4121" o:spt="136" type="#_x0000_t136" style="position:absolute;left:0pt;margin-left:346pt;margin-top:63pt;height:12pt;width:116pt;z-index:251700224;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22" o:spid="_x0000_s4122" o:spt="136" type="#_x0000_t136" style="position:absolute;left:0pt;margin-left:346pt;margin-top:260pt;height:12pt;width:116pt;z-index:251701248;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23" o:spid="_x0000_s4123" o:spt="136" type="#_x0000_t136" style="position:absolute;left:0pt;margin-left:346pt;margin-top:467pt;height:12pt;width:116pt;z-index:251702272;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24" o:spid="_x0000_s4124" o:spt="136" type="#_x0000_t136" style="position:absolute;left:0pt;margin-left:346pt;margin-top:656pt;height:12pt;width:116pt;z-index:251703296;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25" o:spid="_x0000_s4125" o:spt="136" type="#_x0000_t136" style="position:absolute;left:0pt;margin-left:555pt;margin-top:65pt;height:12pt;width:116pt;z-index:251704320;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26" o:spid="_x0000_s4126" o:spt="136" type="#_x0000_t136" style="position:absolute;left:0pt;margin-left:555pt;margin-top:261pt;height:12pt;width:116pt;z-index:251705344;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27" o:spid="_x0000_s4127" o:spt="136" type="#_x0000_t136" style="position:absolute;left:0pt;margin-left:555pt;margin-top:461pt;height:12pt;width:116pt;z-index:251706368;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r>
      <w:pict>
        <v:shape id="_x0000_s4128" o:spid="_x0000_s4128" o:spt="136" type="#_x0000_t136" style="position:absolute;left:0pt;margin-left:555pt;margin-top:663pt;height:12pt;width:116pt;z-index:251707392;mso-width-relative:page;mso-height-relative:page;" fillcolor="#EEEEEE" filled="t" stroked="t" coordsize="21600,21600">
          <v:path/>
          <v:fill on="t" focussize="0,0"/>
          <v:stroke color="#EEEEEE"/>
          <v:imagedata o:title=""/>
          <o:lock v:ext="edit"/>
          <v:textpath on="t" fitshape="t" fitpath="t" trim="f" xscale="f" string="广西财经学院采购管理系统李昊宸2025110016" style="font-family:楷体;font-size:36pt;v-text-align:center;"/>
        </v:shape>
      </w:pict>
    </w:r>
  </w:p>
  <w:p w14:paraId="35641B93">
    <w:r>
      <w:pict>
        <v:shape id="_x0000_s4129" o:spid="_x0000_s4129" o:spt="136" type="#_x0000_t136" style="position:absolute;left:0pt;margin-left:-53pt;margin-top:69pt;height:12pt;width:116pt;rotation:-2621440f;z-index:251659264;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0" o:spid="_x0000_s4130" o:spt="136" type="#_x0000_t136" style="position:absolute;left:0pt;margin-left:-53pt;margin-top:260pt;height:12pt;width:116pt;rotation:-2621440f;z-index:251660288;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1" o:spid="_x0000_s4131" o:spt="136" type="#_x0000_t136" style="position:absolute;left:0pt;margin-left:-53pt;margin-top:470pt;height:12pt;width:116pt;rotation:-2621440f;z-index:251661312;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2" o:spid="_x0000_s4132" o:spt="136" type="#_x0000_t136" style="position:absolute;left:0pt;margin-left:-53pt;margin-top:662pt;height:12pt;width:116pt;rotation:-2621440f;z-index:251662336;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3" o:spid="_x0000_s4133" o:spt="136" type="#_x0000_t136" style="position:absolute;left:0pt;margin-left:143pt;margin-top:57pt;height:12pt;width:116pt;rotation:-2621440f;z-index:251663360;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4" o:spid="_x0000_s4134" o:spt="136" type="#_x0000_t136" style="position:absolute;left:0pt;margin-left:143pt;margin-top:265pt;height:12pt;width:116pt;rotation:-2621440f;z-index:251664384;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5" o:spid="_x0000_s4135" o:spt="136" type="#_x0000_t136" style="position:absolute;left:0pt;margin-left:143pt;margin-top:468pt;height:12pt;width:116pt;rotation:-2621440f;z-index:251665408;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6" o:spid="_x0000_s4136" o:spt="136" type="#_x0000_t136" style="position:absolute;left:0pt;margin-left:143pt;margin-top:669pt;height:12pt;width:116pt;rotation:-2621440f;z-index:251666432;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7" o:spid="_x0000_s4137" o:spt="136" type="#_x0000_t136" style="position:absolute;left:0pt;margin-left:353pt;margin-top:67pt;height:12pt;width:116pt;rotation:-2621440f;z-index:251667456;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8" o:spid="_x0000_s4138" o:spt="136" type="#_x0000_t136" style="position:absolute;left:0pt;margin-left:353pt;margin-top:261pt;height:12pt;width:116pt;rotation:-2621440f;z-index:251668480;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39" o:spid="_x0000_s4139" o:spt="136" type="#_x0000_t136" style="position:absolute;left:0pt;margin-left:353pt;margin-top:468pt;height:12pt;width:116pt;rotation:-2621440f;z-index:251669504;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40" o:spid="_x0000_s4140" o:spt="136" type="#_x0000_t136" style="position:absolute;left:0pt;margin-left:353pt;margin-top:668pt;height:12pt;width:116pt;rotation:-2621440f;z-index:251670528;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41" o:spid="_x0000_s4141" o:spt="136" type="#_x0000_t136" style="position:absolute;left:0pt;margin-left:542pt;margin-top:57pt;height:12pt;width:116pt;rotation:-2621440f;z-index:251671552;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42" o:spid="_x0000_s4142" o:spt="136" type="#_x0000_t136" style="position:absolute;left:0pt;margin-left:542pt;margin-top:269pt;height:12pt;width:116pt;rotation:-2621440f;z-index:251672576;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43" o:spid="_x0000_s4143" o:spt="136" type="#_x0000_t136" style="position:absolute;left:0pt;margin-left:542pt;margin-top:457pt;height:12pt;width:116pt;rotation:-2621440f;z-index:251673600;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r>
      <w:pict>
        <v:shape id="_x0000_s4144" o:spid="_x0000_s4144" o:spt="136" type="#_x0000_t136" style="position:absolute;left:0pt;margin-left:542pt;margin-top:663pt;height:12pt;width:116pt;rotation:-2621440f;z-index:251674624;mso-width-relative:page;mso-height-relative:page;" fillcolor="#EEEEEE" filled="t" stroked="t" coordsize="21600,21600">
          <v:path/>
          <v:fill on="t" focussize="0,0"/>
          <v:stroke color="#EEEEEE"/>
          <v:imagedata o:title=""/>
          <o:lock v:ext="edit"/>
          <v:textpath on="t" fitshape="t" fitpath="t" trim="f" xscale="f" string="广西财经学院采购管理系统王业淋2025110027" style="font-family:楷体;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120119"/>
    <w:rsid w:val="00377076"/>
    <w:rsid w:val="045C354F"/>
    <w:rsid w:val="061A5470"/>
    <w:rsid w:val="091E5277"/>
    <w:rsid w:val="0963712E"/>
    <w:rsid w:val="0F9D93B0"/>
    <w:rsid w:val="12C80001"/>
    <w:rsid w:val="13545D39"/>
    <w:rsid w:val="151A570B"/>
    <w:rsid w:val="16AA639C"/>
    <w:rsid w:val="1B300E3A"/>
    <w:rsid w:val="1B9C64CF"/>
    <w:rsid w:val="1C782A98"/>
    <w:rsid w:val="209576EB"/>
    <w:rsid w:val="24155071"/>
    <w:rsid w:val="283C486E"/>
    <w:rsid w:val="2CED6B8B"/>
    <w:rsid w:val="2D71156A"/>
    <w:rsid w:val="2DDE54ED"/>
    <w:rsid w:val="2FEF49C8"/>
    <w:rsid w:val="38C33FF2"/>
    <w:rsid w:val="38EF3C8A"/>
    <w:rsid w:val="38FB262F"/>
    <w:rsid w:val="3BA64AD4"/>
    <w:rsid w:val="3BBA0580"/>
    <w:rsid w:val="3C08753D"/>
    <w:rsid w:val="3EFF7AD3"/>
    <w:rsid w:val="409D5390"/>
    <w:rsid w:val="41DA54D8"/>
    <w:rsid w:val="425D7EB7"/>
    <w:rsid w:val="42E12896"/>
    <w:rsid w:val="43301127"/>
    <w:rsid w:val="44F763A1"/>
    <w:rsid w:val="4B8B15F1"/>
    <w:rsid w:val="4C1E06B7"/>
    <w:rsid w:val="4D834C75"/>
    <w:rsid w:val="53A21BCD"/>
    <w:rsid w:val="55020B76"/>
    <w:rsid w:val="563C00B7"/>
    <w:rsid w:val="567F3A70"/>
    <w:rsid w:val="57FA1FD8"/>
    <w:rsid w:val="587C5DED"/>
    <w:rsid w:val="58831FCD"/>
    <w:rsid w:val="58AD0DF8"/>
    <w:rsid w:val="59B47CD3"/>
    <w:rsid w:val="5BCA7F13"/>
    <w:rsid w:val="5C5140A0"/>
    <w:rsid w:val="5FFB4B3F"/>
    <w:rsid w:val="607E751E"/>
    <w:rsid w:val="640D3093"/>
    <w:rsid w:val="680924B2"/>
    <w:rsid w:val="690507DD"/>
    <w:rsid w:val="6BF7D301"/>
    <w:rsid w:val="6C3A69EF"/>
    <w:rsid w:val="6EB32A89"/>
    <w:rsid w:val="71662034"/>
    <w:rsid w:val="7235008A"/>
    <w:rsid w:val="7265409A"/>
    <w:rsid w:val="740D4F74"/>
    <w:rsid w:val="79120119"/>
    <w:rsid w:val="79D6D470"/>
    <w:rsid w:val="7A7DFB2E"/>
    <w:rsid w:val="7C8617DD"/>
    <w:rsid w:val="7D625DA6"/>
    <w:rsid w:val="7DC9BB0D"/>
    <w:rsid w:val="7F7C232E"/>
    <w:rsid w:val="DDEE1281"/>
    <w:rsid w:val="DEFFF8C8"/>
    <w:rsid w:val="EFEEE7A3"/>
    <w:rsid w:val="F7FFB223"/>
    <w:rsid w:val="FCB74B6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libri Light" w:hAnsi="Calibri Light"/>
      <w:b/>
      <w:bCs/>
      <w:sz w:val="28"/>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next w:val="5"/>
    <w:qFormat/>
    <w:uiPriority w:val="0"/>
    <w:rPr>
      <w:rFonts w:ascii="宋体" w:hAnsi="Courier New"/>
      <w:kern w:val="0"/>
      <w:sz w:val="20"/>
      <w:szCs w:val="21"/>
    </w:rPr>
  </w:style>
  <w:style w:type="paragraph" w:styleId="5">
    <w:name w:val="Date"/>
    <w:basedOn w:val="1"/>
    <w:next w:val="1"/>
    <w:unhideWhenUsed/>
    <w:qFormat/>
    <w:uiPriority w:val="99"/>
    <w:pPr>
      <w:ind w:left="100" w:leftChars="2500"/>
    </w:pPr>
  </w:style>
  <w:style w:type="paragraph" w:styleId="6">
    <w:name w:val="footer"/>
    <w:basedOn w:val="1"/>
    <w:uiPriority w:val="0"/>
    <w:pPr>
      <w:tabs>
        <w:tab w:val="center" w:pos="4153"/>
        <w:tab w:val="right" w:pos="8306"/>
      </w:tabs>
      <w:snapToGrid w:val="0"/>
      <w:jc w:val="left"/>
    </w:pPr>
    <w:rPr>
      <w:sz w:val="18"/>
    </w:rPr>
  </w:style>
  <w:style w:type="paragraph" w:styleId="7">
    <w:name w:val="toc 1"/>
    <w:basedOn w:val="1"/>
    <w:next w:val="1"/>
    <w:unhideWhenUsed/>
    <w:qFormat/>
    <w:uiPriority w:val="39"/>
  </w:style>
  <w:style w:type="character" w:styleId="10">
    <w:name w:val="Strong"/>
    <w:qFormat/>
    <w:uiPriority w:val="22"/>
    <w:rPr>
      <w:b/>
      <w:bCs/>
    </w:rPr>
  </w:style>
  <w:style w:type="character" w:styleId="11">
    <w:name w:val="annotation reference"/>
    <w:basedOn w:val="9"/>
    <w:qFormat/>
    <w:uiPriority w:val="0"/>
    <w:rPr>
      <w:sz w:val="16"/>
      <w:szCs w:val="16"/>
    </w:rPr>
  </w:style>
  <w:style w:type="character" w:customStyle="1" w:styleId="12">
    <w:name w:val="1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145"/>
    <customShpInfo spid="_x0000_s4146"/>
    <customShpInfo spid="_x0000_s4147"/>
    <customShpInfo spid="_x0000_s4148"/>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4178"/>
    <customShpInfo spid="_x0000_s4179"/>
    <customShpInfo spid="_x0000_s4180"/>
    <customShpInfo spid="_x0000_s4181"/>
    <customShpInfo spid="_x0000_s4182"/>
    <customShpInfo spid="_x0000_s4183"/>
    <customShpInfo spid="_x0000_s4184"/>
    <customShpInfo spid="_x0000_s4185"/>
    <customShpInfo spid="_x0000_s4186"/>
    <customShpInfo spid="_x0000_s4187"/>
    <customShpInfo spid="_x0000_s4188"/>
    <customShpInfo spid="_x0000_s4189"/>
    <customShpInfo spid="_x0000_s4190"/>
    <customShpInfo spid="_x0000_s4191"/>
    <customShpInfo spid="_x0000_s4192"/>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Info spid="_x0000_s4132"/>
    <customShpInfo spid="_x0000_s4133"/>
    <customShpInfo spid="_x0000_s4134"/>
    <customShpInfo spid="_x0000_s4135"/>
    <customShpInfo spid="_x0000_s4136"/>
    <customShpInfo spid="_x0000_s4137"/>
    <customShpInfo spid="_x0000_s4138"/>
    <customShpInfo spid="_x0000_s4139"/>
    <customShpInfo spid="_x0000_s4140"/>
    <customShpInfo spid="_x0000_s4141"/>
    <customShpInfo spid="_x0000_s4142"/>
    <customShpInfo spid="_x0000_s4143"/>
    <customShpInfo spid="_x0000_s414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8030</Words>
  <Characters>8182</Characters>
  <Lines>0</Lines>
  <Paragraphs>0</Paragraphs>
  <TotalTime>9</TotalTime>
  <ScaleCrop>false</ScaleCrop>
  <LinksUpToDate>false</LinksUpToDate>
  <CharactersWithSpaces>8664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2026-06-12T19:17:00Z</dcterms:created>
  <dc:creator>潮鸣</dc:creator>
  <cp:lastModifiedBy>蔡蔡</cp:lastModifiedBy>
  <dcterms:modified xsi:type="dcterms:W3CDTF">2026-07-24T03:14:16Z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A3CC32B6A0784267946740EC159FB52A_13</vt:lpwstr>
  </property>
  <property fmtid="{D5CDD505-2E9C-101B-9397-08002B2CF9AE}" pid="3" name="KSOProductBuildVer">
    <vt:lpwstr>2052-12.1.0.26895</vt:lpwstr>
  </property>
  <property fmtid="{D5CDD505-2E9C-101B-9397-08002B2CF9AE}" pid="4" name="KSOTemplateDocerSaveRecord">
    <vt:lpwstr>eyJoZGlkIjoiNDYyNGYxM2ZmNjBmZmFiMDYzZmIxMDBhZDFiNDQwYjEiLCJ1c2VySWQiOiI0NDkxMjQ5OTQifQ==</vt:lpwstr>
  </property>
</Properties>
</file>