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52724">
      <w:pPr>
        <w:jc w:val="left"/>
        <w:rPr>
          <w:rFonts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2500A59C">
      <w:pPr>
        <w:pStyle w:val="3"/>
        <w:widowControl/>
        <w:wordWrap w:val="0"/>
        <w:spacing w:beforeAutospacing="0" w:afterAutospacing="0" w:line="560" w:lineRule="exact"/>
        <w:jc w:val="center"/>
        <w:rPr>
          <w:rFonts w:ascii="宋体" w:hAnsi="宋体"/>
          <w:b/>
          <w:sz w:val="36"/>
          <w:szCs w:val="36"/>
        </w:rPr>
      </w:pPr>
      <w:r>
        <w:rPr>
          <w:rFonts w:hint="eastAsia" w:ascii="宋体" w:hAnsi="宋体"/>
          <w:b/>
          <w:sz w:val="36"/>
          <w:szCs w:val="36"/>
        </w:rPr>
        <w:t>广西财经学院相思湖校区院部办公楼配电房防洪迁改项目勘察设计服务项目询价采购报价单</w:t>
      </w:r>
    </w:p>
    <w:tbl>
      <w:tblPr>
        <w:tblStyle w:val="4"/>
        <w:tblW w:w="5261" w:type="pct"/>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7"/>
        <w:gridCol w:w="7139"/>
      </w:tblGrid>
      <w:tr w14:paraId="17A6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019" w:type="pct"/>
            <w:vAlign w:val="center"/>
          </w:tcPr>
          <w:p w14:paraId="12352463">
            <w:pPr>
              <w:jc w:val="center"/>
              <w:rPr>
                <w:rFonts w:ascii="宋体" w:hAnsi="宋体"/>
                <w:sz w:val="28"/>
                <w:szCs w:val="36"/>
              </w:rPr>
            </w:pPr>
            <w:r>
              <w:rPr>
                <w:rFonts w:ascii="宋体" w:hAnsi="宋体"/>
                <w:b/>
                <w:sz w:val="28"/>
                <w:szCs w:val="36"/>
              </w:rPr>
              <w:t>项目名称</w:t>
            </w:r>
          </w:p>
        </w:tc>
        <w:tc>
          <w:tcPr>
            <w:tcW w:w="3980" w:type="pct"/>
            <w:vAlign w:val="center"/>
          </w:tcPr>
          <w:p w14:paraId="417925A1">
            <w:pPr>
              <w:jc w:val="center"/>
              <w:rPr>
                <w:rFonts w:ascii="宋体" w:hAnsi="宋体"/>
                <w:b/>
                <w:sz w:val="28"/>
                <w:szCs w:val="36"/>
              </w:rPr>
            </w:pPr>
            <w:r>
              <w:rPr>
                <w:rFonts w:ascii="宋体" w:hAnsi="宋体"/>
                <w:b/>
                <w:sz w:val="28"/>
                <w:szCs w:val="36"/>
              </w:rPr>
              <w:t>项目规模及服务内容</w:t>
            </w:r>
          </w:p>
        </w:tc>
      </w:tr>
      <w:tr w14:paraId="13E5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019" w:type="pct"/>
            <w:vAlign w:val="center"/>
          </w:tcPr>
          <w:p w14:paraId="1CDB644A">
            <w:pPr>
              <w:spacing w:line="560" w:lineRule="exact"/>
              <w:rPr>
                <w:rFonts w:ascii="宋体" w:hAnsi="宋体"/>
                <w:b/>
                <w:sz w:val="28"/>
                <w:szCs w:val="36"/>
              </w:rPr>
            </w:pPr>
            <w:r>
              <w:rPr>
                <w:rFonts w:hint="eastAsia" w:ascii="仿宋" w:hAnsi="仿宋" w:eastAsia="仿宋" w:cs="仿宋"/>
                <w:bCs/>
                <w:sz w:val="24"/>
                <w:u w:val="single"/>
              </w:rPr>
              <w:t>广西财经学院相思湖校区院部办公楼配电房防洪迁改项目勘察设计服务项目</w:t>
            </w:r>
          </w:p>
        </w:tc>
        <w:tc>
          <w:tcPr>
            <w:tcW w:w="3980" w:type="pct"/>
            <w:vAlign w:val="center"/>
          </w:tcPr>
          <w:p w14:paraId="65334738">
            <w:pPr>
              <w:spacing w:line="400" w:lineRule="exact"/>
              <w:ind w:firstLine="482" w:firstLineChars="200"/>
              <w:rPr>
                <w:rFonts w:ascii="仿宋" w:hAnsi="仿宋" w:eastAsia="仿宋" w:cs="仿宋"/>
                <w:b/>
                <w:sz w:val="24"/>
              </w:rPr>
            </w:pPr>
            <w:r>
              <w:rPr>
                <w:rFonts w:hint="eastAsia" w:ascii="仿宋" w:hAnsi="仿宋" w:eastAsia="仿宋" w:cs="仿宋"/>
                <w:b/>
                <w:sz w:val="24"/>
              </w:rPr>
              <w:t>（一）建设地点：</w:t>
            </w:r>
          </w:p>
          <w:p w14:paraId="4CC8D36D">
            <w:pPr>
              <w:widowControl/>
              <w:spacing w:line="400" w:lineRule="exact"/>
              <w:ind w:firstLine="480" w:firstLineChars="200"/>
              <w:jc w:val="left"/>
              <w:rPr>
                <w:rFonts w:ascii="仿宋" w:hAnsi="仿宋" w:eastAsia="仿宋" w:cs="仿宋"/>
                <w:bCs/>
                <w:kern w:val="2"/>
                <w:sz w:val="24"/>
                <w:lang w:bidi="ar"/>
              </w:rPr>
            </w:pPr>
            <w:r>
              <w:rPr>
                <w:rFonts w:hint="eastAsia" w:ascii="仿宋" w:hAnsi="仿宋" w:eastAsia="仿宋" w:cs="仿宋"/>
                <w:bCs/>
                <w:kern w:val="2"/>
                <w:sz w:val="24"/>
                <w:lang w:bidi="ar"/>
              </w:rPr>
              <w:t>南宁市大学西路189号，广西财经学院相思湖校区。</w:t>
            </w:r>
          </w:p>
          <w:p w14:paraId="2874CA47">
            <w:pPr>
              <w:widowControl/>
              <w:spacing w:line="400" w:lineRule="exact"/>
              <w:ind w:firstLine="482" w:firstLineChars="200"/>
              <w:jc w:val="left"/>
              <w:rPr>
                <w:rFonts w:ascii="仿宋" w:hAnsi="仿宋" w:eastAsia="仿宋" w:cs="仿宋"/>
                <w:b/>
                <w:sz w:val="24"/>
              </w:rPr>
            </w:pPr>
            <w:r>
              <w:rPr>
                <w:rFonts w:hint="eastAsia" w:ascii="仿宋" w:hAnsi="仿宋" w:eastAsia="仿宋" w:cs="仿宋"/>
                <w:b/>
                <w:sz w:val="24"/>
              </w:rPr>
              <w:t>（二）建设规模：</w:t>
            </w:r>
          </w:p>
          <w:p w14:paraId="43F34944">
            <w:pPr>
              <w:widowControl/>
              <w:spacing w:line="400" w:lineRule="exact"/>
              <w:ind w:firstLine="480" w:firstLineChars="200"/>
              <w:jc w:val="left"/>
              <w:rPr>
                <w:rFonts w:ascii="仿宋" w:hAnsi="仿宋" w:eastAsia="仿宋" w:cs="仿宋"/>
                <w:bCs/>
                <w:kern w:val="2"/>
                <w:sz w:val="24"/>
                <w:lang w:bidi="ar"/>
              </w:rPr>
            </w:pPr>
            <w:r>
              <w:rPr>
                <w:rFonts w:hint="eastAsia" w:ascii="仿宋" w:hAnsi="仿宋" w:eastAsia="仿宋" w:cs="仿宋"/>
                <w:bCs/>
                <w:kern w:val="2"/>
                <w:sz w:val="24"/>
                <w:lang w:bidi="ar"/>
              </w:rPr>
              <w:t>相思湖校区院部办公楼配电房位于相思湖校区院部办公楼负一层，是相思湖校区一期建设的四个二级配电房之一，编号为1#变电所，面积134.5㎡，标高73.4m。该配电房现有2台1250KVA变压器（编号为11#、12#，并联控制），供电区域主要有院部办公楼、实验楼、7-10#教学楼体育馆和田径场等。由于地势低洼，该配电房2024、2025年连续两年出现内涝险情，2024年水位达到约73.2</w:t>
            </w:r>
            <w:r>
              <w:rPr>
                <w:rFonts w:ascii="仿宋" w:hAnsi="仿宋" w:eastAsia="仿宋" w:cs="仿宋"/>
                <w:bCs/>
                <w:kern w:val="2"/>
                <w:sz w:val="24"/>
                <w:lang w:bidi="ar"/>
              </w:rPr>
              <w:t>m</w:t>
            </w:r>
            <w:r>
              <w:rPr>
                <w:rFonts w:hint="eastAsia" w:ascii="仿宋" w:hAnsi="仿宋" w:eastAsia="仿宋" w:cs="仿宋"/>
                <w:bCs/>
                <w:kern w:val="2"/>
                <w:sz w:val="24"/>
                <w:lang w:bidi="ar"/>
              </w:rPr>
              <w:t>，2025年水位达到约73.1</w:t>
            </w:r>
            <w:r>
              <w:rPr>
                <w:rFonts w:ascii="仿宋" w:hAnsi="仿宋" w:eastAsia="仿宋" w:cs="仿宋"/>
                <w:bCs/>
                <w:kern w:val="2"/>
                <w:sz w:val="24"/>
                <w:lang w:bidi="ar"/>
              </w:rPr>
              <w:t>m</w:t>
            </w:r>
            <w:r>
              <w:rPr>
                <w:rFonts w:hint="eastAsia" w:ascii="仿宋" w:hAnsi="仿宋" w:eastAsia="仿宋" w:cs="仿宋"/>
                <w:bCs/>
                <w:kern w:val="2"/>
                <w:sz w:val="24"/>
                <w:lang w:bidi="ar"/>
              </w:rPr>
              <w:t>，对该片区的用电安全造成了极大威胁。同时一期中心配电房长期满负荷运行，供电压力突出。为系统性解决上述问题，拟实施配电房防洪迁改工程，本次采购专业设计单位提供从方案论证到施工图落地的全流程设计服务。</w:t>
            </w:r>
          </w:p>
          <w:p w14:paraId="43E8C864">
            <w:pPr>
              <w:widowControl/>
              <w:spacing w:line="400" w:lineRule="exact"/>
              <w:ind w:firstLine="482" w:firstLineChars="200"/>
              <w:jc w:val="left"/>
              <w:rPr>
                <w:rFonts w:ascii="仿宋" w:hAnsi="仿宋" w:eastAsia="仿宋" w:cs="仿宋"/>
                <w:b/>
                <w:sz w:val="24"/>
              </w:rPr>
            </w:pPr>
            <w:r>
              <w:rPr>
                <w:rFonts w:hint="eastAsia" w:ascii="仿宋" w:hAnsi="仿宋" w:eastAsia="仿宋" w:cs="仿宋"/>
                <w:b/>
                <w:sz w:val="24"/>
              </w:rPr>
              <w:t>（三）服务范围及工作内容：</w:t>
            </w:r>
          </w:p>
          <w:p w14:paraId="626F48AB">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1. 方案论证阶段</w:t>
            </w:r>
          </w:p>
          <w:p w14:paraId="4474DEE1">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全面梳理项目边界条件，研究所有技术可行的改造路径，方案范畴至少涵盖：就近新建独立配电房、办公楼一层搬迁改造、原址地坪抬高加固、入口挡水 + 负荷划转优化等方向。</w:t>
            </w:r>
          </w:p>
          <w:p w14:paraId="69802205">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对各方案进行多维度比选论证，维度包括：防洪安全等级、技术合规性、工程总投资、施工周期、停电影响范围及时长、申报程序、日常运维便利性、校园景观与空间影响、远期扩容空间等，形成定量与定性结合的比选结论。</w:t>
            </w:r>
          </w:p>
          <w:p w14:paraId="30398F5A">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编制正式《方案论证报告》，明确推荐最优方案及理由，配合采购人完成方案评审与汇报工作。</w:t>
            </w:r>
          </w:p>
          <w:p w14:paraId="2D339182">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2. 施工图设计、工程量清单及招标控制价编制阶段</w:t>
            </w:r>
          </w:p>
          <w:p w14:paraId="5FC585BE">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针对评审通过的最优方案，完成岩土工程勘察、测量及管线探测、全套施工图设计，专业覆盖测量、岩土、建筑、结构、高压电气、低压电气、给排水、消防、暖通，图纸深度满足施工招标、现场施工、住建部门、规划部门、供电部门、消防部门等报审要求。</w:t>
            </w:r>
          </w:p>
          <w:p w14:paraId="00B70B01">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编制完整的工程量清单及招标控制价，计价执行广西壮族自治区现行建筑安装工程定额、计价规范及相关配套文件，工程量清单及招标控制价精度满足项目投资控制与招标需求。</w:t>
            </w:r>
          </w:p>
          <w:p w14:paraId="1B28E9CA">
            <w:pPr>
              <w:widowControl/>
              <w:spacing w:line="400" w:lineRule="exact"/>
              <w:ind w:firstLine="480" w:firstLineChars="200"/>
              <w:jc w:val="left"/>
              <w:rPr>
                <w:rFonts w:ascii="仿宋" w:hAnsi="仿宋" w:eastAsia="仿宋" w:cs="仿宋"/>
                <w:bCs/>
                <w:kern w:val="2"/>
                <w:sz w:val="24"/>
                <w:lang w:bidi="ar"/>
              </w:rPr>
            </w:pPr>
            <w:r>
              <w:rPr>
                <w:rFonts w:hint="eastAsia" w:ascii="仿宋" w:hAnsi="仿宋" w:eastAsia="仿宋" w:cs="仿宋"/>
                <w:bCs/>
                <w:kern w:val="2"/>
                <w:sz w:val="24"/>
                <w:lang w:bidi="ar"/>
              </w:rPr>
              <w:t>提供施工全过程技术服务：包括设计交底、现场技术答疑、设计变更出具、隐蔽工程验收及验收配合等。。</w:t>
            </w:r>
          </w:p>
          <w:p w14:paraId="1EF04E52">
            <w:pPr>
              <w:widowControl/>
              <w:spacing w:line="400" w:lineRule="exact"/>
              <w:ind w:firstLine="482" w:firstLineChars="200"/>
              <w:jc w:val="left"/>
              <w:rPr>
                <w:rFonts w:ascii="仿宋" w:hAnsi="仿宋" w:eastAsia="仿宋" w:cs="仿宋"/>
                <w:b/>
                <w:sz w:val="24"/>
              </w:rPr>
            </w:pPr>
            <w:r>
              <w:rPr>
                <w:rFonts w:hint="eastAsia" w:ascii="仿宋" w:hAnsi="仿宋" w:eastAsia="仿宋" w:cs="仿宋"/>
                <w:b/>
                <w:sz w:val="24"/>
              </w:rPr>
              <w:t>（四）上限控制价：</w:t>
            </w:r>
          </w:p>
          <w:p w14:paraId="066BA748">
            <w:pPr>
              <w:widowControl/>
              <w:spacing w:line="400" w:lineRule="exact"/>
              <w:ind w:firstLine="480" w:firstLineChars="200"/>
              <w:jc w:val="left"/>
              <w:rPr>
                <w:rFonts w:hint="eastAsia" w:ascii="仿宋" w:hAnsi="仿宋" w:eastAsia="仿宋" w:cs="仿宋"/>
                <w:bCs/>
                <w:kern w:val="2"/>
                <w:sz w:val="24"/>
                <w:u w:val="single"/>
                <w:lang w:bidi="ar"/>
              </w:rPr>
            </w:pPr>
            <w:r>
              <w:rPr>
                <w:rFonts w:hint="eastAsia" w:ascii="仿宋" w:hAnsi="仿宋" w:eastAsia="仿宋" w:cs="仿宋"/>
                <w:bCs/>
                <w:kern w:val="2"/>
                <w:sz w:val="24"/>
                <w:u w:val="single"/>
                <w:lang w:bidi="ar"/>
              </w:rPr>
              <w:t>勘察设计费：人民币(大写)玖万壹仟陆佰元整，（小写）¥91600.00元。</w:t>
            </w:r>
          </w:p>
          <w:p w14:paraId="30CA651E">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（其中：岩土工程勘察费14000元；工程测量与管线探测费7000元；方案论证+施工图设计费67400元；工程量清单及招标控制价编制费3200元）</w:t>
            </w:r>
          </w:p>
          <w:p w14:paraId="75F25731">
            <w:pPr>
              <w:widowControl/>
              <w:spacing w:line="400" w:lineRule="exact"/>
              <w:ind w:firstLine="480" w:firstLineChars="200"/>
              <w:jc w:val="left"/>
              <w:rPr>
                <w:rFonts w:hint="eastAsia" w:ascii="仿宋" w:hAnsi="仿宋" w:eastAsia="仿宋" w:cs="仿宋"/>
                <w:bCs/>
                <w:kern w:val="2"/>
                <w:sz w:val="24"/>
                <w:lang w:bidi="ar"/>
              </w:rPr>
            </w:pPr>
            <w:r>
              <w:rPr>
                <w:rFonts w:hint="eastAsia" w:ascii="仿宋" w:hAnsi="仿宋" w:eastAsia="仿宋" w:cs="仿宋"/>
                <w:bCs/>
                <w:kern w:val="2"/>
                <w:sz w:val="24"/>
                <w:lang w:bidi="ar"/>
              </w:rPr>
              <w:t>注：1. 总报价及分项报价，均不能超过本项目上限控制价；2.若方案比选后确定的最优方案不需要岩土工程勘察、管线探测等某项工作，结算则不计入。</w:t>
            </w:r>
          </w:p>
          <w:p w14:paraId="3F17A4A6">
            <w:pPr>
              <w:widowControl/>
              <w:spacing w:line="400" w:lineRule="exact"/>
              <w:ind w:firstLine="482" w:firstLineChars="200"/>
              <w:jc w:val="left"/>
              <w:rPr>
                <w:rFonts w:ascii="仿宋" w:hAnsi="仿宋" w:eastAsia="仿宋" w:cs="仿宋"/>
                <w:b/>
                <w:sz w:val="24"/>
              </w:rPr>
            </w:pPr>
            <w:r>
              <w:rPr>
                <w:rFonts w:hint="eastAsia" w:ascii="仿宋" w:hAnsi="仿宋" w:eastAsia="仿宋" w:cs="仿宋"/>
                <w:b/>
                <w:sz w:val="24"/>
              </w:rPr>
              <w:t>（五）服务周期：</w:t>
            </w:r>
          </w:p>
          <w:p w14:paraId="02A4E7C7">
            <w:pPr>
              <w:pStyle w:val="3"/>
              <w:widowControl/>
              <w:wordWrap w:val="0"/>
              <w:spacing w:beforeAutospacing="0" w:afterAutospacing="0" w:line="400" w:lineRule="exact"/>
              <w:ind w:firstLine="480" w:firstLineChars="200"/>
              <w:jc w:val="both"/>
              <w:rPr>
                <w:rFonts w:ascii="仿宋" w:hAnsi="仿宋" w:eastAsia="仿宋" w:cs="仿宋"/>
                <w:bCs/>
                <w:kern w:val="2"/>
              </w:rPr>
            </w:pPr>
            <w:r>
              <w:rPr>
                <w:rFonts w:hint="eastAsia" w:ascii="仿宋" w:hAnsi="仿宋" w:eastAsia="仿宋" w:cs="仿宋"/>
                <w:bCs/>
                <w:kern w:val="2"/>
              </w:rPr>
              <w:t>自成交通知书发出之日起至本工程施工竣工验收合格之日止。</w:t>
            </w:r>
          </w:p>
          <w:p w14:paraId="3673384A">
            <w:pPr>
              <w:widowControl/>
              <w:wordWrap w:val="0"/>
              <w:spacing w:line="400" w:lineRule="exact"/>
              <w:ind w:firstLine="482" w:firstLineChars="200"/>
              <w:jc w:val="left"/>
              <w:rPr>
                <w:rFonts w:ascii="仿宋" w:hAnsi="仿宋" w:eastAsia="仿宋" w:cs="仿宋"/>
                <w:b/>
                <w:kern w:val="2"/>
                <w:sz w:val="24"/>
              </w:rPr>
            </w:pPr>
            <w:r>
              <w:rPr>
                <w:rFonts w:hint="eastAsia" w:ascii="仿宋" w:hAnsi="仿宋" w:eastAsia="仿宋" w:cs="仿宋"/>
                <w:b/>
                <w:kern w:val="2"/>
                <w:sz w:val="24"/>
              </w:rPr>
              <w:t>（六）编制周期：</w:t>
            </w:r>
          </w:p>
          <w:p w14:paraId="3F65E0C2">
            <w:pPr>
              <w:widowControl/>
              <w:spacing w:line="400" w:lineRule="exact"/>
              <w:ind w:firstLine="480" w:firstLineChars="200"/>
              <w:jc w:val="left"/>
              <w:rPr>
                <w:rFonts w:ascii="仿宋" w:hAnsi="仿宋" w:eastAsia="仿宋" w:cs="仿宋"/>
                <w:bCs/>
                <w:sz w:val="24"/>
              </w:rPr>
            </w:pPr>
            <w:r>
              <w:rPr>
                <w:rFonts w:hint="eastAsia" w:ascii="仿宋" w:hAnsi="仿宋" w:eastAsia="仿宋" w:cs="仿宋"/>
                <w:bCs/>
                <w:sz w:val="24"/>
              </w:rPr>
              <w:t>1.方案论证阶段：合同签订生效后10日历天内，提交完整方案论证报告并配合完成评审。</w:t>
            </w:r>
          </w:p>
          <w:p w14:paraId="1118125A">
            <w:pPr>
              <w:widowControl/>
              <w:spacing w:line="400" w:lineRule="exact"/>
              <w:ind w:firstLine="480" w:firstLineChars="200"/>
              <w:jc w:val="left"/>
              <w:rPr>
                <w:rFonts w:ascii="仿宋" w:hAnsi="仿宋" w:eastAsia="仿宋" w:cs="仿宋"/>
                <w:bCs/>
                <w:sz w:val="24"/>
              </w:rPr>
            </w:pPr>
            <w:r>
              <w:rPr>
                <w:rFonts w:hint="eastAsia" w:ascii="仿宋" w:hAnsi="仿宋" w:eastAsia="仿宋" w:cs="仿宋"/>
                <w:bCs/>
                <w:sz w:val="24"/>
              </w:rPr>
              <w:t>2.施工图设计阶段：最优方案审定后20日历天内，提交全套施工图设计文件及工程量清单及招标控制价。</w:t>
            </w:r>
          </w:p>
          <w:p w14:paraId="4547B48C">
            <w:pPr>
              <w:widowControl/>
              <w:spacing w:line="400" w:lineRule="exact"/>
              <w:ind w:firstLine="482" w:firstLineChars="200"/>
              <w:jc w:val="left"/>
              <w:rPr>
                <w:rFonts w:ascii="仿宋" w:hAnsi="仿宋" w:eastAsia="仿宋" w:cs="仿宋"/>
                <w:b/>
                <w:sz w:val="24"/>
              </w:rPr>
            </w:pPr>
            <w:r>
              <w:rPr>
                <w:rFonts w:hint="eastAsia" w:ascii="仿宋" w:hAnsi="仿宋" w:eastAsia="仿宋" w:cs="仿宋"/>
                <w:b/>
                <w:sz w:val="24"/>
              </w:rPr>
              <w:t>（七）成果要求：</w:t>
            </w:r>
          </w:p>
          <w:p w14:paraId="01257EE2">
            <w:pPr>
              <w:widowControl/>
              <w:spacing w:line="400" w:lineRule="exact"/>
              <w:ind w:firstLine="480" w:firstLineChars="200"/>
              <w:jc w:val="left"/>
              <w:rPr>
                <w:rFonts w:ascii="仿宋" w:hAnsi="仿宋" w:eastAsia="仿宋" w:cs="仿宋"/>
                <w:bCs/>
                <w:sz w:val="24"/>
              </w:rPr>
            </w:pPr>
            <w:r>
              <w:rPr>
                <w:rFonts w:ascii="仿宋" w:hAnsi="仿宋" w:eastAsia="仿宋" w:cs="仿宋"/>
                <w:bCs/>
                <w:sz w:val="24"/>
              </w:rPr>
              <w:t>1.方案论证阶段：《相思湖校区院部办公楼配电房防洪迁改方案论证报告》纸质版4份、可编辑电子版1份；附件含各方案平面布置图、剖面图、投资估算表、比选分析矩阵表。</w:t>
            </w:r>
          </w:p>
          <w:p w14:paraId="0DF36E8A">
            <w:pPr>
              <w:widowControl/>
              <w:spacing w:line="400" w:lineRule="exact"/>
              <w:ind w:firstLine="480" w:firstLineChars="200"/>
              <w:jc w:val="left"/>
              <w:rPr>
                <w:rFonts w:ascii="仿宋" w:hAnsi="仿宋" w:eastAsia="仿宋" w:cs="仿宋"/>
                <w:bCs/>
                <w:sz w:val="24"/>
              </w:rPr>
            </w:pPr>
            <w:r>
              <w:rPr>
                <w:rFonts w:ascii="仿宋" w:hAnsi="仿宋" w:eastAsia="仿宋" w:cs="仿宋"/>
                <w:bCs/>
                <w:sz w:val="24"/>
              </w:rPr>
              <w:t xml:space="preserve">2.施工图设计阶段：勘察报告（若有）、管线探测报告（若有）、全套施工图纸质版6份、电子版 1 </w:t>
            </w:r>
            <w:r>
              <w:rPr>
                <w:rFonts w:hint="eastAsia" w:ascii="仿宋" w:hAnsi="仿宋" w:eastAsia="仿宋" w:cs="仿宋"/>
                <w:bCs/>
                <w:sz w:val="24"/>
              </w:rPr>
              <w:t>份（含</w:t>
            </w:r>
            <w:r>
              <w:rPr>
                <w:rFonts w:ascii="仿宋" w:hAnsi="仿宋" w:eastAsia="仿宋" w:cs="仿宋"/>
                <w:bCs/>
                <w:sz w:val="24"/>
              </w:rPr>
              <w:t>CAD源文件+PDF文件）；工程量清单及招标控制价纸质版6份、电子版1份（含可编辑计价文件及工程量清单）。</w:t>
            </w:r>
          </w:p>
          <w:p w14:paraId="4297810E">
            <w:pPr>
              <w:widowControl/>
              <w:spacing w:line="400" w:lineRule="exact"/>
              <w:ind w:firstLine="480" w:firstLineChars="200"/>
              <w:jc w:val="left"/>
              <w:rPr>
                <w:rFonts w:ascii="仿宋" w:hAnsi="仿宋" w:eastAsia="仿宋" w:cs="仿宋"/>
                <w:bCs/>
                <w:sz w:val="24"/>
              </w:rPr>
            </w:pPr>
            <w:r>
              <w:rPr>
                <w:rFonts w:ascii="仿宋" w:hAnsi="仿宋" w:eastAsia="仿宋" w:cs="仿宋"/>
                <w:bCs/>
                <w:sz w:val="24"/>
              </w:rPr>
              <w:t>3.设计成果和设计深度满足国家及地方有关法律法规、政策及规划，行业现行规范、规程及标准等要求；满足审查单位、消防、住建、规划等主管部门及广西电网有限责任公司南宁供电局（下称“南宁供电局”）的相关规定，并通过评审、验收。</w:t>
            </w:r>
          </w:p>
          <w:p w14:paraId="182CF0D4">
            <w:pPr>
              <w:widowControl/>
              <w:spacing w:line="400" w:lineRule="exact"/>
              <w:ind w:firstLine="480" w:firstLineChars="200"/>
              <w:jc w:val="left"/>
              <w:rPr>
                <w:rFonts w:ascii="仿宋" w:hAnsi="仿宋" w:eastAsia="仿宋" w:cs="仿宋"/>
                <w:bCs/>
                <w:sz w:val="24"/>
              </w:rPr>
            </w:pPr>
          </w:p>
          <w:p w14:paraId="764DC3D7">
            <w:pPr>
              <w:widowControl/>
              <w:spacing w:line="400" w:lineRule="exact"/>
              <w:ind w:firstLine="480" w:firstLineChars="200"/>
              <w:jc w:val="left"/>
              <w:rPr>
                <w:rFonts w:ascii="仿宋" w:hAnsi="仿宋" w:eastAsia="仿宋" w:cs="仿宋"/>
                <w:bCs/>
                <w:sz w:val="24"/>
              </w:rPr>
            </w:pPr>
            <w:bookmarkStart w:id="3" w:name="_GoBack"/>
            <w:bookmarkEnd w:id="3"/>
            <w:r>
              <w:rPr>
                <w:rFonts w:ascii="仿宋" w:hAnsi="仿宋" w:eastAsia="仿宋" w:cs="仿宋"/>
                <w:bCs/>
                <w:sz w:val="24"/>
              </w:rPr>
              <w:t>4.由成交供应商协助办理审查手续；审查过程中需委托开展的相关评审、技术审查等服务，所涉及的相关费用，均由成交供应商承担；成交供应商必须根据审查单位、相关主管部门、南宁市供电局及业主的意见对设计成果做修改补充，修改补充所产生的费用由成交供应商承担。审查通过前，因国家及地方有关政策、行业规范及标准变化引起的修改，修改补充所产生的费用由成交供应商承担。</w:t>
            </w:r>
          </w:p>
          <w:p w14:paraId="2FDAC474">
            <w:pPr>
              <w:widowControl/>
              <w:spacing w:line="400" w:lineRule="exact"/>
              <w:ind w:firstLine="482" w:firstLineChars="200"/>
              <w:jc w:val="left"/>
              <w:rPr>
                <w:rFonts w:ascii="仿宋" w:hAnsi="仿宋" w:eastAsia="仿宋" w:cs="仿宋"/>
                <w:b/>
                <w:sz w:val="24"/>
              </w:rPr>
            </w:pPr>
            <w:r>
              <w:rPr>
                <w:rFonts w:hint="eastAsia" w:ascii="仿宋" w:hAnsi="仿宋" w:eastAsia="仿宋" w:cs="仿宋"/>
                <w:b/>
                <w:sz w:val="24"/>
              </w:rPr>
              <w:t>（八）其他要求：</w:t>
            </w:r>
          </w:p>
          <w:p w14:paraId="35A14A0E">
            <w:pPr>
              <w:spacing w:line="400" w:lineRule="exact"/>
              <w:ind w:firstLine="480" w:firstLineChars="200"/>
              <w:rPr>
                <w:rFonts w:ascii="仿宋" w:hAnsi="仿宋" w:eastAsia="仿宋" w:cs="仿宋"/>
                <w:b/>
                <w:sz w:val="24"/>
              </w:rPr>
            </w:pPr>
            <w:r>
              <w:rPr>
                <w:rFonts w:hint="eastAsia" w:ascii="仿宋" w:hAnsi="仿宋" w:eastAsia="仿宋" w:cs="仿宋"/>
                <w:bCs/>
                <w:sz w:val="24"/>
              </w:rPr>
              <w:t>1.自行组织现场踏勘及调研工作，完成相关基础资料收集。2.由成交供应商配合办理审查手续，所涉及费用由成交供应商承担。3.成交供应商必须施工图审查机构及业主的意见对编制成果做修改补充，修改补充所产生的费用由成交供应商承担。4.服务周期内，因国家及地方有关政策、行业规范及标准变化引起的修改，修改补充所产生的费用由成交供应商承担。</w:t>
            </w:r>
          </w:p>
          <w:p w14:paraId="2DE76EB6">
            <w:pPr>
              <w:spacing w:line="40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款项支付方式</w:t>
            </w:r>
            <w:r>
              <w:rPr>
                <w:rFonts w:ascii="仿宋" w:hAnsi="仿宋" w:eastAsia="仿宋" w:cs="仿宋"/>
                <w:b/>
                <w:sz w:val="24"/>
              </w:rPr>
              <w:t>：</w:t>
            </w:r>
          </w:p>
          <w:p w14:paraId="1F6766B4">
            <w:pPr>
              <w:spacing w:line="400" w:lineRule="exact"/>
              <w:ind w:firstLine="480" w:firstLineChars="200"/>
              <w:rPr>
                <w:rFonts w:ascii="仿宋" w:hAnsi="仿宋" w:eastAsia="仿宋" w:cs="仿宋"/>
                <w:bCs/>
                <w:sz w:val="24"/>
              </w:rPr>
            </w:pPr>
            <w:r>
              <w:rPr>
                <w:rFonts w:hint="eastAsia" w:ascii="仿宋" w:hAnsi="仿宋" w:eastAsia="仿宋" w:cs="仿宋"/>
                <w:bCs/>
                <w:sz w:val="24"/>
              </w:rPr>
              <w:t>1.方案论证报告通过采购人评审后，且全套施工图、工程量清单及招标控制价文件提交并经施工图审查、自治区财评中心评审及采购人审核通过后，支付这些项目合同总价的60%（若方案比选后确定的最优方案不需要岩土工程勘察、管线探测等某项工作，结算则不计入。）；</w:t>
            </w:r>
          </w:p>
          <w:p w14:paraId="4317639B">
            <w:pPr>
              <w:spacing w:line="400" w:lineRule="exact"/>
              <w:ind w:firstLine="480" w:firstLineChars="200"/>
              <w:rPr>
                <w:rFonts w:ascii="仿宋" w:hAnsi="仿宋" w:eastAsia="仿宋" w:cs="仿宋"/>
                <w:bCs/>
                <w:sz w:val="24"/>
              </w:rPr>
            </w:pPr>
            <w:r>
              <w:rPr>
                <w:rFonts w:ascii="仿宋" w:hAnsi="仿宋" w:eastAsia="仿宋" w:cs="仿宋"/>
                <w:bCs/>
                <w:sz w:val="24"/>
              </w:rPr>
              <w:t>2</w:t>
            </w:r>
            <w:r>
              <w:rPr>
                <w:rFonts w:hint="eastAsia" w:ascii="仿宋" w:hAnsi="仿宋" w:eastAsia="仿宋" w:cs="仿宋"/>
                <w:bCs/>
                <w:sz w:val="24"/>
              </w:rPr>
              <w:t>.项目规划、供电、消防、住建等所有验收合格后，完成项目支付至合同价的100%。</w:t>
            </w:r>
          </w:p>
          <w:p w14:paraId="6787D6C0">
            <w:pPr>
              <w:widowControl/>
              <w:spacing w:line="40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36436B87">
            <w:pPr>
              <w:numPr>
                <w:ilvl w:val="255"/>
                <w:numId w:val="0"/>
              </w:numPr>
              <w:spacing w:line="400" w:lineRule="exact"/>
              <w:ind w:firstLine="480" w:firstLineChars="200"/>
              <w:rPr>
                <w:rFonts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总价包干（报价包括但不限于完成本项目所需的各项成本、人工费、材料费、管理费、专家评审费、开办费、税金及场地费、利润等所有费用）。</w:t>
            </w:r>
          </w:p>
          <w:p w14:paraId="7FEED8C4">
            <w:pPr>
              <w:spacing w:line="400" w:lineRule="exact"/>
              <w:ind w:firstLine="482" w:firstLineChars="200"/>
              <w:rPr>
                <w:rFonts w:ascii="仿宋" w:hAnsi="仿宋" w:eastAsia="仿宋" w:cs="仿宋"/>
                <w:b/>
                <w:sz w:val="24"/>
              </w:rPr>
            </w:pPr>
            <w:r>
              <w:rPr>
                <w:rFonts w:ascii="仿宋" w:hAnsi="仿宋" w:eastAsia="仿宋" w:cs="仿宋"/>
                <w:b/>
                <w:sz w:val="24"/>
              </w:rPr>
              <w:t>（十</w:t>
            </w:r>
            <w:r>
              <w:rPr>
                <w:rFonts w:hint="eastAsia" w:ascii="仿宋" w:hAnsi="仿宋" w:eastAsia="仿宋" w:cs="仿宋"/>
                <w:b/>
                <w:sz w:val="24"/>
              </w:rPr>
              <w:t>一</w:t>
            </w:r>
            <w:r>
              <w:rPr>
                <w:rFonts w:ascii="仿宋" w:hAnsi="仿宋" w:eastAsia="仿宋" w:cs="仿宋"/>
                <w:b/>
                <w:sz w:val="24"/>
              </w:rPr>
              <w:t>）</w:t>
            </w:r>
            <w:r>
              <w:rPr>
                <w:rFonts w:hint="eastAsia" w:ascii="仿宋" w:hAnsi="仿宋" w:eastAsia="仿宋" w:cs="仿宋"/>
                <w:b/>
                <w:sz w:val="24"/>
              </w:rPr>
              <w:t>责任与义务</w:t>
            </w:r>
            <w:r>
              <w:rPr>
                <w:rFonts w:ascii="仿宋" w:hAnsi="仿宋" w:eastAsia="仿宋" w:cs="仿宋"/>
                <w:b/>
                <w:sz w:val="24"/>
              </w:rPr>
              <w:t>：</w:t>
            </w:r>
          </w:p>
          <w:p w14:paraId="17374091">
            <w:pPr>
              <w:numPr>
                <w:ilvl w:val="255"/>
                <w:numId w:val="0"/>
              </w:numPr>
              <w:spacing w:line="400" w:lineRule="exact"/>
              <w:ind w:firstLine="480" w:firstLineChars="200"/>
              <w:rPr>
                <w:rFonts w:ascii="仿宋" w:hAnsi="仿宋" w:eastAsia="仿宋" w:cs="仿宋"/>
                <w:bCs/>
                <w:sz w:val="24"/>
              </w:rPr>
            </w:pPr>
            <w:r>
              <w:rPr>
                <w:rFonts w:hint="eastAsia" w:ascii="仿宋" w:hAnsi="仿宋" w:eastAsia="仿宋" w:cs="仿宋"/>
                <w:bCs/>
                <w:sz w:val="24"/>
              </w:rPr>
              <w:t>1.因成交供应商原因，未在规定期限内提交相应成果的，从应完成日期的次日起计算，超过5日历天，业主有权解除合同。因业主原因，成交供应商未在规定期限内提交的，编制周期顺延，不增加费用。</w:t>
            </w:r>
          </w:p>
          <w:p w14:paraId="1DC2F3BB">
            <w:pPr>
              <w:spacing w:line="400" w:lineRule="exact"/>
              <w:ind w:firstLine="480" w:firstLineChars="200"/>
              <w:rPr>
                <w:rFonts w:hint="eastAsia" w:ascii="仿宋" w:hAnsi="仿宋" w:eastAsia="仿宋" w:cs="仿宋"/>
                <w:bCs/>
                <w:sz w:val="24"/>
              </w:rPr>
            </w:pPr>
            <w:r>
              <w:rPr>
                <w:rFonts w:hint="eastAsia" w:ascii="仿宋" w:hAnsi="仿宋" w:eastAsia="仿宋" w:cs="仿宋"/>
                <w:bCs/>
                <w:sz w:val="24"/>
              </w:rPr>
              <w:t>2.因成交供应商原因，逾期提交相应成果的，视为违约，成交供应商每日按成交金额的千分之二支付违约金，违约金的上限不超过成交金额的百分之五。</w:t>
            </w:r>
          </w:p>
          <w:p w14:paraId="4A3B79E6">
            <w:pPr>
              <w:spacing w:line="400" w:lineRule="exact"/>
              <w:ind w:firstLine="480" w:firstLineChars="200"/>
              <w:rPr>
                <w:rFonts w:ascii="仿宋" w:hAnsi="仿宋" w:eastAsia="仿宋" w:cs="仿宋"/>
                <w:bCs/>
                <w:sz w:val="24"/>
              </w:rPr>
            </w:pPr>
            <w:r>
              <w:rPr>
                <w:rFonts w:hint="eastAsia" w:ascii="仿宋" w:hAnsi="仿宋" w:eastAsia="仿宋" w:cs="仿宋"/>
                <w:bCs/>
                <w:sz w:val="24"/>
              </w:rPr>
              <w:t>3.因成交供应商原因，成交供应商提交的成果文件经反复修改仍无法满足业主要求的，业主有权解除合同，已完成的成果归业主所有。</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0" w:hRule="atLeast"/>
        </w:trPr>
        <w:tc>
          <w:tcPr>
            <w:tcW w:w="5000" w:type="pct"/>
            <w:gridSpan w:val="2"/>
          </w:tcPr>
          <w:p w14:paraId="4C6FF2FE">
            <w:pPr>
              <w:spacing w:line="400" w:lineRule="exact"/>
              <w:ind w:firstLine="480" w:firstLineChars="200"/>
              <w:jc w:val="left"/>
              <w:rPr>
                <w:rFonts w:hint="eastAsia" w:ascii="仿宋" w:hAnsi="仿宋" w:eastAsia="仿宋" w:cs="仿宋"/>
                <w:bCs/>
                <w:sz w:val="24"/>
              </w:rPr>
            </w:pPr>
          </w:p>
          <w:p w14:paraId="0777675D">
            <w:pPr>
              <w:spacing w:line="400" w:lineRule="exact"/>
              <w:jc w:val="left"/>
              <w:rPr>
                <w:rFonts w:hint="default" w:ascii="仿宋" w:hAnsi="仿宋" w:eastAsia="仿宋" w:cs="仿宋"/>
                <w:bCs/>
                <w:sz w:val="24"/>
                <w:u w:val="single"/>
                <w:lang w:val="en-US" w:eastAsia="zh-CN"/>
              </w:rPr>
            </w:pPr>
            <w:r>
              <w:rPr>
                <w:rFonts w:hint="eastAsia" w:ascii="仿宋" w:hAnsi="仿宋" w:eastAsia="仿宋" w:cs="仿宋"/>
                <w:bCs/>
                <w:sz w:val="24"/>
              </w:rPr>
              <w:t>勘察设计服务费总价：</w:t>
            </w:r>
            <w:r>
              <w:rPr>
                <w:rFonts w:hint="eastAsia" w:ascii="仿宋" w:hAnsi="仿宋" w:eastAsia="仿宋" w:cs="仿宋"/>
                <w:bCs/>
                <w:sz w:val="24"/>
                <w:u w:val="single"/>
              </w:rPr>
              <w:t xml:space="preserve">人民币（大写）：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 （小写）:</w:t>
            </w:r>
            <w:r>
              <w:rPr>
                <w:rFonts w:hint="eastAsia" w:ascii="仿宋" w:hAnsi="仿宋" w:eastAsia="仿宋" w:cs="仿宋"/>
                <w:bCs/>
                <w:sz w:val="24"/>
                <w:u w:val="single"/>
                <w:lang w:val="en-US" w:eastAsia="zh-CN"/>
              </w:rPr>
              <w:t xml:space="preserve">               </w:t>
            </w:r>
          </w:p>
          <w:p w14:paraId="6BE833C0">
            <w:pPr>
              <w:spacing w:line="400" w:lineRule="exact"/>
              <w:jc w:val="left"/>
              <w:rPr>
                <w:rFonts w:hint="eastAsia" w:ascii="仿宋" w:hAnsi="仿宋" w:eastAsia="仿宋" w:cs="仿宋"/>
                <w:bCs/>
                <w:sz w:val="24"/>
                <w:u w:val="single"/>
              </w:rPr>
            </w:pPr>
            <w:r>
              <w:rPr>
                <w:rFonts w:hint="eastAsia" w:ascii="仿宋" w:hAnsi="仿宋" w:eastAsia="仿宋" w:cs="仿宋"/>
                <w:bCs/>
                <w:sz w:val="24"/>
              </w:rPr>
              <w:t>岩土工程勘察费：</w:t>
            </w:r>
            <w:r>
              <w:rPr>
                <w:rFonts w:hint="eastAsia" w:ascii="仿宋" w:hAnsi="仿宋" w:eastAsia="仿宋" w:cs="仿宋"/>
                <w:bCs/>
                <w:sz w:val="24"/>
                <w:u w:val="single"/>
              </w:rPr>
              <w:t xml:space="preserve">人民币（大写）：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（小写）:</w:t>
            </w:r>
          </w:p>
          <w:p w14:paraId="4A85BF41">
            <w:pPr>
              <w:spacing w:line="400" w:lineRule="exact"/>
              <w:jc w:val="left"/>
              <w:rPr>
                <w:rFonts w:hint="eastAsia" w:ascii="仿宋" w:hAnsi="仿宋" w:eastAsia="仿宋" w:cs="仿宋"/>
                <w:bCs/>
                <w:sz w:val="24"/>
                <w:u w:val="single"/>
              </w:rPr>
            </w:pPr>
            <w:r>
              <w:rPr>
                <w:rFonts w:hint="eastAsia" w:ascii="仿宋" w:hAnsi="仿宋" w:eastAsia="仿宋" w:cs="仿宋"/>
                <w:bCs/>
                <w:sz w:val="24"/>
              </w:rPr>
              <w:t>工程测量与管线探测费：</w:t>
            </w:r>
            <w:r>
              <w:rPr>
                <w:rFonts w:hint="eastAsia" w:ascii="仿宋" w:hAnsi="仿宋" w:eastAsia="仿宋" w:cs="仿宋"/>
                <w:bCs/>
                <w:sz w:val="24"/>
                <w:u w:val="single"/>
              </w:rPr>
              <w:t>人民币（大写）：           （小写）:</w:t>
            </w:r>
          </w:p>
          <w:p w14:paraId="5EB6EAF7">
            <w:pPr>
              <w:spacing w:line="400" w:lineRule="exact"/>
              <w:jc w:val="left"/>
              <w:rPr>
                <w:rFonts w:hint="eastAsia" w:ascii="仿宋" w:hAnsi="仿宋" w:eastAsia="仿宋" w:cs="仿宋"/>
                <w:bCs/>
                <w:sz w:val="24"/>
                <w:u w:val="single"/>
              </w:rPr>
            </w:pPr>
            <w:r>
              <w:rPr>
                <w:rFonts w:hint="eastAsia" w:ascii="仿宋" w:hAnsi="仿宋" w:eastAsia="仿宋" w:cs="仿宋"/>
                <w:bCs/>
                <w:sz w:val="24"/>
              </w:rPr>
              <w:t>方案论证+施工图设计费：</w:t>
            </w:r>
            <w:r>
              <w:rPr>
                <w:rFonts w:hint="eastAsia" w:ascii="仿宋" w:hAnsi="仿宋" w:eastAsia="仿宋" w:cs="仿宋"/>
                <w:bCs/>
                <w:sz w:val="24"/>
                <w:u w:val="single"/>
              </w:rPr>
              <w:t>人民币（大写）：           （小写）:</w:t>
            </w:r>
          </w:p>
          <w:p w14:paraId="644FF886">
            <w:pPr>
              <w:spacing w:line="400" w:lineRule="exact"/>
              <w:jc w:val="left"/>
              <w:rPr>
                <w:rFonts w:hint="eastAsia" w:ascii="仿宋" w:hAnsi="仿宋" w:eastAsia="仿宋" w:cs="仿宋"/>
                <w:bCs/>
                <w:sz w:val="24"/>
                <w:u w:val="single"/>
              </w:rPr>
            </w:pPr>
            <w:r>
              <w:rPr>
                <w:rFonts w:hint="eastAsia" w:ascii="仿宋" w:hAnsi="仿宋" w:eastAsia="仿宋" w:cs="仿宋"/>
                <w:bCs/>
                <w:sz w:val="24"/>
              </w:rPr>
              <w:t>工程量清单及招标控制价编制费：</w:t>
            </w:r>
            <w:r>
              <w:rPr>
                <w:rFonts w:hint="eastAsia" w:ascii="仿宋" w:hAnsi="仿宋" w:eastAsia="仿宋" w:cs="仿宋"/>
                <w:bCs/>
                <w:sz w:val="24"/>
                <w:u w:val="single"/>
              </w:rPr>
              <w:t>人民币（大写）：         （小写）:</w:t>
            </w:r>
          </w:p>
          <w:p w14:paraId="34157202">
            <w:pPr>
              <w:spacing w:line="400" w:lineRule="exact"/>
              <w:jc w:val="left"/>
              <w:rPr>
                <w:rFonts w:hint="eastAsia" w:ascii="仿宋" w:hAnsi="仿宋" w:eastAsia="仿宋" w:cs="仿宋"/>
                <w:bCs/>
                <w:sz w:val="24"/>
              </w:rPr>
            </w:pPr>
            <w:r>
              <w:rPr>
                <w:rFonts w:hint="eastAsia" w:ascii="仿宋" w:hAnsi="仿宋" w:eastAsia="仿宋" w:cs="仿宋"/>
                <w:bCs/>
                <w:sz w:val="24"/>
              </w:rPr>
              <w:t>备注：</w:t>
            </w:r>
          </w:p>
          <w:p w14:paraId="205A333B">
            <w:pPr>
              <w:spacing w:line="400" w:lineRule="exact"/>
              <w:jc w:val="left"/>
              <w:rPr>
                <w:rFonts w:hint="eastAsia" w:ascii="仿宋" w:hAnsi="仿宋" w:eastAsia="仿宋" w:cs="仿宋"/>
                <w:bCs/>
                <w:sz w:val="24"/>
              </w:rPr>
            </w:pPr>
            <w:r>
              <w:rPr>
                <w:rFonts w:hint="eastAsia" w:ascii="仿宋" w:hAnsi="仿宋" w:eastAsia="仿宋" w:cs="仿宋"/>
                <w:bCs/>
                <w:sz w:val="24"/>
              </w:rPr>
              <w:t>报价人对服务内容已经完全知晓，本次报价包括但不限于完成本项目所需的各项成本、人工费、材料费、管理费、专家评审费、开办费、税金及场地费、利润等所有费用。</w:t>
            </w:r>
          </w:p>
          <w:p w14:paraId="182CC763">
            <w:pPr>
              <w:spacing w:line="400" w:lineRule="exact"/>
              <w:jc w:val="left"/>
              <w:rPr>
                <w:rFonts w:hint="eastAsia" w:ascii="仿宋" w:hAnsi="仿宋" w:eastAsia="仿宋" w:cs="仿宋"/>
                <w:bCs/>
                <w:sz w:val="24"/>
              </w:rPr>
            </w:pPr>
            <w:r>
              <w:rPr>
                <w:rFonts w:hint="eastAsia" w:ascii="仿宋" w:hAnsi="仿宋" w:eastAsia="仿宋" w:cs="仿宋"/>
                <w:bCs/>
                <w:sz w:val="24"/>
              </w:rPr>
              <w:t>本次报价为包干报价，期间不做任何价格调整。</w:t>
            </w:r>
          </w:p>
        </w:tc>
      </w:tr>
    </w:tbl>
    <w:p w14:paraId="7ABD0EC6">
      <w:pPr>
        <w:rPr>
          <w:rFonts w:ascii="宋体" w:hAnsi="宋体"/>
          <w:b/>
          <w:sz w:val="28"/>
          <w:szCs w:val="36"/>
        </w:rPr>
      </w:pPr>
      <w:r>
        <w:rPr>
          <w:rFonts w:hint="eastAsia" w:ascii="宋体" w:hAnsi="宋体"/>
          <w:b/>
          <w:sz w:val="28"/>
          <w:szCs w:val="36"/>
        </w:rPr>
        <w:t xml:space="preserve">法定代表人（或委托代理人）签字：            </w:t>
      </w:r>
    </w:p>
    <w:p w14:paraId="15DE86F5">
      <w:pPr>
        <w:rPr>
          <w:rFonts w:ascii="宋体" w:hAnsi="宋体"/>
          <w:b/>
          <w:sz w:val="28"/>
          <w:szCs w:val="36"/>
        </w:rPr>
      </w:pPr>
    </w:p>
    <w:p w14:paraId="305ACEE4">
      <w:pPr>
        <w:rPr>
          <w:rFonts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E789B82">
      <w:pPr>
        <w:rPr>
          <w:rFonts w:ascii="宋体" w:hAnsi="宋体"/>
          <w:b/>
          <w:sz w:val="28"/>
          <w:szCs w:val="36"/>
        </w:rPr>
      </w:pPr>
    </w:p>
    <w:p w14:paraId="0762DB0A">
      <w:pPr>
        <w:jc w:val="left"/>
        <w:rPr>
          <w:rFonts w:ascii="宋体" w:hAnsi="宋体"/>
          <w:b/>
          <w:sz w:val="28"/>
          <w:szCs w:val="36"/>
        </w:rPr>
      </w:pPr>
      <w:r>
        <w:rPr>
          <w:rFonts w:hint="eastAsia" w:ascii="宋体" w:hAnsi="宋体"/>
          <w:b/>
          <w:sz w:val="28"/>
          <w:szCs w:val="36"/>
        </w:rPr>
        <w:t>联系人及电话：</w:t>
      </w:r>
    </w:p>
    <w:p w14:paraId="228B6847">
      <w:pPr>
        <w:jc w:val="left"/>
        <w:rPr>
          <w:rFonts w:ascii="宋体" w:hAnsi="宋体"/>
          <w:b/>
          <w:sz w:val="28"/>
          <w:szCs w:val="36"/>
        </w:rPr>
      </w:pPr>
    </w:p>
    <w:p w14:paraId="6774C1D6">
      <w:pPr>
        <w:jc w:val="left"/>
      </w:pPr>
      <w:r>
        <w:rPr>
          <w:rFonts w:ascii="宋体" w:hAnsi="宋体"/>
          <w:b/>
          <w:sz w:val="28"/>
          <w:szCs w:val="36"/>
        </w:rPr>
        <w:t>日期：</w:t>
      </w:r>
      <w:bookmarkStart w:id="0" w:name="_Toc173211904"/>
      <w:bookmarkEnd w:id="0"/>
      <w:bookmarkStart w:id="1" w:name="_Toc254970732"/>
      <w:bookmarkEnd w:id="1"/>
      <w:bookmarkStart w:id="2" w:name="_Toc254970729"/>
      <w:bookmarkEnd w:id="2"/>
    </w:p>
    <w:p w14:paraId="54E33DEC">
      <w:pPr>
        <w:spacing w:line="560" w:lineRule="exact"/>
        <w:ind w:firstLine="640" w:firstLineChars="200"/>
        <w:jc w:val="left"/>
        <w:rPr>
          <w:rFonts w:ascii="仿宋" w:hAnsi="仿宋" w:eastAsia="仿宋" w:cs="仿宋"/>
          <w:sz w:val="32"/>
          <w:szCs w:val="32"/>
        </w:rPr>
      </w:pPr>
    </w:p>
    <w:p w14:paraId="6BE66379"/>
    <w:sectPr>
      <w:footerReference r:id="rId3"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3D0D3">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A3B5D72">
                          <w:pPr>
                            <w:pStyle w:val="2"/>
                          </w:pPr>
                          <w:r>
                            <w:fldChar w:fldCharType="begin"/>
                          </w:r>
                          <w:r>
                            <w:instrText xml:space="preserve"> PAGE  \* MERGEFORMAT </w:instrText>
                          </w:r>
                          <w:r>
                            <w:fldChar w:fldCharType="separate"/>
                          </w:r>
                          <w:r>
                            <w:t>16</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XGZeABAAC7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zgqW5or/ZI42Zp0+tx37TRHSnmf+0&#10;f2lp/j3nrIc3t74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GWVxmXgAQAAuwMAAA4AAAAA&#10;AAAAAQAgAAAAHgEAAGRycy9lMm9Eb2MueG1sUEsFBgAAAAAGAAYAWQEAAHAFAAAAAA==&#10;">
              <v:fill on="f" focussize="0,0"/>
              <v:stroke on="f"/>
              <v:imagedata o:title=""/>
              <o:lock v:ext="edit" aspectratio="f"/>
              <v:textbox inset="0mm,0mm,0mm,0mm" style="mso-fit-shape-to-text:t;">
                <w:txbxContent>
                  <w:p w14:paraId="3A3B5D72">
                    <w:pPr>
                      <w:pStyle w:val="2"/>
                    </w:pPr>
                    <w:r>
                      <w:fldChar w:fldCharType="begin"/>
                    </w:r>
                    <w:r>
                      <w:instrText xml:space="preserve"> PAGE  \* MERGEFORMAT </w:instrText>
                    </w:r>
                    <w:r>
                      <w:fldChar w:fldCharType="separate"/>
                    </w:r>
                    <w:r>
                      <w:t>16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A60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Autospacing="1" w:afterAutospacing="1"/>
      <w:jc w:val="left"/>
    </w:pPr>
    <w:rPr>
      <w:rFonts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2026-08-11T07:36:48Z</dcterms:created>
  <dc:creator>lenovo</dc:creator>
  <cp:lastModifiedBy>红雨</cp:lastModifiedBy>
  <dcterms:modified xsi:type="dcterms:W3CDTF">2026-08-11T07:37:19Z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2263467E1B194417A5B4DF9C8D133ED4_12</vt:lpwstr>
  </property>
</Properties>
</file>