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p>
    <w:tbl>
      <w:tblPr>
        <w:tblStyle w:val="7"/>
        <w:tblpPr w:leftFromText="180" w:rightFromText="180" w:vertAnchor="text" w:tblpX="263" w:tblpY="10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980" w:type="dxa"/>
            <w:vAlign w:val="top"/>
          </w:tcPr>
          <w:p>
            <w:pPr>
              <w:numPr>
                <w:ilvl w:val="0"/>
                <w:numId w:val="0"/>
              </w:numPr>
              <w:jc w:val="left"/>
              <w:rPr>
                <w:rFonts w:hint="eastAsia" w:eastAsia="宋体"/>
                <w:lang w:val="en-US" w:eastAsia="zh-CN"/>
              </w:rPr>
            </w:pPr>
            <w:r>
              <w:rPr>
                <w:rFonts w:hint="eastAsia" w:ascii="黑体" w:hAnsi="黑体" w:eastAsia="黑体" w:cs="黑体"/>
                <w:b w:val="0"/>
                <w:bCs/>
                <w:kern w:val="0"/>
                <w:sz w:val="30"/>
                <w:szCs w:val="30"/>
              </w:rPr>
              <w:t>202</w:t>
            </w:r>
            <w:r>
              <w:rPr>
                <w:rFonts w:hint="eastAsia" w:ascii="黑体" w:hAnsi="黑体" w:eastAsia="黑体" w:cs="黑体"/>
                <w:b w:val="0"/>
                <w:bCs/>
                <w:kern w:val="0"/>
                <w:sz w:val="30"/>
                <w:szCs w:val="30"/>
                <w:lang w:val="en-US" w:eastAsia="zh-CN"/>
              </w:rPr>
              <w:t>2级学生</w:t>
            </w:r>
            <w:r>
              <w:rPr>
                <w:rFonts w:hint="eastAsia" w:ascii="黑体" w:hAnsi="黑体" w:eastAsia="黑体" w:cs="黑体"/>
                <w:b w:val="0"/>
                <w:bCs/>
                <w:kern w:val="0"/>
                <w:sz w:val="30"/>
                <w:szCs w:val="30"/>
                <w:lang w:eastAsia="zh-CN"/>
              </w:rPr>
              <w:t>军训器械设备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980" w:type="dxa"/>
            <w:vAlign w:val="top"/>
          </w:tcPr>
          <w:p>
            <w:pPr>
              <w:numPr>
                <w:ilvl w:val="0"/>
                <w:numId w:val="0"/>
              </w:numPr>
              <w:jc w:val="left"/>
              <w:rPr>
                <w:rFonts w:hint="eastAsia"/>
              </w:rPr>
            </w:pPr>
            <w:r>
              <w:rPr>
                <w:rFonts w:hint="eastAsia" w:ascii="仿宋_GB2312" w:hAnsi="仿宋_GB2312" w:eastAsia="仿宋_GB2312" w:cs="仿宋_GB2312"/>
                <w:b/>
                <w:bCs/>
                <w:lang w:val="en-US" w:eastAsia="zh-CN"/>
              </w:rPr>
              <w:t>1、采购部分的货物</w:t>
            </w:r>
          </w:p>
        </w:tc>
      </w:tr>
    </w:tbl>
    <w:p>
      <w:pPr>
        <w:jc w:val="center"/>
        <w:rPr>
          <w:rFonts w:hint="eastAsia" w:ascii="黑体" w:hAnsi="黑体" w:eastAsia="黑体" w:cs="黑体"/>
          <w:b/>
          <w:bCs/>
          <w:sz w:val="44"/>
          <w:szCs w:val="44"/>
          <w:lang w:val="en-US" w:eastAsia="zh-CN"/>
        </w:rPr>
      </w:pPr>
      <w:r>
        <w:rPr>
          <w:rFonts w:hint="eastAsia" w:ascii="仿宋_GB2312" w:hAnsi="仿宋" w:eastAsia="仿宋_GB2312"/>
          <w:b/>
          <w:sz w:val="36"/>
          <w:szCs w:val="36"/>
          <w:lang w:val="en-US" w:eastAsia="zh-CN"/>
        </w:rPr>
        <w:t>2023年广西财经学院学生军训器械设备</w:t>
      </w:r>
      <w:r>
        <w:rPr>
          <w:rFonts w:hint="eastAsia" w:ascii="仿宋_GB2312" w:hAnsi="仿宋" w:eastAsia="仿宋_GB2312"/>
          <w:b/>
          <w:sz w:val="36"/>
          <w:szCs w:val="36"/>
        </w:rPr>
        <w:t>报价表</w:t>
      </w:r>
    </w:p>
    <w:tbl>
      <w:tblPr>
        <w:tblStyle w:val="6"/>
        <w:tblpPr w:leftFromText="180" w:rightFromText="180" w:vertAnchor="text" w:horzAnchor="page" w:tblpX="1708" w:tblpY="924"/>
        <w:tblOverlap w:val="never"/>
        <w:tblW w:w="13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87"/>
        <w:gridCol w:w="1313"/>
        <w:gridCol w:w="563"/>
        <w:gridCol w:w="625"/>
        <w:gridCol w:w="4900"/>
        <w:gridCol w:w="1083"/>
        <w:gridCol w:w="1083"/>
        <w:gridCol w:w="108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序号</w:t>
            </w:r>
          </w:p>
        </w:tc>
        <w:tc>
          <w:tcPr>
            <w:tcW w:w="148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t>科目</w:t>
            </w:r>
          </w:p>
        </w:tc>
        <w:tc>
          <w:tcPr>
            <w:tcW w:w="1313"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t>货物</w:t>
            </w: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名称</w:t>
            </w:r>
          </w:p>
        </w:tc>
        <w:tc>
          <w:tcPr>
            <w:tcW w:w="563"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2"/>
                <w:sz w:val="21"/>
                <w:szCs w:val="21"/>
                <w:highlight w:val="none"/>
                <w:lang w:eastAsia="zh-CN"/>
                <w14:textFill>
                  <w14:solidFill>
                    <w14:schemeClr w14:val="tx1"/>
                  </w14:solidFill>
                </w14:textFill>
              </w:rPr>
              <w:t>数量</w:t>
            </w:r>
          </w:p>
        </w:tc>
        <w:tc>
          <w:tcPr>
            <w:tcW w:w="625"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21"/>
                <w:szCs w:val="21"/>
                <w:highlight w:val="none"/>
                <w:lang w:eastAsia="zh-CN"/>
                <w14:textFill>
                  <w14:solidFill>
                    <w14:schemeClr w14:val="tx1"/>
                  </w14:solidFill>
                </w14:textFill>
              </w:rPr>
              <w:t>单位</w:t>
            </w:r>
          </w:p>
        </w:tc>
        <w:tc>
          <w:tcPr>
            <w:tcW w:w="4900"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14:textFill>
                  <w14:solidFill>
                    <w14:schemeClr w14:val="tx1"/>
                  </w14:solidFill>
                </w14:textFill>
              </w:rPr>
              <w:t>技术</w:t>
            </w:r>
            <w: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t>需求</w:t>
            </w:r>
          </w:p>
        </w:tc>
        <w:tc>
          <w:tcPr>
            <w:tcW w:w="1083"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单价</w:t>
            </w:r>
          </w:p>
        </w:tc>
        <w:tc>
          <w:tcPr>
            <w:tcW w:w="1083"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t>金额</w:t>
            </w:r>
          </w:p>
        </w:tc>
        <w:tc>
          <w:tcPr>
            <w:tcW w:w="1083"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t>是否响应</w:t>
            </w:r>
          </w:p>
        </w:tc>
        <w:tc>
          <w:tcPr>
            <w:tcW w:w="1146"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（含单兵、班战术）</w:t>
            </w: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作战迷彩帽</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0"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材质：锦纶，</w:t>
            </w:r>
            <w:r>
              <w:rPr>
                <w:rFonts w:hint="eastAsia" w:ascii="仿宋_GB2312" w:hAnsi="仿宋_GB2312" w:eastAsia="仿宋_GB2312" w:cs="仿宋_GB2312"/>
                <w:i w:val="0"/>
                <w:iCs w:val="0"/>
                <w:caps w:val="0"/>
                <w:color w:val="000000" w:themeColor="text1"/>
                <w:spacing w:val="0"/>
                <w:sz w:val="21"/>
                <w:szCs w:val="21"/>
                <w:highlight w:val="none"/>
                <w:shd w:val="clear" w:color="auto" w:fill="FFFFFF"/>
                <w14:textFill>
                  <w14:solidFill>
                    <w14:schemeClr w14:val="tx1"/>
                  </w14:solidFill>
                </w14:textFill>
              </w:rPr>
              <w:t>帽顶款式：平顶</w:t>
            </w:r>
            <w:r>
              <w:rPr>
                <w:rFonts w:hint="eastAsia" w:ascii="仿宋_GB2312" w:hAnsi="仿宋_GB2312" w:eastAsia="仿宋_GB2312" w:cs="仿宋_GB2312"/>
                <w:i w:val="0"/>
                <w:iCs w:val="0"/>
                <w:caps w:val="0"/>
                <w:color w:val="000000" w:themeColor="text1"/>
                <w:spacing w:val="0"/>
                <w:sz w:val="21"/>
                <w:szCs w:val="21"/>
                <w:highlight w:val="none"/>
                <w:shd w:val="clear" w:color="auto" w:fill="FFFFFF"/>
                <w:lang w:eastAsia="zh-CN"/>
                <w14:textFill>
                  <w14:solidFill>
                    <w14:schemeClr w14:val="tx1"/>
                  </w14:solidFill>
                </w14:textFill>
              </w:rPr>
              <w:t>，帽檐款式：短檐，头围</w:t>
            </w:r>
            <w:r>
              <w:rPr>
                <w:rFonts w:hint="eastAsia" w:ascii="仿宋_GB2312" w:hAnsi="仿宋_GB2312" w:eastAsia="仿宋_GB2312" w:cs="仿宋_GB2312"/>
                <w:i w:val="0"/>
                <w:iCs w:val="0"/>
                <w:caps w:val="0"/>
                <w:color w:val="000000" w:themeColor="text1"/>
                <w:spacing w:val="0"/>
                <w:sz w:val="21"/>
                <w:szCs w:val="21"/>
                <w:highlight w:val="none"/>
                <w:shd w:val="clear" w:color="auto" w:fill="FFFFFF"/>
                <w:lang w:val="en-US" w:eastAsia="zh-CN"/>
                <w14:textFill>
                  <w14:solidFill>
                    <w14:schemeClr w14:val="tx1"/>
                  </w14:solidFill>
                </w14:textFill>
              </w:rPr>
              <w:t>56-61cm，可根据学生情况选择合适尺码</w:t>
            </w: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脸部伪装油彩</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盒</w:t>
            </w:r>
          </w:p>
        </w:tc>
        <w:tc>
          <w:tcPr>
            <w:tcW w:w="4900"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盒装、塑料旋转管，每盒3支包含黑色、军绿色、棕色3种颜色，每盒重量450克（±2%），不伤肤</w:t>
            </w: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石灰粉</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袋</w:t>
            </w:r>
          </w:p>
        </w:tc>
        <w:tc>
          <w:tcPr>
            <w:tcW w:w="4900" w:type="dxa"/>
            <w:noWrap w:val="0"/>
            <w:vAlign w:val="center"/>
          </w:tcPr>
          <w:p>
            <w:pPr>
              <w:keepNext w:val="0"/>
              <w:keepLines w:val="0"/>
              <w:widowControl/>
              <w:suppressLineNumbers w:val="0"/>
              <w:spacing w:before="0" w:beforeAutospacing="0" w:after="0" w:afterAutospacing="0"/>
              <w:ind w:left="0" w:right="0" w:firstLine="420" w:firstLineChars="20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生石灰，每袋＞5斤</w:t>
            </w: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ind w:left="0" w:right="0" w:firstLine="420" w:firstLineChars="20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子弹袋</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0"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户外战术双联弹夹袋，9mm弹夹腰挂包，两联子弹包，用于大学生军训训练，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战术手套</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双</w:t>
            </w:r>
          </w:p>
        </w:tc>
        <w:tc>
          <w:tcPr>
            <w:tcW w:w="4900"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仿真手榴弹</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0"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用于大学生军训训练，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格斗基础</w:t>
            </w: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pvc管</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根</w:t>
            </w:r>
          </w:p>
        </w:tc>
        <w:tc>
          <w:tcPr>
            <w:tcW w:w="4900"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每根长110cm（±2%），直径5cm（±5mm）</w:t>
            </w: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护膝护肘</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双</w:t>
            </w:r>
          </w:p>
        </w:tc>
        <w:tc>
          <w:tcPr>
            <w:tcW w:w="4900"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海绵防撞，</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仿真匕首</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300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把</w:t>
            </w:r>
          </w:p>
        </w:tc>
        <w:tc>
          <w:tcPr>
            <w:tcW w:w="4900"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橡胶材质，总长26cm（±5mm），刀刃14cm（±5mm），符合本项目大学生军事技能训练要求</w:t>
            </w: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战场医疗救护</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核生化防护</w:t>
            </w: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急救背囊</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0"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容量≥</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70升，</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用于大学生军训训练，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固定夹板</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0"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460mm</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110mm急救卷式夹板，高分子固定夹板，防水，附体性好，随意弯曲，用于大学生军训训练，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急救担架</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0"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可折叠，承重≥300斤，符合本项目大学生军事技能训练要求</w:t>
            </w: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防毒服</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套</w:t>
            </w:r>
          </w:p>
        </w:tc>
        <w:tc>
          <w:tcPr>
            <w:tcW w:w="4900"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耐老化，耐磨损，适用于化工品处理、工业废水废物处理、医疗防疫、农业喷洒、下水道检修等，可根据学生身高体重配备适合的码数，符合本项目大学生军事技能训练要求</w:t>
            </w: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防毒面具</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0"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可保护人的呼吸器官、眼睛和面部，防止毒气、粉尘、细菌、有毒有害气体或蒸汽等有毒物质伤害，符合本项目大学生军事技能训练要求</w:t>
            </w: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both"/>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三角巾</w:t>
            </w:r>
          </w:p>
        </w:tc>
        <w:tc>
          <w:tcPr>
            <w:tcW w:w="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600</w:t>
            </w:r>
          </w:p>
        </w:tc>
        <w:tc>
          <w:tcPr>
            <w:tcW w:w="625"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包</w:t>
            </w:r>
          </w:p>
        </w:tc>
        <w:tc>
          <w:tcPr>
            <w:tcW w:w="4900"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三角巾急救包（82型），每包重量60克（±2%），压缩灭菌，可作为固定夹板、敷料和代替止血带使用，可保护伤口，减少感染，压迫止血，固定骨折，减少疼痛，符合本项目大学生军事技能训练要求</w:t>
            </w: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0" w:type="dxa"/>
            <w:gridSpan w:val="6"/>
            <w:noWrap/>
            <w:vAlign w:val="center"/>
          </w:tcPr>
          <w:p>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t>2、租赁部分的货物</w:t>
            </w:r>
          </w:p>
        </w:tc>
        <w:tc>
          <w:tcPr>
            <w:tcW w:w="1083" w:type="dxa"/>
            <w:noWrap/>
            <w:vAlign w:val="center"/>
          </w:tcPr>
          <w:p>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序号</w:t>
            </w:r>
          </w:p>
        </w:tc>
        <w:tc>
          <w:tcPr>
            <w:tcW w:w="148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t>科目</w:t>
            </w:r>
          </w:p>
        </w:tc>
        <w:tc>
          <w:tcPr>
            <w:tcW w:w="1313"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t>货物</w:t>
            </w: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名称</w:t>
            </w:r>
          </w:p>
        </w:tc>
        <w:tc>
          <w:tcPr>
            <w:tcW w:w="563"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0"/>
                <w:sz w:val="21"/>
                <w:szCs w:val="21"/>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数量</w:t>
            </w:r>
          </w:p>
        </w:tc>
        <w:tc>
          <w:tcPr>
            <w:tcW w:w="62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eastAsia="zh-CN"/>
                <w14:textFill>
                  <w14:solidFill>
                    <w14:schemeClr w14:val="tx1"/>
                  </w14:solidFill>
                </w14:textFill>
              </w:rPr>
              <w:t>单位</w:t>
            </w:r>
          </w:p>
        </w:tc>
        <w:tc>
          <w:tcPr>
            <w:tcW w:w="4900"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t>技术需求</w:t>
            </w:r>
          </w:p>
        </w:tc>
        <w:tc>
          <w:tcPr>
            <w:tcW w:w="1083"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轻武器射击</w:t>
            </w: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激光射击系统</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套</w:t>
            </w:r>
          </w:p>
        </w:tc>
        <w:tc>
          <w:tcPr>
            <w:tcW w:w="4900" w:type="dxa"/>
            <w:noWrap/>
            <w:vAlign w:val="center"/>
          </w:tcPr>
          <w:p>
            <w:pPr>
              <w:keepNext w:val="0"/>
              <w:keepLines w:val="0"/>
              <w:widowControl/>
              <w:numPr>
                <w:ilvl w:val="0"/>
                <w:numId w:val="2"/>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基本要求：建设步枪仿真模拟射击靶场，用于学生军训射击科目的训练和考核。按照部队步枪射击第一练习的要求构建靶场的各个元素，包括95式仿真枪模、半身胸环靶、枪膛活塞式往复后坐力（非震动电机）、智能报靶等；同时系统必须具备全天候准确报靶、监控、成绩统计查询、易于操作维护、能连续稳定工作等功能和特点。靶场设备便携化，主机、靶箱、报靶器、枪模各自集成在装备箱中，安装简便、连线方便。目标靶箱由电池供电，一次充电使用时间大于8小时。                                                       （2）基本参数：                                                  ①95式仿真ABS塑料枪模，含铝合金便携箱，枪架，充电器：步枪长度76cm（±5mm），重量2.5公斤（±2%），枪管为机加工钢管，枪身为ABS工程塑料。含控制器、激光头。                          </w:t>
            </w:r>
          </w:p>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②射手报靶器：12寸，4:3液晶交流供电，有线网络连接。                                              ③一体化激光专用摄像头：含摄像头、长焦变焦镜头、防尘罩、安装底座、支架等。                                          ④标准靶，含安装支架，军用半身标准靶，靶尺寸50cm*50cm（±5mm），多层532nm绿激光敏感反光材料刻制。</w:t>
            </w:r>
          </w:p>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⑤便携式靶场主机，含铝合金拉杆箱，工控主板含4-5个PCI卡槽，25针并行口，15路视频采集卡，击发无线接收器，打靶系统软件U盾等。                                                       ⑥音响功放：拉杆箱式便携音响，功率大于100W。</w:t>
            </w:r>
          </w:p>
        </w:tc>
        <w:tc>
          <w:tcPr>
            <w:tcW w:w="1083"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瞄准景况教具（胸环靶）</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20×10CM</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±5mm</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8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95式可拆卸教学用枪</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150</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橡胶材质，重量3.5公斤（±2%），尺寸长75cm</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±5mm</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8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检查瞄准镜</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150</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0"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95式瞄准镜，</w:t>
            </w:r>
            <w:r>
              <w:rPr>
                <w:rFonts w:hint="eastAsia" w:ascii="仿宋_GB2312" w:hAnsi="仿宋_GB2312" w:eastAsia="仿宋_GB2312" w:cs="仿宋_GB2312"/>
                <w:color w:val="000000" w:themeColor="text1"/>
                <w:sz w:val="21"/>
                <w:szCs w:val="21"/>
                <w:highlight w:val="none"/>
                <w14:textFill>
                  <w14:solidFill>
                    <w14:schemeClr w14:val="tx1"/>
                  </w14:solidFill>
                </w14:textFill>
              </w:rPr>
              <w:t>符合</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本项目</w:t>
            </w:r>
            <w:r>
              <w:rPr>
                <w:rFonts w:hint="eastAsia" w:ascii="仿宋_GB2312" w:hAnsi="仿宋_GB2312" w:eastAsia="仿宋_GB2312" w:cs="仿宋_GB2312"/>
                <w:color w:val="000000" w:themeColor="text1"/>
                <w:sz w:val="21"/>
                <w:szCs w:val="21"/>
                <w:highlight w:val="none"/>
                <w14:textFill>
                  <w14:solidFill>
                    <w14:schemeClr w14:val="tx1"/>
                  </w14:solidFill>
                </w14:textFill>
              </w:rPr>
              <w:t>大学生军事技能训练要求</w:t>
            </w:r>
          </w:p>
        </w:tc>
        <w:tc>
          <w:tcPr>
            <w:tcW w:w="1083"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083"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083"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146"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95式模拟枪</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300</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0"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橡胶材质，重量3.5公斤（±2%），尺寸长75cm</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±5mm</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（含单兵、班战术）</w:t>
            </w: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模拟战术基础匍匐网</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套</w:t>
            </w:r>
          </w:p>
        </w:tc>
        <w:tc>
          <w:tcPr>
            <w:tcW w:w="4900"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钢结构，每套包括10m×0.4m、10m×0.3m两种规格，加装带刺铁丝，符合本项目大学生军事技能训练要求</w:t>
            </w: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模拟蛇腹铁丝网</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套</w:t>
            </w:r>
          </w:p>
        </w:tc>
        <w:tc>
          <w:tcPr>
            <w:tcW w:w="4900" w:type="dxa"/>
            <w:noWrap/>
            <w:vAlign w:val="center"/>
          </w:tcPr>
          <w:p>
            <w:pPr>
              <w:keepNext w:val="0"/>
              <w:keepLines w:val="0"/>
              <w:widowControl w:val="0"/>
              <w:suppressLineNumbers w:val="0"/>
              <w:spacing w:before="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蛇腹型模拟铁丝网</w:t>
            </w:r>
            <w:r>
              <w:rPr>
                <w:rFonts w:hint="eastAsia" w:ascii="仿宋_GB2312" w:hAnsi="仿宋_GB2312" w:eastAsia="仿宋_GB2312" w:cs="仿宋_GB2312"/>
                <w:color w:val="000000" w:themeColor="text1"/>
                <w:kern w:val="0"/>
                <w:sz w:val="21"/>
                <w:szCs w:val="21"/>
                <w:highlight w:val="none"/>
                <w:lang w:eastAsia="zh-CN" w:bidi="ar"/>
                <w14:textFill>
                  <w14:solidFill>
                    <w14:schemeClr w14:val="tx1"/>
                  </w14:solidFill>
                </w14:textFill>
              </w:rPr>
              <w:t>，每套</w:t>
            </w: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1</w:t>
            </w:r>
            <w:r>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t>节(1节10米)，</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83" w:type="dxa"/>
            <w:noWrap/>
            <w:vAlign w:val="center"/>
          </w:tcPr>
          <w:p>
            <w:pPr>
              <w:keepNext w:val="0"/>
              <w:keepLines w:val="0"/>
              <w:widowControl w:val="0"/>
              <w:suppressLineNumbers w:val="0"/>
              <w:spacing w:before="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p>
        </w:tc>
        <w:tc>
          <w:tcPr>
            <w:tcW w:w="1083" w:type="dxa"/>
            <w:noWrap/>
            <w:vAlign w:val="center"/>
          </w:tcPr>
          <w:p>
            <w:pPr>
              <w:keepNext w:val="0"/>
              <w:keepLines w:val="0"/>
              <w:widowControl w:val="0"/>
              <w:suppressLineNumbers w:val="0"/>
              <w:spacing w:before="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p>
        </w:tc>
        <w:tc>
          <w:tcPr>
            <w:tcW w:w="1083" w:type="dxa"/>
            <w:noWrap/>
            <w:vAlign w:val="center"/>
          </w:tcPr>
          <w:p>
            <w:pPr>
              <w:keepNext w:val="0"/>
              <w:keepLines w:val="0"/>
              <w:widowControl w:val="0"/>
              <w:suppressLineNumbers w:val="0"/>
              <w:spacing w:before="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p>
        </w:tc>
        <w:tc>
          <w:tcPr>
            <w:tcW w:w="1146" w:type="dxa"/>
            <w:noWrap/>
            <w:vAlign w:val="center"/>
          </w:tcPr>
          <w:p>
            <w:pPr>
              <w:keepNext w:val="0"/>
              <w:keepLines w:val="0"/>
              <w:widowControl w:val="0"/>
              <w:suppressLineNumbers w:val="0"/>
              <w:spacing w:before="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left"/>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战术伪装网</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0" w:type="dxa"/>
            <w:noWrap/>
            <w:vAlign w:val="center"/>
          </w:tcPr>
          <w:p>
            <w:pPr>
              <w:keepNext w:val="0"/>
              <w:keepLines w:val="0"/>
              <w:widowControl w:val="0"/>
              <w:suppressLineNumbers w:val="0"/>
              <w:spacing w:before="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t>双层包边10m×20m/每个</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，用于大学生军训训练，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83" w:type="dxa"/>
            <w:noWrap/>
            <w:vAlign w:val="center"/>
          </w:tcPr>
          <w:p>
            <w:pPr>
              <w:keepNext w:val="0"/>
              <w:keepLines w:val="0"/>
              <w:widowControl w:val="0"/>
              <w:suppressLineNumbers w:val="0"/>
              <w:spacing w:before="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pPr>
          </w:p>
        </w:tc>
        <w:tc>
          <w:tcPr>
            <w:tcW w:w="1083" w:type="dxa"/>
            <w:noWrap/>
            <w:vAlign w:val="center"/>
          </w:tcPr>
          <w:p>
            <w:pPr>
              <w:keepNext w:val="0"/>
              <w:keepLines w:val="0"/>
              <w:widowControl w:val="0"/>
              <w:suppressLineNumbers w:val="0"/>
              <w:spacing w:before="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pPr>
          </w:p>
        </w:tc>
        <w:tc>
          <w:tcPr>
            <w:tcW w:w="1083" w:type="dxa"/>
            <w:noWrap/>
            <w:vAlign w:val="center"/>
          </w:tcPr>
          <w:p>
            <w:pPr>
              <w:keepNext w:val="0"/>
              <w:keepLines w:val="0"/>
              <w:widowControl w:val="0"/>
              <w:suppressLineNumbers w:val="0"/>
              <w:spacing w:before="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pPr>
          </w:p>
        </w:tc>
        <w:tc>
          <w:tcPr>
            <w:tcW w:w="1146" w:type="dxa"/>
            <w:noWrap/>
            <w:vAlign w:val="center"/>
          </w:tcPr>
          <w:p>
            <w:pPr>
              <w:keepNext w:val="0"/>
              <w:keepLines w:val="0"/>
              <w:widowControl w:val="0"/>
              <w:suppressLineNumbers w:val="0"/>
              <w:spacing w:before="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仿真迫击炮</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0"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肩扛式、符合本项目大学生军事技能训练要求、可模拟发射声光弹</w:t>
            </w: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仿真火箭筒</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82式模拟高校学生军训标准迫击炮，可模拟发射声光弹</w:t>
            </w:r>
          </w:p>
        </w:tc>
        <w:tc>
          <w:tcPr>
            <w:tcW w:w="108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仿真重机枪</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挺</w:t>
            </w:r>
          </w:p>
        </w:tc>
        <w:tc>
          <w:tcPr>
            <w:tcW w:w="4900"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用于大学生军训训练，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83"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战备拉练</w:t>
            </w: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信号旗</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面</w:t>
            </w:r>
          </w:p>
        </w:tc>
        <w:tc>
          <w:tcPr>
            <w:tcW w:w="4900"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棉布面料，旗面尺寸36×30cm（±5mm），含塑料柄，符合本项目大学生军事技能训练要求</w:t>
            </w: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一次性消耗品</w:t>
            </w: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仿真发烟弹</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210</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发</w:t>
            </w:r>
          </w:p>
        </w:tc>
        <w:tc>
          <w:tcPr>
            <w:tcW w:w="4900"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烟雾弹、信号发烟弹</w:t>
            </w: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bidi="ar"/>
                <w14:textFill>
                  <w14:solidFill>
                    <w14:schemeClr w14:val="tx1"/>
                  </w14:solidFill>
                </w14:textFill>
              </w:rPr>
              <w:t>卡式止血带</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300</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0" w:type="dxa"/>
            <w:noWrap/>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规格：</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2.5×40cm（±5mm），由卡扣、榫头、松紧带和封头组成</w:t>
            </w:r>
          </w:p>
        </w:tc>
        <w:tc>
          <w:tcPr>
            <w:tcW w:w="1083" w:type="dxa"/>
            <w:noWrap/>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083" w:type="dxa"/>
            <w:noWrap/>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083" w:type="dxa"/>
            <w:noWrap/>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146" w:type="dxa"/>
            <w:noWrap/>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1"/>
              </w:numPr>
              <w:suppressLineNumbers w:val="0"/>
              <w:tabs>
                <w:tab w:val="left" w:pos="-200"/>
                <w:tab w:val="clear" w:pos="0"/>
              </w:tabs>
              <w:spacing w:before="0" w:beforeAutospacing="0" w:after="0" w:afterAutospacing="0" w:line="360" w:lineRule="auto"/>
              <w:ind w:left="210" w:leftChars="0" w:right="0" w:firstLine="0" w:firstLineChars="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487"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3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仿真火箭筒及迫击炮弹药</w:t>
            </w:r>
          </w:p>
        </w:tc>
        <w:tc>
          <w:tcPr>
            <w:tcW w:w="56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200</w:t>
            </w:r>
          </w:p>
        </w:tc>
        <w:tc>
          <w:tcPr>
            <w:tcW w:w="62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套</w:t>
            </w:r>
          </w:p>
        </w:tc>
        <w:tc>
          <w:tcPr>
            <w:tcW w:w="4900"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与仿真火箭筒和仿真迫击炮配套使用，</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用于大学生军训训练，符合本项目</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大学生军事技能训练要求</w:t>
            </w:r>
          </w:p>
        </w:tc>
        <w:tc>
          <w:tcPr>
            <w:tcW w:w="1083"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83"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46"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right="0" w:rightChars="0"/>
              <w:jc w:val="both"/>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小计</w:t>
            </w:r>
          </w:p>
        </w:tc>
        <w:tc>
          <w:tcPr>
            <w:tcW w:w="13283" w:type="dxa"/>
            <w:gridSpan w:val="9"/>
            <w:noWrap w:val="0"/>
            <w:vAlign w:val="center"/>
          </w:tcPr>
          <w:p>
            <w:pPr>
              <w:keepNext w:val="0"/>
              <w:keepLines w:val="0"/>
              <w:widowControl/>
              <w:suppressLineNumbers w:val="0"/>
              <w:spacing w:before="0" w:beforeAutospacing="0" w:after="0" w:afterAutospacing="0" w:line="360" w:lineRule="auto"/>
              <w:ind w:left="0" w:leftChars="0" w:right="0" w:firstLine="482"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bCs/>
                <w:kern w:val="0"/>
                <w:sz w:val="24"/>
                <w:szCs w:val="24"/>
              </w:rPr>
              <w:t>（大写）人民币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5" w:type="dxa"/>
            <w:gridSpan w:val="10"/>
            <w:noWrap/>
            <w:vAlign w:val="center"/>
          </w:tcPr>
          <w:p>
            <w:pPr>
              <w:keepNext w:val="0"/>
              <w:keepLines w:val="0"/>
              <w:widowControl/>
              <w:suppressLineNumbers w:val="0"/>
              <w:spacing w:before="0" w:beforeAutospacing="0" w:after="0" w:afterAutospacing="0" w:line="360" w:lineRule="auto"/>
              <w:ind w:right="0"/>
              <w:jc w:val="left"/>
              <w:textAlignment w:val="center"/>
              <w:rPr>
                <w:rFonts w:hint="eastAsia" w:ascii="宋体" w:hAnsi="宋体" w:cs="宋体"/>
                <w:b/>
                <w:bCs/>
                <w:kern w:val="0"/>
                <w:sz w:val="24"/>
                <w:szCs w:val="24"/>
              </w:rPr>
            </w:pPr>
            <w:r>
              <w:rPr>
                <w:rFonts w:hint="eastAsia" w:ascii="黑体" w:hAnsi="黑体" w:eastAsia="黑体" w:cs="黑体"/>
                <w:b w:val="0"/>
                <w:bCs/>
                <w:kern w:val="0"/>
                <w:sz w:val="30"/>
                <w:szCs w:val="30"/>
              </w:rPr>
              <w:t>202</w:t>
            </w:r>
            <w:r>
              <w:rPr>
                <w:rFonts w:hint="eastAsia" w:ascii="黑体" w:hAnsi="黑体" w:eastAsia="黑体" w:cs="黑体"/>
                <w:b w:val="0"/>
                <w:bCs/>
                <w:kern w:val="0"/>
                <w:sz w:val="30"/>
                <w:szCs w:val="30"/>
                <w:lang w:val="en-US" w:eastAsia="zh-CN"/>
              </w:rPr>
              <w:t>3级学生</w:t>
            </w:r>
            <w:r>
              <w:rPr>
                <w:rFonts w:hint="eastAsia" w:ascii="黑体" w:hAnsi="黑体" w:eastAsia="黑体" w:cs="黑体"/>
                <w:b w:val="0"/>
                <w:bCs/>
                <w:kern w:val="0"/>
                <w:sz w:val="30"/>
                <w:szCs w:val="30"/>
                <w:lang w:eastAsia="zh-CN"/>
              </w:rPr>
              <w:t>军训器械设备</w:t>
            </w:r>
          </w:p>
        </w:tc>
      </w:tr>
    </w:tbl>
    <w:tbl>
      <w:tblPr>
        <w:tblStyle w:val="6"/>
        <w:tblpPr w:leftFromText="180" w:rightFromText="180" w:vertAnchor="text" w:horzAnchor="page" w:tblpX="1673" w:tblpY="975"/>
        <w:tblOverlap w:val="never"/>
        <w:tblW w:w="13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18"/>
        <w:gridCol w:w="1291"/>
        <w:gridCol w:w="614"/>
        <w:gridCol w:w="585"/>
        <w:gridCol w:w="4905"/>
        <w:gridCol w:w="1095"/>
        <w:gridCol w:w="1065"/>
        <w:gridCol w:w="109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72" w:type="dxa"/>
            <w:gridSpan w:val="10"/>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1、采购部分的货物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序号</w:t>
            </w:r>
          </w:p>
        </w:tc>
        <w:tc>
          <w:tcPr>
            <w:tcW w:w="141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t>科目</w:t>
            </w:r>
          </w:p>
        </w:tc>
        <w:tc>
          <w:tcPr>
            <w:tcW w:w="129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t>货物</w:t>
            </w: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名称</w:t>
            </w:r>
          </w:p>
        </w:tc>
        <w:tc>
          <w:tcPr>
            <w:tcW w:w="61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数量</w:t>
            </w:r>
          </w:p>
        </w:tc>
        <w:tc>
          <w:tcPr>
            <w:tcW w:w="58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eastAsia="zh-CN"/>
                <w14:textFill>
                  <w14:solidFill>
                    <w14:schemeClr w14:val="tx1"/>
                  </w14:solidFill>
                </w14:textFill>
              </w:rPr>
              <w:t>单位</w:t>
            </w:r>
          </w:p>
        </w:tc>
        <w:tc>
          <w:tcPr>
            <w:tcW w:w="490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t>技术需求</w:t>
            </w:r>
          </w:p>
        </w:tc>
        <w:tc>
          <w:tcPr>
            <w:tcW w:w="10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w:t>
            </w:r>
          </w:p>
        </w:tc>
        <w:tc>
          <w:tcPr>
            <w:tcW w:w="1418"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（含单兵、班战术）</w:t>
            </w: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作战迷彩帽</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材质：锦纶，帽顶款式：平顶，帽檐款式：短檐，</w:t>
            </w:r>
            <w:r>
              <w:rPr>
                <w:rFonts w:hint="eastAsia" w:ascii="仿宋_GB2312" w:hAnsi="仿宋_GB2312" w:eastAsia="仿宋_GB2312" w:cs="仿宋_GB2312"/>
                <w:i w:val="0"/>
                <w:iCs w:val="0"/>
                <w:caps w:val="0"/>
                <w:color w:val="000000" w:themeColor="text1"/>
                <w:spacing w:val="0"/>
                <w:sz w:val="21"/>
                <w:szCs w:val="21"/>
                <w:highlight w:val="none"/>
                <w:shd w:val="clear" w:color="auto" w:fill="FFFFFF"/>
                <w:lang w:eastAsia="zh-CN"/>
                <w14:textFill>
                  <w14:solidFill>
                    <w14:schemeClr w14:val="tx1"/>
                  </w14:solidFill>
                </w14:textFill>
              </w:rPr>
              <w:t>头围</w:t>
            </w:r>
            <w:r>
              <w:rPr>
                <w:rFonts w:hint="eastAsia" w:ascii="仿宋_GB2312" w:hAnsi="仿宋_GB2312" w:eastAsia="仿宋_GB2312" w:cs="仿宋_GB2312"/>
                <w:i w:val="0"/>
                <w:iCs w:val="0"/>
                <w:caps w:val="0"/>
                <w:color w:val="000000" w:themeColor="text1"/>
                <w:spacing w:val="0"/>
                <w:sz w:val="21"/>
                <w:szCs w:val="21"/>
                <w:highlight w:val="none"/>
                <w:shd w:val="clear" w:color="auto" w:fill="FFFFFF"/>
                <w:lang w:val="en-US" w:eastAsia="zh-CN"/>
                <w14:textFill>
                  <w14:solidFill>
                    <w14:schemeClr w14:val="tx1"/>
                  </w14:solidFill>
                </w14:textFill>
              </w:rPr>
              <w:t>56-61cm，可根据学生情况选择合适尺码</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2</w:t>
            </w:r>
          </w:p>
        </w:tc>
        <w:tc>
          <w:tcPr>
            <w:tcW w:w="141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脸部伪装油彩</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盒</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盒装、塑料旋转管，</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每盒3支</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包含黑色、军绿色、棕色3种颜色</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，每盒重量450克（±2%），不伤肤</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3</w:t>
            </w:r>
          </w:p>
        </w:tc>
        <w:tc>
          <w:tcPr>
            <w:tcW w:w="141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石灰粉</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袋</w:t>
            </w:r>
          </w:p>
        </w:tc>
        <w:tc>
          <w:tcPr>
            <w:tcW w:w="490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生石灰，每袋＞5斤</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4</w:t>
            </w:r>
          </w:p>
        </w:tc>
        <w:tc>
          <w:tcPr>
            <w:tcW w:w="141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仿真手榴弹</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用于大学生军训训练，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4</w:t>
            </w:r>
          </w:p>
        </w:tc>
        <w:tc>
          <w:tcPr>
            <w:tcW w:w="1418"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战场医疗救护</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核生化防护</w:t>
            </w: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防毒服</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套</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耐老化，耐磨损，耐老化，耐磨损，适用于化工品处理、工业废水废物处理、医疗防疫、农业喷洒、下水道检修等，可根据学生身高体重配备适合的码数，符合本项目大学生军事技能训练要求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5</w:t>
            </w:r>
          </w:p>
        </w:tc>
        <w:tc>
          <w:tcPr>
            <w:tcW w:w="141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防毒面具</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可保护人的呼吸器官、眼睛和面部，防止毒气、粉尘、细菌、有毒有害气体或蒸汽等有毒物质伤害，符合本项目大学生军事技能训练要求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7</w:t>
            </w:r>
          </w:p>
        </w:tc>
        <w:tc>
          <w:tcPr>
            <w:tcW w:w="141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三角巾</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700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包</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三角巾急救包（82型），每包重量60（±2%），压缩灭菌，可作为固定夹板、敷料和代替止血带使用，可保护伤口，减少感染，压迫止血，固定骨折，减少疼痛，符合本项目大学生军事技能训练要求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72" w:type="dxa"/>
            <w:gridSpan w:val="10"/>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2、租赁部分的货物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序号</w:t>
            </w:r>
          </w:p>
        </w:tc>
        <w:tc>
          <w:tcPr>
            <w:tcW w:w="141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t>科目</w:t>
            </w:r>
          </w:p>
        </w:tc>
        <w:tc>
          <w:tcPr>
            <w:tcW w:w="129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t>货物</w:t>
            </w: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名称</w:t>
            </w:r>
          </w:p>
        </w:tc>
        <w:tc>
          <w:tcPr>
            <w:tcW w:w="61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数量</w:t>
            </w:r>
          </w:p>
        </w:tc>
        <w:tc>
          <w:tcPr>
            <w:tcW w:w="58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eastAsia="zh-CN"/>
                <w14:textFill>
                  <w14:solidFill>
                    <w14:schemeClr w14:val="tx1"/>
                  </w14:solidFill>
                </w14:textFill>
              </w:rPr>
              <w:t>单位</w:t>
            </w:r>
          </w:p>
        </w:tc>
        <w:tc>
          <w:tcPr>
            <w:tcW w:w="490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t>技术需求</w:t>
            </w:r>
          </w:p>
        </w:tc>
        <w:tc>
          <w:tcPr>
            <w:tcW w:w="10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8</w:t>
            </w:r>
          </w:p>
        </w:tc>
        <w:tc>
          <w:tcPr>
            <w:tcW w:w="1418"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轻武器射击</w:t>
            </w: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激光射击系统</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套</w:t>
            </w:r>
          </w:p>
        </w:tc>
        <w:tc>
          <w:tcPr>
            <w:tcW w:w="4905" w:type="dxa"/>
            <w:noWrap/>
            <w:vAlign w:val="center"/>
          </w:tcPr>
          <w:p>
            <w:pPr>
              <w:keepNext w:val="0"/>
              <w:keepLines w:val="0"/>
              <w:widowControl/>
              <w:numPr>
                <w:ilvl w:val="0"/>
                <w:numId w:val="3"/>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基本要求：建设步枪仿真模拟射击靶场，用于学生军训射击科目的训练和考核。要求按照部队步枪射击第一练习的要求构建靶场的各个元素，包括95式仿真枪模、半身胸环靶、枪膛活塞式往复后坐力（非震动电机）、智能报靶等；同时系统必须具备全天候准确报靶、监控、成绩统计查询、易于操作维护、能连续稳定工作等功能和特点。靶场设备便携化，主机、靶箱、报靶器、枪模各自集成在装备箱中，安装简便、连线方便。目标靶箱由电池供电，一次充电使用时间大于8小时。                                                       （2）基本参数：                                                  ①95式仿真ABS塑料枪模，含铝合金便携箱，枪架，充电器：步枪长度76cm（±5mm），重量2.5公斤（±2%），枪管为机加工钢管，枪身为ABS工程塑料。含控制器、激光头。                          </w:t>
            </w:r>
          </w:p>
          <w:p>
            <w:pPr>
              <w:keepNext w:val="0"/>
              <w:keepLines w:val="0"/>
              <w:widowControl/>
              <w:numPr>
                <w:ilvl w:val="-1"/>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②射手报靶器：12寸，4:3液晶交流供电，有线网络连接。                                              ③一体化激光专用摄像头：含摄像头，长焦变焦镜头，防尘罩，安装底座、支架等。                                          ④标准靶，含安装支架：军用半身标准靶，靶尺寸50cm*50cm（±5mm），多层532nm绿激光敏感反光材料刻制                             </w:t>
            </w:r>
          </w:p>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⑤便携式靶场主机，含铝合金拉杆箱：工控主板含4-5个PCI卡槽，25针并行口，15路视频采集卡，击发无线接收器，打靶系统软件U盾等。                                                       ⑥音响功放：拉杆箱式便携音响，功率大于100W。</w:t>
            </w:r>
          </w:p>
        </w:tc>
        <w:tc>
          <w:tcPr>
            <w:tcW w:w="1095"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9</w:t>
            </w:r>
          </w:p>
        </w:tc>
        <w:tc>
          <w:tcPr>
            <w:tcW w:w="141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瞄准景况教具（胸环靶）</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20×10CM</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±5mm</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10</w:t>
            </w:r>
          </w:p>
        </w:tc>
        <w:tc>
          <w:tcPr>
            <w:tcW w:w="141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95式可拆卸教学用枪</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220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橡胶材质，重量3.5公斤（±2%），尺寸长75cm（±5mm）。</w:t>
            </w:r>
          </w:p>
        </w:tc>
        <w:tc>
          <w:tcPr>
            <w:tcW w:w="109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11</w:t>
            </w:r>
          </w:p>
        </w:tc>
        <w:tc>
          <w:tcPr>
            <w:tcW w:w="141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检查瞄准镜</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95式瞄准镜，</w:t>
            </w:r>
            <w:r>
              <w:rPr>
                <w:rFonts w:hint="eastAsia" w:ascii="仿宋_GB2312" w:hAnsi="仿宋_GB2312" w:eastAsia="仿宋_GB2312" w:cs="仿宋_GB2312"/>
                <w:color w:val="000000" w:themeColor="text1"/>
                <w:sz w:val="21"/>
                <w:szCs w:val="21"/>
                <w:highlight w:val="none"/>
                <w14:textFill>
                  <w14:solidFill>
                    <w14:schemeClr w14:val="tx1"/>
                  </w14:solidFill>
                </w14:textFill>
              </w:rPr>
              <w:t>符合</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本项目</w:t>
            </w:r>
            <w:r>
              <w:rPr>
                <w:rFonts w:hint="eastAsia" w:ascii="仿宋_GB2312" w:hAnsi="仿宋_GB2312" w:eastAsia="仿宋_GB2312" w:cs="仿宋_GB2312"/>
                <w:color w:val="000000" w:themeColor="text1"/>
                <w:sz w:val="21"/>
                <w:szCs w:val="21"/>
                <w:highlight w:val="none"/>
                <w14:textFill>
                  <w14:solidFill>
                    <w14:schemeClr w14:val="tx1"/>
                  </w14:solidFill>
                </w14:textFill>
              </w:rPr>
              <w:t>大学生军事技能训练要求</w:t>
            </w:r>
          </w:p>
        </w:tc>
        <w:tc>
          <w:tcPr>
            <w:tcW w:w="1095" w:type="dxa"/>
            <w:noWrap/>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065" w:type="dxa"/>
            <w:noWrap/>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095" w:type="dxa"/>
            <w:noWrap/>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132" w:type="dxa"/>
            <w:noWrap/>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12</w:t>
            </w:r>
          </w:p>
        </w:tc>
        <w:tc>
          <w:tcPr>
            <w:tcW w:w="141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95式模拟枪</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450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橡胶材质，重量3.5公斤（±2%），尺寸长75cm（±5mm），</w:t>
            </w:r>
            <w:r>
              <w:rPr>
                <w:rFonts w:hint="eastAsia" w:ascii="仿宋_GB2312" w:hAnsi="仿宋_GB2312" w:eastAsia="仿宋_GB2312" w:cs="仿宋_GB2312"/>
                <w:color w:val="000000" w:themeColor="text1"/>
                <w:sz w:val="21"/>
                <w:szCs w:val="21"/>
                <w:highlight w:val="none"/>
                <w14:textFill>
                  <w14:solidFill>
                    <w14:schemeClr w14:val="tx1"/>
                  </w14:solidFill>
                </w14:textFill>
              </w:rPr>
              <w:t>符合</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本项目</w:t>
            </w:r>
            <w:r>
              <w:rPr>
                <w:rFonts w:hint="eastAsia" w:ascii="仿宋_GB2312" w:hAnsi="仿宋_GB2312" w:eastAsia="仿宋_GB2312" w:cs="仿宋_GB2312"/>
                <w:color w:val="000000" w:themeColor="text1"/>
                <w:sz w:val="21"/>
                <w:szCs w:val="21"/>
                <w:highlight w:val="none"/>
                <w14:textFill>
                  <w14:solidFill>
                    <w14:schemeClr w14:val="tx1"/>
                  </w14:solidFill>
                </w14:textFill>
              </w:rPr>
              <w:t>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13</w:t>
            </w:r>
          </w:p>
        </w:tc>
        <w:tc>
          <w:tcPr>
            <w:tcW w:w="1418" w:type="dxa"/>
            <w:vMerge w:val="restart"/>
            <w:noWrap w:val="0"/>
            <w:vAlign w:val="center"/>
          </w:tcPr>
          <w:p>
            <w:pPr>
              <w:keepNext w:val="0"/>
              <w:keepLines w:val="0"/>
              <w:widowControl/>
              <w:suppressLineNumbers w:val="0"/>
              <w:spacing w:before="0" w:beforeAutospacing="0" w:after="0" w:afterAutospacing="0"/>
              <w:ind w:left="0" w:right="0"/>
              <w:jc w:val="center"/>
              <w:textAlignment w:val="top"/>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（含单兵、班战术）</w:t>
            </w: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模拟战术基础匍匐网</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套</w:t>
            </w:r>
          </w:p>
        </w:tc>
        <w:tc>
          <w:tcPr>
            <w:tcW w:w="490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铁丝材质，钢结构，每套包括10m×0.4m，10m×0.3m两种规格，加装带刺铁丝，符合本项目大学生军事技能训练要求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14</w:t>
            </w:r>
          </w:p>
        </w:tc>
        <w:tc>
          <w:tcPr>
            <w:tcW w:w="1418" w:type="dxa"/>
            <w:vMerge w:val="continue"/>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模拟蛇腹铁丝网</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套</w:t>
            </w:r>
          </w:p>
        </w:tc>
        <w:tc>
          <w:tcPr>
            <w:tcW w:w="4905"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蛇腹型模拟铁丝网</w:t>
            </w:r>
            <w:r>
              <w:rPr>
                <w:rFonts w:hint="eastAsia" w:ascii="仿宋_GB2312" w:hAnsi="仿宋_GB2312" w:eastAsia="仿宋_GB2312" w:cs="仿宋_GB2312"/>
                <w:color w:val="000000" w:themeColor="text1"/>
                <w:kern w:val="0"/>
                <w:sz w:val="21"/>
                <w:szCs w:val="21"/>
                <w:highlight w:val="none"/>
                <w:lang w:eastAsia="zh-CN" w:bidi="ar"/>
                <w14:textFill>
                  <w14:solidFill>
                    <w14:schemeClr w14:val="tx1"/>
                  </w14:solidFill>
                </w14:textFill>
              </w:rPr>
              <w:t>，每套</w:t>
            </w: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1</w:t>
            </w:r>
            <w:r>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t>节(1节10米)，</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p>
        </w:tc>
        <w:tc>
          <w:tcPr>
            <w:tcW w:w="1065"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p>
        </w:tc>
        <w:tc>
          <w:tcPr>
            <w:tcW w:w="1095"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p>
        </w:tc>
        <w:tc>
          <w:tcPr>
            <w:tcW w:w="1132"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15</w:t>
            </w:r>
          </w:p>
        </w:tc>
        <w:tc>
          <w:tcPr>
            <w:tcW w:w="1418" w:type="dxa"/>
            <w:vMerge w:val="continue"/>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战术伪装网</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t>双层包边10m×20m/每个</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，用于大学生军训训练，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pPr>
          </w:p>
        </w:tc>
        <w:tc>
          <w:tcPr>
            <w:tcW w:w="1065"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pPr>
          </w:p>
        </w:tc>
        <w:tc>
          <w:tcPr>
            <w:tcW w:w="1095"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pPr>
          </w:p>
        </w:tc>
        <w:tc>
          <w:tcPr>
            <w:tcW w:w="1132"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16</w:t>
            </w:r>
          </w:p>
        </w:tc>
        <w:tc>
          <w:tcPr>
            <w:tcW w:w="1418" w:type="dxa"/>
            <w:vMerge w:val="continue"/>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仿真迫击炮</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肩扛式，符合本项目大学生军事技能训练要求，可模拟发射声光弹</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17</w:t>
            </w:r>
          </w:p>
        </w:tc>
        <w:tc>
          <w:tcPr>
            <w:tcW w:w="1418" w:type="dxa"/>
            <w:vMerge w:val="continue"/>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仿真火箭筒</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82式模拟高校学生军训标准迫击炮，可模拟发射声光弹</w:t>
            </w:r>
          </w:p>
        </w:tc>
        <w:tc>
          <w:tcPr>
            <w:tcW w:w="109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18</w:t>
            </w:r>
          </w:p>
        </w:tc>
        <w:tc>
          <w:tcPr>
            <w:tcW w:w="1418" w:type="dxa"/>
            <w:vMerge w:val="continue"/>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仿真重机枪</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挺</w:t>
            </w:r>
          </w:p>
        </w:tc>
        <w:tc>
          <w:tcPr>
            <w:tcW w:w="4905"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用于大学生军训训练，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leftChars="0" w:right="0" w:firstLine="420" w:firstLineChars="20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19</w:t>
            </w:r>
          </w:p>
        </w:tc>
        <w:tc>
          <w:tcPr>
            <w:tcW w:w="14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战备拉练</w:t>
            </w: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信号旗</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面</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棉布面料，旗面尺寸36×30cm（±5mm），含塑料柄，符合本项目大学生军事技能训练要求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both"/>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20</w:t>
            </w:r>
          </w:p>
        </w:tc>
        <w:tc>
          <w:tcPr>
            <w:tcW w:w="1418"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一次性消耗品</w:t>
            </w: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仿真发烟弹</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210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发</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烟雾弹，信号发烟弹</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21</w:t>
            </w:r>
          </w:p>
        </w:tc>
        <w:tc>
          <w:tcPr>
            <w:tcW w:w="141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bidi="ar"/>
                <w14:textFill>
                  <w14:solidFill>
                    <w14:schemeClr w14:val="tx1"/>
                  </w14:solidFill>
                </w14:textFill>
              </w:rPr>
              <w:t>卡式止血带</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300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规格：</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2.5×40cm（±5mm），由卡扣、榫头、松紧带和封头组成</w:t>
            </w:r>
          </w:p>
        </w:tc>
        <w:tc>
          <w:tcPr>
            <w:tcW w:w="1095" w:type="dxa"/>
            <w:noWrap/>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065" w:type="dxa"/>
            <w:noWrap/>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095" w:type="dxa"/>
            <w:noWrap/>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c>
          <w:tcPr>
            <w:tcW w:w="1132" w:type="dxa"/>
            <w:noWrap/>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center"/>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22</w:t>
            </w:r>
          </w:p>
        </w:tc>
        <w:tc>
          <w:tcPr>
            <w:tcW w:w="141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仿真火箭筒及迫击炮弹药</w:t>
            </w:r>
          </w:p>
        </w:tc>
        <w:tc>
          <w:tcPr>
            <w:tcW w:w="61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200</w:t>
            </w:r>
          </w:p>
        </w:tc>
        <w:tc>
          <w:tcPr>
            <w:tcW w:w="585" w:type="dxa"/>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套</w:t>
            </w:r>
          </w:p>
        </w:tc>
        <w:tc>
          <w:tcPr>
            <w:tcW w:w="4905" w:type="dxa"/>
            <w:noWrap/>
            <w:vAlign w:val="center"/>
          </w:tcPr>
          <w:p>
            <w:pPr>
              <w:keepNext w:val="0"/>
              <w:keepLines w:val="0"/>
              <w:widowControl/>
              <w:suppressLineNumbers w:val="0"/>
              <w:spacing w:before="0" w:beforeAutospacing="0" w:after="0" w:afterAutospacing="0" w:line="360" w:lineRule="auto"/>
              <w:ind w:left="0" w:right="0" w:firstLine="630" w:firstLineChars="3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与仿真火箭筒和仿真迫击炮配套使用，</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用于大学生军训训练，符合本项目</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630" w:firstLineChars="3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630" w:firstLineChars="3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630" w:firstLineChars="3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630" w:firstLineChars="3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0" w:leftChars="0" w:right="0" w:rightChars="0" w:firstLine="0" w:firstLineChars="0"/>
              <w:jc w:val="both"/>
              <w:textAlignment w:val="cente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小计</w:t>
            </w:r>
          </w:p>
        </w:tc>
        <w:tc>
          <w:tcPr>
            <w:tcW w:w="13200" w:type="dxa"/>
            <w:gridSpan w:val="9"/>
            <w:noWrap w:val="0"/>
            <w:vAlign w:val="center"/>
          </w:tcPr>
          <w:p>
            <w:pPr>
              <w:keepNext w:val="0"/>
              <w:keepLines w:val="0"/>
              <w:widowControl/>
              <w:suppressLineNumbers w:val="0"/>
              <w:spacing w:before="0" w:beforeAutospacing="0" w:after="0" w:afterAutospacing="0" w:line="360" w:lineRule="auto"/>
              <w:ind w:left="0" w:leftChars="0" w:right="0" w:rightChars="0" w:firstLine="482"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bCs/>
                <w:kern w:val="0"/>
                <w:sz w:val="24"/>
                <w:szCs w:val="24"/>
              </w:rPr>
              <w:t>（大写）人民币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0" w:leftChars="0" w:right="0" w:rightChars="0" w:firstLine="0" w:firstLineChars="0"/>
              <w:jc w:val="both"/>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合计</w:t>
            </w:r>
          </w:p>
        </w:tc>
        <w:tc>
          <w:tcPr>
            <w:tcW w:w="13200" w:type="dxa"/>
            <w:gridSpan w:val="9"/>
            <w:noWrap w:val="0"/>
            <w:vAlign w:val="center"/>
          </w:tcPr>
          <w:p>
            <w:pPr>
              <w:keepNext w:val="0"/>
              <w:keepLines w:val="0"/>
              <w:widowControl/>
              <w:suppressLineNumbers w:val="0"/>
              <w:spacing w:before="0" w:beforeAutospacing="0" w:after="0" w:afterAutospacing="0" w:line="360" w:lineRule="auto"/>
              <w:ind w:left="0" w:leftChars="0" w:right="0" w:rightChars="0" w:firstLine="482" w:firstLineChars="200"/>
              <w:jc w:val="left"/>
              <w:textAlignment w:val="center"/>
              <w:rPr>
                <w:rFonts w:hint="eastAsia" w:ascii="宋体" w:hAnsi="宋体" w:cs="宋体"/>
                <w:b/>
                <w:bCs/>
                <w:kern w:val="0"/>
                <w:sz w:val="24"/>
                <w:szCs w:val="24"/>
              </w:rPr>
            </w:pPr>
            <w:r>
              <w:rPr>
                <w:rFonts w:hint="eastAsia" w:ascii="宋体" w:hAnsi="宋体" w:cs="宋体"/>
                <w:b/>
                <w:bCs/>
                <w:kern w:val="0"/>
                <w:sz w:val="24"/>
                <w:szCs w:val="24"/>
              </w:rPr>
              <w:t>报价合计(包含税费等所用费用)：（大写）人民币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72" w:type="dxa"/>
            <w:gridSpan w:val="10"/>
            <w:noWrap/>
            <w:vAlign w:val="center"/>
          </w:tcPr>
          <w:p>
            <w:pPr>
              <w:keepNext w:val="0"/>
              <w:keepLines w:val="0"/>
              <w:pageBreakBefore w:val="0"/>
              <w:suppressLineNumbers w:val="0"/>
              <w:kinsoku/>
              <w:wordWrap/>
              <w:overflowPunct/>
              <w:topLinePunct w:val="0"/>
              <w:bidi w:val="0"/>
              <w:snapToGrid/>
              <w:spacing w:beforeAutospacing="0" w:afterAutospacing="0" w:line="400" w:lineRule="exact"/>
              <w:ind w:left="0" w:leftChars="0" w:right="0" w:firstLine="420" w:firstLineChars="200"/>
              <w:jc w:val="left"/>
              <w:rPr>
                <w:rFonts w:hint="eastAsia"/>
              </w:rPr>
            </w:pPr>
            <w:r>
              <w:rPr>
                <w:rFonts w:hint="eastAsia"/>
              </w:rPr>
              <w:t>商务响应：</w:t>
            </w:r>
          </w:p>
          <w:p>
            <w:pPr>
              <w:keepNext w:val="0"/>
              <w:keepLines w:val="0"/>
              <w:pageBreakBefore w:val="0"/>
              <w:suppressLineNumbers w:val="0"/>
              <w:kinsoku/>
              <w:wordWrap/>
              <w:overflowPunct/>
              <w:topLinePunct w:val="0"/>
              <w:bidi w:val="0"/>
              <w:snapToGrid/>
              <w:spacing w:beforeAutospacing="0" w:afterAutospacing="0" w:line="400" w:lineRule="exact"/>
              <w:ind w:left="0" w:leftChars="0" w:right="0" w:firstLine="420" w:firstLineChars="200"/>
              <w:jc w:val="left"/>
              <w:rPr>
                <w:rFonts w:hint="eastAsia"/>
                <w:lang w:val="en-US" w:eastAsia="zh-CN"/>
              </w:rPr>
            </w:pPr>
            <w:r>
              <w:rPr>
                <w:rFonts w:hint="eastAsia"/>
                <w:lang w:val="en-US" w:eastAsia="zh-CN"/>
              </w:rPr>
              <w:t>1.交付期限：器械分批次供货，以采购人通知为准。</w:t>
            </w:r>
          </w:p>
          <w:p>
            <w:pPr>
              <w:keepNext w:val="0"/>
              <w:keepLines w:val="0"/>
              <w:pageBreakBefore w:val="0"/>
              <w:widowControl/>
              <w:suppressLineNumbers w:val="0"/>
              <w:kinsoku/>
              <w:wordWrap/>
              <w:overflowPunct/>
              <w:topLinePunct w:val="0"/>
              <w:bidi w:val="0"/>
              <w:snapToGrid/>
              <w:spacing w:beforeAutospacing="0" w:afterAutospacing="0" w:line="400" w:lineRule="exact"/>
              <w:ind w:right="0" w:firstLine="420" w:firstLineChars="200"/>
              <w:jc w:val="left"/>
              <w:textAlignment w:val="center"/>
              <w:rPr>
                <w:rFonts w:hint="eastAsia"/>
                <w:lang w:val="en-US" w:eastAsia="zh-CN"/>
              </w:rPr>
            </w:pPr>
            <w:r>
              <w:rPr>
                <w:rFonts w:hint="eastAsia"/>
                <w:lang w:val="en-US" w:eastAsia="zh-CN"/>
              </w:rPr>
              <w:t>2.服务地点：广西财经学院内采购人指定地点。</w:t>
            </w:r>
          </w:p>
          <w:p>
            <w:pPr>
              <w:keepNext w:val="0"/>
              <w:keepLines w:val="0"/>
              <w:pageBreakBefore w:val="0"/>
              <w:widowControl/>
              <w:suppressLineNumbers w:val="0"/>
              <w:kinsoku/>
              <w:wordWrap/>
              <w:overflowPunct/>
              <w:topLinePunct w:val="0"/>
              <w:bidi w:val="0"/>
              <w:snapToGrid/>
              <w:spacing w:beforeAutospacing="0" w:afterAutospacing="0" w:line="400" w:lineRule="exact"/>
              <w:ind w:right="0" w:firstLine="420" w:firstLineChars="200"/>
              <w:jc w:val="left"/>
              <w:textAlignment w:val="center"/>
              <w:rPr>
                <w:rFonts w:hint="eastAsia"/>
                <w:lang w:val="en-US" w:eastAsia="zh-CN"/>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质保期：</w:t>
            </w:r>
            <w:r>
              <w:rPr>
                <w:rFonts w:hint="eastAsia" w:ascii="宋体" w:hAnsi="宋体" w:eastAsia="宋体" w:cs="宋体"/>
                <w:b w:val="0"/>
                <w:bCs w:val="0"/>
                <w:lang w:val="en-US" w:eastAsia="zh-CN"/>
              </w:rPr>
              <w:t>采购部分的非一次性消耗品</w:t>
            </w:r>
            <w:r>
              <w:rPr>
                <w:rFonts w:hint="eastAsia" w:ascii="宋体" w:hAnsi="宋体" w:eastAsia="宋体" w:cs="宋体"/>
                <w:b w:val="0"/>
                <w:bCs w:val="0"/>
                <w:kern w:val="0"/>
                <w:sz w:val="21"/>
                <w:szCs w:val="21"/>
              </w:rPr>
              <w:t>自双方代表在货物验收单上签字之日起</w:t>
            </w:r>
            <w:r>
              <w:rPr>
                <w:rFonts w:hint="eastAsia" w:ascii="宋体" w:hAnsi="宋体" w:eastAsia="宋体" w:cs="宋体"/>
                <w:b w:val="0"/>
                <w:bCs w:val="0"/>
                <w:color w:val="000000" w:themeColor="text1"/>
                <w:kern w:val="0"/>
                <w:sz w:val="21"/>
                <w:szCs w:val="21"/>
                <w14:textFill>
                  <w14:solidFill>
                    <w14:schemeClr w14:val="tx1"/>
                  </w14:solidFill>
                </w14:textFill>
              </w:rPr>
              <w:t>12</w:t>
            </w:r>
            <w:r>
              <w:rPr>
                <w:rFonts w:hint="eastAsia" w:ascii="宋体" w:hAnsi="宋体" w:eastAsia="宋体" w:cs="宋体"/>
                <w:b w:val="0"/>
                <w:bCs w:val="0"/>
                <w:kern w:val="0"/>
                <w:sz w:val="21"/>
                <w:szCs w:val="21"/>
              </w:rPr>
              <w:t>个月。</w:t>
            </w:r>
          </w:p>
          <w:p>
            <w:pPr>
              <w:keepNext w:val="0"/>
              <w:keepLines w:val="0"/>
              <w:pageBreakBefore w:val="0"/>
              <w:widowControl w:val="0"/>
              <w:suppressLineNumbers w:val="0"/>
              <w:kinsoku/>
              <w:wordWrap/>
              <w:overflowPunct/>
              <w:topLinePunct w:val="0"/>
              <w:bidi w:val="0"/>
              <w:snapToGrid/>
              <w:spacing w:beforeAutospacing="0" w:afterAutospacing="0" w:line="400" w:lineRule="exact"/>
              <w:ind w:right="0" w:firstLine="420" w:firstLineChars="200"/>
              <w:jc w:val="both"/>
              <w:textAlignment w:val="auto"/>
              <w:outlineLvl w:val="9"/>
              <w:rPr>
                <w:rFonts w:hint="eastAsia" w:ascii="宋体" w:hAnsi="宋体" w:cs="宋体"/>
                <w:color w:val="auto"/>
                <w:sz w:val="21"/>
                <w:szCs w:val="21"/>
                <w:highlight w:val="none"/>
                <w:lang w:eastAsia="zh-CN"/>
              </w:rPr>
            </w:pPr>
            <w:r>
              <w:rPr>
                <w:rFonts w:hint="eastAsia"/>
                <w:lang w:val="en-US" w:eastAsia="zh-CN"/>
              </w:rPr>
              <w:t>4.</w:t>
            </w:r>
            <w:r>
              <w:rPr>
                <w:rFonts w:hint="eastAsia" w:ascii="宋体" w:hAnsi="宋体" w:eastAsia="宋体" w:cs="宋体"/>
                <w:color w:val="auto"/>
                <w:sz w:val="21"/>
                <w:szCs w:val="21"/>
                <w:highlight w:val="none"/>
                <w:lang w:val="en-US" w:eastAsia="zh-CN"/>
              </w:rPr>
              <w:t>采购部分</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售后服务要求</w:t>
            </w:r>
            <w:r>
              <w:rPr>
                <w:rFonts w:hint="eastAsia" w:ascii="宋体" w:hAnsi="宋体" w:cs="宋体"/>
                <w:color w:val="auto"/>
                <w:sz w:val="21"/>
                <w:szCs w:val="21"/>
                <w:highlight w:val="none"/>
                <w:lang w:eastAsia="zh-CN"/>
              </w:rPr>
              <w:t>：</w:t>
            </w:r>
          </w:p>
          <w:p>
            <w:pPr>
              <w:keepNext w:val="0"/>
              <w:keepLines w:val="0"/>
              <w:pageBreakBefore w:val="0"/>
              <w:widowControl w:val="0"/>
              <w:suppressLineNumbers w:val="0"/>
              <w:kinsoku/>
              <w:wordWrap/>
              <w:overflowPunct/>
              <w:topLinePunct w:val="0"/>
              <w:bidi w:val="0"/>
              <w:snapToGrid/>
              <w:spacing w:beforeAutospacing="0" w:afterAutospacing="0" w:line="400" w:lineRule="exact"/>
              <w:ind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采购人遇到使用或技术问题，电话咨询不能解决的，供应商应在</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小时内到达现场进行处理，到达现场后</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小时内排除故障，恢复正常使用。必须按国家及行业标准对故障进行及时处理。</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所供产品必须符合相关国家、地方标准，如采购人发现所提供的产品不符合要求的，有权要求在24小时内进行退换合格产品。</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default"/>
                <w:lang w:val="en-US" w:eastAsia="zh-CN"/>
              </w:rPr>
            </w:pPr>
            <w:r>
              <w:rPr>
                <w:rFonts w:hint="eastAsia" w:ascii="宋体" w:hAnsi="宋体" w:eastAsia="宋体" w:cs="宋体"/>
                <w:color w:val="auto"/>
                <w:kern w:val="0"/>
                <w:sz w:val="21"/>
                <w:szCs w:val="21"/>
                <w:highlight w:val="none"/>
                <w:lang w:val="en-US" w:eastAsia="zh-CN" w:bidi="ar-SA"/>
              </w:rPr>
              <w:t>（4）供应商须提供上门服务，</w:t>
            </w:r>
            <w:r>
              <w:rPr>
                <w:rFonts w:hint="eastAsia" w:ascii="宋体" w:hAnsi="宋体" w:eastAsia="宋体" w:cs="宋体"/>
                <w:color w:val="auto"/>
                <w:kern w:val="0"/>
                <w:sz w:val="21"/>
                <w:szCs w:val="21"/>
                <w:highlight w:val="none"/>
              </w:rPr>
              <w:t>不得以任何理由加收上门服务费</w:t>
            </w:r>
            <w:r>
              <w:rPr>
                <w:rFonts w:hint="eastAsia" w:ascii="宋体" w:hAnsi="宋体" w:eastAsia="宋体" w:cs="宋体"/>
                <w:color w:val="auto"/>
                <w:kern w:val="0"/>
                <w:sz w:val="21"/>
                <w:szCs w:val="21"/>
                <w:highlight w:val="none"/>
                <w:lang w:eastAsia="zh-CN"/>
              </w:rPr>
              <w:t>。</w:t>
            </w:r>
          </w:p>
          <w:p>
            <w:pPr>
              <w:pStyle w:val="2"/>
              <w:keepNext w:val="0"/>
              <w:keepLines w:val="0"/>
              <w:pageBreakBefore w:val="0"/>
              <w:kinsoku/>
              <w:wordWrap/>
              <w:overflowPunct/>
              <w:topLinePunct w:val="0"/>
              <w:bidi w:val="0"/>
              <w:snapToGrid/>
              <w:spacing w:after="0" w:line="400" w:lineRule="exact"/>
              <w:ind w:firstLine="420" w:firstLineChars="200"/>
              <w:rPr>
                <w:rFonts w:hint="eastAsia"/>
                <w:lang w:eastAsia="zh-CN"/>
              </w:rPr>
            </w:pPr>
            <w:r>
              <w:rPr>
                <w:rFonts w:hint="eastAsia"/>
                <w:lang w:val="en-US" w:eastAsia="zh-CN"/>
              </w:rPr>
              <w:t>5.租赁部分的货物每批次的租赁期限为自完成交货、安装、调试并经采购人验收合格之日起至当次军训结束；</w:t>
            </w:r>
            <w:r>
              <w:rPr>
                <w:rFonts w:hint="eastAsia"/>
                <w:lang w:eastAsia="zh-CN"/>
              </w:rPr>
              <w:t>租赁期限满后由供应商自行到采购人指定场地拆除、整理并回收租赁货物。</w:t>
            </w:r>
          </w:p>
          <w:p>
            <w:pPr>
              <w:pStyle w:val="3"/>
              <w:keepNext w:val="0"/>
              <w:keepLines w:val="0"/>
              <w:pageBreakBefore w:val="0"/>
              <w:kinsoku/>
              <w:wordWrap/>
              <w:overflowPunct/>
              <w:topLinePunct w:val="0"/>
              <w:bidi w:val="0"/>
              <w:snapToGrid/>
              <w:spacing w:beforeLines="0" w:afterLines="0" w:line="400" w:lineRule="exact"/>
              <w:ind w:firstLine="420"/>
              <w:rPr>
                <w:rFonts w:hint="eastAsia" w:hAnsi="宋体" w:cs="宋体"/>
                <w:color w:val="auto"/>
                <w:sz w:val="21"/>
                <w:szCs w:val="21"/>
                <w:highlight w:val="none"/>
                <w:lang w:val="en-US" w:eastAsia="zh-CN"/>
              </w:rPr>
            </w:pPr>
            <w:r>
              <w:rPr>
                <w:rFonts w:hint="eastAsia"/>
                <w:lang w:val="en-US" w:eastAsia="zh-CN"/>
              </w:rPr>
              <w:t>6.</w:t>
            </w:r>
            <w:r>
              <w:rPr>
                <w:rFonts w:hint="eastAsia" w:ascii="宋体" w:hAnsi="宋体" w:cs="宋体"/>
                <w:color w:val="auto"/>
                <w:sz w:val="21"/>
                <w:szCs w:val="21"/>
                <w:highlight w:val="none"/>
                <w:lang w:val="en-US" w:eastAsia="zh-CN"/>
              </w:rPr>
              <w:t>租赁部分的货物售后服务要求</w:t>
            </w:r>
            <w:r>
              <w:rPr>
                <w:rFonts w:hint="eastAsia" w:hAnsi="宋体" w:cs="宋体"/>
                <w:color w:val="auto"/>
                <w:sz w:val="21"/>
                <w:szCs w:val="21"/>
                <w:highlight w:val="none"/>
                <w:lang w:val="en-US" w:eastAsia="zh-CN"/>
              </w:rPr>
              <w:t>：</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）现场响应：采购人遇到使用或技术问题，电话咨询不能解决的，供应商应在</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小时内到达现场进行处理，到达现场后</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小时内排除故障，恢复正常使用。必须按国家及行业标准对故障进行及时处理。</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所供产品必须符合相关国家、地方标准，如采购人发现所提供的产品不符合要求的，有权要求在24小时内进行退换。</w:t>
            </w:r>
          </w:p>
          <w:p>
            <w:pPr>
              <w:keepNext w:val="0"/>
              <w:keepLines w:val="0"/>
              <w:pageBreakBefore w:val="0"/>
              <w:suppressLineNumbers w:val="0"/>
              <w:kinsoku/>
              <w:wordWrap/>
              <w:overflowPunct/>
              <w:topLinePunct w:val="0"/>
              <w:bidi w:val="0"/>
              <w:snapToGrid/>
              <w:spacing w:beforeAutospacing="0" w:afterAutospacing="0" w:line="400" w:lineRule="exact"/>
              <w:ind w:left="0" w:right="0"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）供应商须提供上门服务，</w:t>
            </w:r>
            <w:r>
              <w:rPr>
                <w:rFonts w:hint="eastAsia" w:ascii="宋体" w:hAnsi="宋体" w:eastAsia="宋体" w:cs="宋体"/>
                <w:color w:val="auto"/>
                <w:kern w:val="0"/>
                <w:sz w:val="21"/>
                <w:szCs w:val="21"/>
                <w:highlight w:val="none"/>
              </w:rPr>
              <w:t>不得以任何理由加收上门服务费</w:t>
            </w:r>
            <w:r>
              <w:rPr>
                <w:rFonts w:hint="eastAsia" w:ascii="宋体" w:hAnsi="宋体" w:eastAsia="宋体" w:cs="宋体"/>
                <w:color w:val="auto"/>
                <w:kern w:val="0"/>
                <w:sz w:val="21"/>
                <w:szCs w:val="21"/>
                <w:highlight w:val="none"/>
                <w:lang w:eastAsia="zh-CN"/>
              </w:rPr>
              <w:t>。</w:t>
            </w:r>
          </w:p>
          <w:p>
            <w:pPr>
              <w:pStyle w:val="3"/>
              <w:keepNext w:val="0"/>
              <w:keepLines w:val="0"/>
              <w:pageBreakBefore w:val="0"/>
              <w:kinsoku/>
              <w:wordWrap/>
              <w:overflowPunct/>
              <w:topLinePunct w:val="0"/>
              <w:bidi w:val="0"/>
              <w:snapToGrid/>
              <w:spacing w:beforeLines="0" w:afterLines="0" w:line="400" w:lineRule="exact"/>
              <w:ind w:firstLine="420" w:firstLineChars="200"/>
              <w:rPr>
                <w:rFonts w:hint="default" w:hAnsi="宋体" w:cs="宋体"/>
                <w:color w:val="auto"/>
                <w:sz w:val="21"/>
                <w:szCs w:val="21"/>
                <w:highlight w:val="none"/>
                <w:lang w:val="en-US"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eastAsia="zh-CN"/>
              </w:rPr>
              <w:t>）供应商在货物租赁期间应当配合采购人做好军事技能训练期间其所提供的军训器械的技术指导，并负责租赁物的日常管理。</w:t>
            </w:r>
          </w:p>
        </w:tc>
      </w:tr>
    </w:tbl>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报价公司（盖公章）：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法定代表人签字：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报价时间：     年  月  日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 xml:space="preserve"> 联系人及电话：</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74815"/>
    <w:multiLevelType w:val="singleLevel"/>
    <w:tmpl w:val="92874815"/>
    <w:lvl w:ilvl="0" w:tentative="0">
      <w:start w:val="1"/>
      <w:numFmt w:val="decimal"/>
      <w:suff w:val="nothing"/>
      <w:lvlText w:val="（%1）"/>
      <w:lvlJc w:val="left"/>
    </w:lvl>
  </w:abstractNum>
  <w:abstractNum w:abstractNumId="1">
    <w:nsid w:val="ED274F5D"/>
    <w:multiLevelType w:val="singleLevel"/>
    <w:tmpl w:val="ED274F5D"/>
    <w:lvl w:ilvl="0" w:tentative="0">
      <w:start w:val="1"/>
      <w:numFmt w:val="decimal"/>
      <w:suff w:val="space"/>
      <w:lvlText w:val="%1"/>
      <w:lvlJc w:val="left"/>
      <w:pPr>
        <w:tabs>
          <w:tab w:val="left" w:pos="0"/>
        </w:tabs>
        <w:ind w:left="210"/>
      </w:pPr>
      <w:rPr>
        <w:rFonts w:hint="default" w:ascii="宋体" w:hAnsi="宋体" w:eastAsia="宋体" w:cs="Microsoft YaHei UI"/>
      </w:rPr>
    </w:lvl>
  </w:abstractNum>
  <w:abstractNum w:abstractNumId="2">
    <w:nsid w:val="4592F7B9"/>
    <w:multiLevelType w:val="singleLevel"/>
    <w:tmpl w:val="4592F7B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OWM3MDFiNjZhZmE4NWQzY2NkMGJmZDkxYWRjNmIifQ=="/>
  </w:docVars>
  <w:rsids>
    <w:rsidRoot w:val="75A82B76"/>
    <w:rsid w:val="00C00A9E"/>
    <w:rsid w:val="04BD0514"/>
    <w:rsid w:val="17EB3EBE"/>
    <w:rsid w:val="1ADD3E43"/>
    <w:rsid w:val="204213F3"/>
    <w:rsid w:val="20646293"/>
    <w:rsid w:val="25686927"/>
    <w:rsid w:val="27EE7E13"/>
    <w:rsid w:val="29B45034"/>
    <w:rsid w:val="31556940"/>
    <w:rsid w:val="328C5594"/>
    <w:rsid w:val="40D40653"/>
    <w:rsid w:val="47CF0EAE"/>
    <w:rsid w:val="4C2C208C"/>
    <w:rsid w:val="50DD1B6F"/>
    <w:rsid w:val="513756A7"/>
    <w:rsid w:val="52072DED"/>
    <w:rsid w:val="553625CD"/>
    <w:rsid w:val="556D15B7"/>
    <w:rsid w:val="5C491C4D"/>
    <w:rsid w:val="5E616FBB"/>
    <w:rsid w:val="5F714FD5"/>
    <w:rsid w:val="66721579"/>
    <w:rsid w:val="668F6637"/>
    <w:rsid w:val="6893490A"/>
    <w:rsid w:val="71FB452B"/>
    <w:rsid w:val="7298218F"/>
    <w:rsid w:val="75A82B76"/>
    <w:rsid w:val="7647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Default"/>
    <w:unhideWhenUsed/>
    <w:qFormat/>
    <w:uiPriority w:val="0"/>
    <w:pPr>
      <w:widowControl w:val="0"/>
      <w:autoSpaceDE w:val="0"/>
      <w:autoSpaceDN w:val="0"/>
      <w:adjustRightInd w:val="0"/>
      <w:spacing w:beforeLines="0" w:afterLines="0"/>
    </w:pPr>
    <w:rPr>
      <w:rFonts w:hint="eastAsia" w:ascii="宋体" w:hAnsi="Times New Roman" w:eastAsia="宋体" w:cs="宋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4073</Words>
  <Characters>4413</Characters>
  <Lines>0</Lines>
  <Paragraphs>0</Paragraphs>
  <TotalTime>1</TotalTime>
  <ScaleCrop>false</ScaleCrop>
  <LinksUpToDate>false</LinksUpToDate>
  <CharactersWithSpaces>5109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2023-06-19T05:59:00Z</dcterms:created>
  <dc:creator>肖峻峰</dc:creator>
  <cp:lastModifiedBy>肖峻峰</cp:lastModifiedBy>
  <cp:lastPrinted>2023-06-19T07:45:00Z</cp:lastPrinted>
  <dcterms:modified xsi:type="dcterms:W3CDTF">2023-06-19T08:44:29Z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B6DFBE9D3A804C2E9F3BCAE29E51E6D5_11</vt:lpwstr>
  </property>
</Properties>
</file>