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4FFD8">
      <w:pPr>
        <w:pStyle w:val="11"/>
        <w:kinsoku w:val="0"/>
        <w:overflowPunct w:val="0"/>
        <w:spacing w:before="55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32"/>
          <w:sz w:val="28"/>
          <w:szCs w:val="28"/>
        </w:rPr>
        <w:t xml:space="preserve">附 件 </w:t>
      </w:r>
      <w:r>
        <w:rPr>
          <w:rFonts w:hint="eastAsia" w:ascii="宋体" w:hAnsi="宋体" w:eastAsia="宋体" w:cs="宋体"/>
          <w:sz w:val="28"/>
          <w:szCs w:val="28"/>
        </w:rPr>
        <w:t>1</w:t>
      </w:r>
      <w:bookmarkStart w:id="1" w:name="_GoBack"/>
      <w:bookmarkEnd w:id="1"/>
    </w:p>
    <w:p w14:paraId="59AA6CB9"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广西财经学院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2026年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大数据与人工智能学院</w:t>
      </w:r>
      <w:bookmarkStart w:id="0" w:name="OLE_LINK4"/>
      <w:r>
        <w:rPr>
          <w:rFonts w:hint="eastAsia" w:ascii="宋体" w:hAnsi="宋体" w:eastAsia="宋体" w:cs="宋体"/>
          <w:b/>
          <w:bCs/>
          <w:sz w:val="28"/>
          <w:szCs w:val="28"/>
        </w:rPr>
        <w:t>数据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采集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服务采购</w:t>
      </w:r>
      <w:bookmarkEnd w:id="0"/>
      <w:r>
        <w:rPr>
          <w:rFonts w:hint="eastAsia" w:ascii="宋体" w:hAnsi="宋体" w:eastAsia="宋体" w:cs="宋体"/>
          <w:b/>
          <w:bCs/>
          <w:sz w:val="28"/>
          <w:szCs w:val="28"/>
        </w:rPr>
        <w:t>报价单</w:t>
      </w:r>
    </w:p>
    <w:tbl>
      <w:tblPr>
        <w:tblStyle w:val="16"/>
        <w:tblW w:w="9407" w:type="dxa"/>
        <w:tblInd w:w="15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4419"/>
        <w:gridCol w:w="767"/>
        <w:gridCol w:w="679"/>
        <w:gridCol w:w="799"/>
        <w:gridCol w:w="1064"/>
        <w:gridCol w:w="842"/>
      </w:tblGrid>
      <w:tr w14:paraId="03B3F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9407" w:type="dxa"/>
            <w:gridSpan w:val="7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 w14:paraId="788D51DC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技术要求</w:t>
            </w:r>
          </w:p>
        </w:tc>
      </w:tr>
      <w:tr w14:paraId="62757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C7942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品 名</w:t>
            </w:r>
          </w:p>
        </w:tc>
        <w:tc>
          <w:tcPr>
            <w:tcW w:w="44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66F4B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规格参数</w:t>
            </w:r>
          </w:p>
        </w:tc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25A02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单位</w:t>
            </w:r>
          </w:p>
        </w:tc>
        <w:tc>
          <w:tcPr>
            <w:tcW w:w="6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1D22D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数量</w:t>
            </w:r>
          </w:p>
        </w:tc>
        <w:tc>
          <w:tcPr>
            <w:tcW w:w="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0A0983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是否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871C5C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金额</w:t>
            </w:r>
          </w:p>
        </w:tc>
        <w:tc>
          <w:tcPr>
            <w:tcW w:w="8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42520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备注</w:t>
            </w:r>
          </w:p>
        </w:tc>
      </w:tr>
      <w:tr w14:paraId="3F4F7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083D9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4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5B9D7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6C286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7C9E8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40FBF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响应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E916A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（元）</w:t>
            </w:r>
          </w:p>
        </w:tc>
        <w:tc>
          <w:tcPr>
            <w:tcW w:w="8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353F1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14:paraId="0D5A1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5" w:hRule="atLeast"/>
        </w:trPr>
        <w:tc>
          <w:tcPr>
            <w:tcW w:w="8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BB844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中国—东盟多源数据服务</w:t>
            </w:r>
          </w:p>
        </w:tc>
        <w:tc>
          <w:tcPr>
            <w:tcW w:w="4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660BF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（一）东盟国家多模态新闻数据</w:t>
            </w:r>
          </w:p>
          <w:p w14:paraId="6E4A9E0D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1. 数据范围</w:t>
            </w:r>
          </w:p>
          <w:p w14:paraId="792A3C2A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★覆盖东盟核心国家（至少包括泰国、越南、印度尼西亚、马来西亚、菲律宾、新加坡6个国家）的主流媒体新闻信息。</w:t>
            </w:r>
          </w:p>
          <w:p w14:paraId="346BF93E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★数据采集时间范围为2025年1月1日至今，数据更新截止时间不早于投标截止日前30天。</w:t>
            </w:r>
          </w:p>
          <w:p w14:paraId="2A8A26E4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2. 数据内容</w:t>
            </w:r>
          </w:p>
          <w:p w14:paraId="14109818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★新闻数据总量不少于10万条。</w:t>
            </w:r>
          </w:p>
          <w:p w14:paraId="33653F47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每条新闻数据须包含以下字段：原始标题、原始正文内容、原始语言标识、中文翻译标题、中文翻译正文、中文摘要（不少于100字）、发布媒体名称、发布媒体所属国家、新闻发布时间、新闻采集时间、新闻URL来源、新闻分类标签。</w:t>
            </w:r>
          </w:p>
          <w:p w14:paraId="6404AA2A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3. 数据质量要求</w:t>
            </w:r>
          </w:p>
          <w:p w14:paraId="775B4EAA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★中文翻译须采用机器翻译与人工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智能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相结合的方式，翻译准确率不低于90%。</w:t>
            </w:r>
          </w:p>
          <w:p w14:paraId="48F1493C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★中文摘要须能够准确概括新闻核心内容，摘要与原文内容一致性不低于85%。</w:t>
            </w:r>
          </w:p>
          <w:p w14:paraId="096BFEED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. 媒体来源要求</w:t>
            </w:r>
          </w:p>
          <w:p w14:paraId="68DFF996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★每个国家至少覆盖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家主流媒体/新闻网站，供应商须在响应文件中提供拟采集媒体清单。</w:t>
            </w:r>
          </w:p>
          <w:p w14:paraId="24FC3120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6. 数据分类</w:t>
            </w:r>
          </w:p>
          <w:p w14:paraId="64A18F3F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新闻数据须按政治、经济、科技、教育等至少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个主题分类标签进行标注，分类准确率不低于85%。</w:t>
            </w:r>
          </w:p>
          <w:p w14:paraId="0EC6F94D">
            <w:pPr>
              <w:widowControl/>
              <w:spacing w:after="0" w:line="240" w:lineRule="auto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★供应商须提供不少于5张新闻数据相关截图供现场查验，包括但不限于：数据库表结构及数据条数截图、新闻全文检索结果截图、中文翻译与摘要结果截图、分类标签标注效果截图等，截图须清晰可辨。</w:t>
            </w:r>
          </w:p>
          <w:p w14:paraId="7E1C10D2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（二）东盟主要国家电商数据</w:t>
            </w:r>
          </w:p>
          <w:p w14:paraId="7B414775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1. 数据范围</w:t>
            </w:r>
          </w:p>
          <w:p w14:paraId="036A07C4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★覆盖Shopee平台至少6个东盟核心国家站点（泰国、越南、印度尼西亚、马来西亚、菲律宾、新加坡）的商品及评价数据。</w:t>
            </w:r>
          </w:p>
          <w:p w14:paraId="14133C5F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★数据采集时间范围为2016年1月1日至今。</w:t>
            </w:r>
          </w:p>
          <w:p w14:paraId="4140F49A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2. 商品数据</w:t>
            </w:r>
          </w:p>
          <w:p w14:paraId="4B01A8FD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★商品数量不少于10万条。</w:t>
            </w:r>
          </w:p>
          <w:p w14:paraId="575BC874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每条商品数据须包含以下字段：商品ID、商品名称、商品分类（一至四级分类）、商品价格（原币种及人民币折算）、商品原产地、商品品牌、商品规格参数、商品详情页URL、店铺名称、店铺ID、商品上架时间、数据采集时间、商品评分。</w:t>
            </w:r>
          </w:p>
          <w:p w14:paraId="41371A18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3. 评价数据</w:t>
            </w:r>
          </w:p>
          <w:p w14:paraId="491E6605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★商品评价总量不少于1亿条。</w:t>
            </w:r>
          </w:p>
          <w:p w14:paraId="3ED981EB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★每条评价数据须包含以下字段：评价ID、关联商品ID、评价内容、评价评分、评价时间、评价者ID、数据采集时间。</w:t>
            </w:r>
          </w:p>
          <w:p w14:paraId="3577D420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4. 数据质量要求</w:t>
            </w:r>
          </w:p>
          <w:p w14:paraId="1BD244BD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★商品分类须采用Shopee平台官方分类体系，分类层级至少覆盖一至四级，分类完整率不低于95%。</w:t>
            </w:r>
          </w:p>
          <w:p w14:paraId="71A42349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★评价数据去重率不低于98%（同一商品同一用户的重复评价须去重处理）。</w:t>
            </w:r>
          </w:p>
          <w:p w14:paraId="57F1DC06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（三）东盟主要国家统计数据</w:t>
            </w:r>
          </w:p>
          <w:p w14:paraId="3B48FA50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1. 数据范围</w:t>
            </w:r>
          </w:p>
          <w:p w14:paraId="571F73CE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★至少覆盖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个东盟核心国家的完整统计数据（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新加坡、印度尼西亚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）。</w:t>
            </w:r>
          </w:p>
          <w:p w14:paraId="62AD9249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★统计数据须完整覆盖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与官方提供数据一致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。</w:t>
            </w:r>
          </w:p>
          <w:p w14:paraId="5B10B417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2. 数据内容</w:t>
            </w:r>
          </w:p>
          <w:p w14:paraId="74D77134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★每个国家的统计数据须至少涵盖以下主题领域（不少于8个）：国民经济核算、人口与就业、价格指数、对外贸易、工业与能源、农业、财政与金融、交通运输与邮电、教育与科技、旅游、环境。</w:t>
            </w:r>
          </w:p>
          <w:p w14:paraId="439B18A8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★统计数据须包含完整的层级结构：统计主题→统计表格→详细数据项→数据值，每层级均须有中文名称和原语言名称。</w:t>
            </w:r>
          </w:p>
          <w:p w14:paraId="03122111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★每个国家统计数据表格不少于200张，数据项不少于5000个。</w:t>
            </w:r>
          </w:p>
          <w:p w14:paraId="3A61903E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3. 数据来源</w:t>
            </w:r>
          </w:p>
          <w:p w14:paraId="4B3598F6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★统计数据须来源于各国官方统计机构，供应商须在响应文件中注明数据来源。</w:t>
            </w:r>
          </w:p>
          <w:p w14:paraId="712FC565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4. 数据结构化要求</w:t>
            </w:r>
          </w:p>
          <w:p w14:paraId="304491CF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★统计数据须完整结构化，包括指标编码、指标名称、计量单位、时间维度、地区维度、数值、数据来源等字段，确保每条数据可精确定位到原始统计表格。</w:t>
            </w:r>
          </w:p>
          <w:p w14:paraId="62ABD54F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5. 数据更新</w:t>
            </w:r>
          </w:p>
          <w:p w14:paraId="589DD315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供应商须提供数据更新机制说明，包含年度更新计划及更新频率。</w:t>
            </w:r>
          </w:p>
          <w:p w14:paraId="06419ADF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★供应商须提供不少于5张电商数据相关截图供现场查验，包括但不限于：数据库商品表结构及记录数截图、四级分类浏览截图、评价数据表结构及记录数截图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等，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截图须清晰可辨。</w:t>
            </w:r>
          </w:p>
          <w:p w14:paraId="2DC31A5C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（四）中国统计年鉴数据</w:t>
            </w:r>
          </w:p>
          <w:p w14:paraId="787671A8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1. 数据范围</w:t>
            </w:r>
          </w:p>
          <w:p w14:paraId="3BE74D09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★采集《中国统计年鉴》20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年至2025年共计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5个年度的完整数据，覆盖年鉴全部章节及统计表格。</w:t>
            </w:r>
          </w:p>
          <w:p w14:paraId="799B9FE8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2. 数据内容</w:t>
            </w:r>
          </w:p>
          <w:p w14:paraId="23376EFD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数据须覆盖《中国统计年鉴》以下全部章节（不少于25个）：一、行政区划与自然地理；二、人口；三、国民经济核算；四、就业人员和职工工资；五、国家财政；六、资源与环境；七、能源；八、财政；九、价格指数；十、人民生活；十一、城市概况；十二、对外贸易；十三、农业；十四、工业；十五、建筑业；十六、运输邮政业；十七、批发零售业；十八、住宿餐饮业；十九、旅游业；二十、金融业；二十一、教育；二十二、科技；二十三、卫生健康；二十四、体育；二十五、公共管理、社会保障和社会组织。</w:t>
            </w:r>
          </w:p>
          <w:p w14:paraId="2EF77D50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★每个年度统计表格不少于300张，数据项不少于1万个，5个年度合计数据项不少于5万个。</w:t>
            </w:r>
          </w:p>
          <w:p w14:paraId="0CA717DA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3. 数据来源</w:t>
            </w:r>
          </w:p>
          <w:p w14:paraId="55FAFDFA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★数据须来源于国家统计局官方发布的《中国统计年鉴》（电子版），供应商须在响应文件中注明数据获取渠道。</w:t>
            </w:r>
          </w:p>
          <w:p w14:paraId="4703D40E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4. 数据结构化要求</w:t>
            </w:r>
          </w:p>
          <w:p w14:paraId="24C65902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★统计年鉴数据须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提供完整excel表格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，包括：年鉴年度、章节编号、章节名称、表格编号、表格名称、指标编码、指标名称、计量单位、时间维度（年份）、地区维度（省/自治区/直辖市）、数值、备注。确保每条数据可精确定位到年鉴原始表格。</w:t>
            </w:r>
          </w:p>
          <w:p w14:paraId="250FCAD0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5. 数据质量要求</w:t>
            </w:r>
          </w:p>
          <w:p w14:paraId="3FC74725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★统计年鉴数据与国家统计局官方发布数据一致性不低于99%。</w:t>
            </w:r>
          </w:p>
          <w:p w14:paraId="04F4262B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（五）马来西亚人工智能产业主题知识图谱</w:t>
            </w:r>
          </w:p>
          <w:p w14:paraId="41141997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基于本需求书第（一）部分采集的马来西亚新闻数据，进行分类清洗后，抽取人工智能产业主题相关的实体、关系和属性，形成完整的知识图谱，以Neo4j图数据库方式交付，同步交付知识图谱抽取、清洗、构建的程序源码，并提供部署支持服务。</w:t>
            </w:r>
          </w:p>
          <w:p w14:paraId="31BB808D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1. 数据来源</w:t>
            </w:r>
          </w:p>
          <w:p w14:paraId="353C1FA6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★知识图谱须基于本需求书第（一）部分采集的马来西亚新闻数据进行构建，供应商须说明从原始新闻数据到知识图谱的完整数据处理流程。</w:t>
            </w:r>
          </w:p>
          <w:p w14:paraId="362AC6FF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2. 实体抽取要求</w:t>
            </w:r>
          </w:p>
          <w:p w14:paraId="6A95CB2A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★实体总数不少于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,000个，须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进行本体约束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控制在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8类）：人工智能企业/机构、AI产品/服务、AI技术/算法、AI领域人物、AI相关政策/法规、AI相关事件/活动、AI应用领域/场景、AI学术研究/论文。</w:t>
            </w:r>
          </w:p>
          <w:p w14:paraId="5CFB61E1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★每个实体须包含以下属性：实体ID、实体名称（中文翻译）、实体类型、实体描述（中文，不少于50字）、首次出现时间、最后出现时间、出现频次、数据来源标识。</w:t>
            </w:r>
          </w:p>
          <w:p w14:paraId="65C7A326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3. 关系抽取要求</w:t>
            </w:r>
          </w:p>
          <w:p w14:paraId="58FA2983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★关系总数不少于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,000条，须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进行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关系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约束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控制在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15类）：企业开发产品、企业投资企业、企业合作企业、人物任职企业、政策监管领域、技术应用于领域、事件涉及企业、事件涉及技术、产品使用技术、学术研究关联技术、企业参与活动、政府支持政策、技术衍生技术、产品服务于领域、机构发布研究。</w:t>
            </w:r>
          </w:p>
          <w:p w14:paraId="0B2E4768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★每条关系须包含以下属性：关系ID、起始实体ID、关系类型、目标实体ID、关系描述（中文）、关系强度/权重、数据来源标识。</w:t>
            </w:r>
          </w:p>
          <w:p w14:paraId="1A6D6EBA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4. 主题分类与清洗</w:t>
            </w:r>
          </w:p>
          <w:p w14:paraId="5F072135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★须对马来西亚新闻数据按人工智能产业主题进行分类标注，AI相关新闻筛选覆盖率不低于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95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%。</w:t>
            </w:r>
          </w:p>
          <w:p w14:paraId="7950791B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★须对抽取结果进行清洗去重，实体去重率不低于95%，关系去重率不低于95%，杜绝同一实体/关系的重复记录。</w:t>
            </w:r>
          </w:p>
          <w:p w14:paraId="67A03361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5. 图谱交付格式</w:t>
            </w:r>
          </w:p>
          <w:p w14:paraId="58411B30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★知识图谱须以Neo4j图数据库（5.x及以上版本）方式交付，包含完整的节点（实体）、边（关系）及属性数据，图谱数据库须可直接启动并查询。</w:t>
            </w:r>
          </w:p>
          <w:p w14:paraId="27C0854C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★须提供Neo4j数据库完整备份文件（.dump格式）及Cypher脚本导入方式双重交付，确保采购方可在自有服务器上独立部署和恢复全部图谱数据。</w:t>
            </w:r>
          </w:p>
          <w:p w14:paraId="2CB40E8E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6. 源码交付</w:t>
            </w:r>
          </w:p>
          <w:p w14:paraId="50015E48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★须同步交付对新闻数据进行知识图谱抽取、清洗、构建的完整程序源码，源码须包含以下模块：数据预处理模块、实体抽取模块、关系抽取模块、属性填充模块、去重清洗模块、图谱构建模块。</w:t>
            </w:r>
          </w:p>
          <w:p w14:paraId="6145666F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★源码须附带完整的技术文档，包括：各模块功能说明、运行环境要求（Python版本、依赖包清单）、配置参数说明、运行步骤说明、输入输出格式说明。</w:t>
            </w:r>
          </w:p>
          <w:p w14:paraId="682A74DB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7. 部署支持服务</w:t>
            </w:r>
          </w:p>
          <w:p w14:paraId="25ED5E8E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★供应商须提供知识图谱系统部署支持服务，包括：Neo4j数据库环境搭建、图谱数据导入、源码环境配置及运行验证，部署支持服务不少于3次现场或远程支持，每次不少于4小时。</w:t>
            </w:r>
          </w:p>
          <w:p w14:paraId="3450C009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8. 数据质量要求</w:t>
            </w:r>
          </w:p>
          <w:p w14:paraId="2C3C81F7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供应商须提供不少于5张知识图谱相关截图供现场查验，包括但不限于：Neo4j数据库节点/关系全景截图、Cypher查询语句及结果截图（至少2种不同类型查询）、源码运行过程截图（至少2个模块）、知识图谱可视化展示（至少2类实体/关系的子图）、图谱schema结构截图等，截图须清晰可辨。</w:t>
            </w:r>
          </w:p>
          <w:p w14:paraId="0F206E28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（六）结构化数据库建设及数据字典</w:t>
            </w:r>
          </w:p>
          <w:p w14:paraId="73390E66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除特别说明的Excel格式外，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所有交付数据必须以结构化形式保存至关系型数据库（MySQL 8.0及以上版本或PostgreSQL 12及以上版本），不得以PDF、Word、Excel等非结构化文件形式交付。</w:t>
            </w:r>
          </w:p>
          <w:p w14:paraId="33BBE4A6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供应商须提供完整的数据字典，数据字典须包含：数据库名称、数据表清单、每张表的表名及中文名称、每张表的字段清单（字段名、中文名称、数据类型、字段长度、是否允许为空、默认值、字段说明、约束条件）、表间关系说明、索引设计说明。</w:t>
            </w:r>
          </w:p>
          <w:p w14:paraId="22F43D6E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★数据字典须以结构化文档（数据库DDL脚本+Excel/CSV格式数据字典文档）双重形式交付，DDL脚本须可直接在指定数据库版本上执行创建数据库及数据表。</w:t>
            </w:r>
          </w:p>
          <w:p w14:paraId="043B06F0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数据库字符集须统一采用UTF-8（utf8mb4），以支持多语言文字存储。</w:t>
            </w:r>
          </w:p>
          <w:p w14:paraId="03454D87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★供应商须提供数据库初始化脚本、数据导入脚本及完整的部署文档，确保采购方可在自有服务器上独立部署和恢复全部数据。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0BDA2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项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3648D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7AF39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DF659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　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85EA8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　</w:t>
            </w:r>
          </w:p>
        </w:tc>
      </w:tr>
      <w:tr w14:paraId="4F4FC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94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D1A91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商务要求</w:t>
            </w:r>
          </w:p>
        </w:tc>
      </w:tr>
      <w:tr w14:paraId="365DF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</w:trPr>
        <w:tc>
          <w:tcPr>
            <w:tcW w:w="8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369A1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参数要求</w:t>
            </w:r>
          </w:p>
        </w:tc>
        <w:tc>
          <w:tcPr>
            <w:tcW w:w="857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93EA4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1、本采购需求书所列带“★”号条款为实质性响应条款，供应商须完全满足，若有一项带“★”号条款未响应或不满足，将按无效投标处理。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2、本采购需求书所列带“▲”号条款为重要技术指标，供应商无法满足或响应时将影响其技术评分。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3、供应商应对本需求书所有条款逐条响应，并在响应文件中提供详细的技术方案、实施方案及相关证明材料。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4、本项目预算金额为人民币壹拾万元整（¥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98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,000.00），投标报价超过预算金额的按无效投标处理。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5、供应商须保证所提供数据的合法性、真实性、准确性和完整性，并承担由此产生的一切法律责任。</w:t>
            </w:r>
          </w:p>
        </w:tc>
      </w:tr>
      <w:tr w14:paraId="2A992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</w:trPr>
        <w:tc>
          <w:tcPr>
            <w:tcW w:w="8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215B2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交付要求</w:t>
            </w:r>
          </w:p>
        </w:tc>
        <w:tc>
          <w:tcPr>
            <w:tcW w:w="857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75F7C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交付时间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★合同签订之日起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个日历日内完成全部数据交付及部署。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交付方式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★数据须部署至采购方指定的服务器环境（Linux操作系统，MySQL 8.0/PostgreSQL 12及以上版本），确保数据可正常访问和查询。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同时提供完整数据库备份文件（.sql格式），便于采购方自主备份和迁移。</w:t>
            </w:r>
          </w:p>
        </w:tc>
      </w:tr>
      <w:tr w14:paraId="377C0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</w:trPr>
        <w:tc>
          <w:tcPr>
            <w:tcW w:w="8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9ED8C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验收要求</w:t>
            </w:r>
          </w:p>
        </w:tc>
        <w:tc>
          <w:tcPr>
            <w:tcW w:w="857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CEA9A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★验收分为数据完整性验收、数据质量验收、数据库部署验收三个环节，三个环节全部合格方为验收通过。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（一）数据完整性验收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1. 各类数据量须达到本需求书规定的最低要求；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2. 各类数据字段须完整，关键字段缺失率不超过2%；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3. 数据时间范围须覆盖本需求书规定的时间区间。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（二）数据质量验收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1. 中文翻译准确率不低于90%（随机抽取5%样本评估）；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2. 中文摘要与原文一致性不低于85%；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3. 电商评价数据去重率不低于98%；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4. 新闻分类准确率不低于85%。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（三）数据库部署验收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★1. 数据库可正常启动，全部数据表可正常访问；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★2. 数据字典与实际数据库结构完全一致；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★3. DDL脚本可在全新数据库环境上正确执行，数据导入脚本可正确导入全部数据；</w:t>
            </w:r>
          </w:p>
        </w:tc>
      </w:tr>
      <w:tr w14:paraId="3EED2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8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BFBB0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知识产权与保密要求</w:t>
            </w:r>
          </w:p>
        </w:tc>
        <w:tc>
          <w:tcPr>
            <w:tcW w:w="857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2E2D5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1. 供应商如使用第三方数据源，须确保已获得合法授权或许可，并提供相关证明文件。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14:ligatures w14:val="none"/>
              </w:rPr>
              <w:t>2. 合同终止后，供应商须销毁其保留的全部交付数据及相关衍生数据，并出具销毁证明。</w:t>
            </w:r>
          </w:p>
        </w:tc>
      </w:tr>
    </w:tbl>
    <w:p w14:paraId="74D208CF">
      <w:pPr>
        <w:rPr>
          <w:rFonts w:hint="eastAsia" w:ascii="宋体" w:hAnsi="宋体" w:eastAsia="宋体" w:cs="宋体"/>
          <w:color w:val="000000"/>
          <w:kern w:val="0"/>
          <w:szCs w:val="22"/>
          <w14:ligatures w14:val="none"/>
        </w:rPr>
      </w:pPr>
    </w:p>
    <w:p w14:paraId="7B8E8DD4">
      <w:pPr>
        <w:rPr>
          <w:rFonts w:hint="eastAsia" w:ascii="宋体" w:hAnsi="宋体" w:eastAsia="宋体" w:cs="宋体"/>
          <w:color w:val="000000"/>
          <w:kern w:val="0"/>
          <w:szCs w:val="22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Cs w:val="22"/>
          <w14:ligatures w14:val="none"/>
        </w:rPr>
        <w:t>报价公司：</w:t>
      </w:r>
      <w:r>
        <w:rPr>
          <w:rFonts w:hint="eastAsia" w:ascii="宋体" w:hAnsi="宋体" w:eastAsia="宋体" w:cs="宋体"/>
          <w:color w:val="000000"/>
          <w:kern w:val="0"/>
          <w:szCs w:val="22"/>
          <w14:ligatures w14:val="none"/>
        </w:rPr>
        <w:tab/>
      </w:r>
      <w:r>
        <w:rPr>
          <w:rFonts w:hint="eastAsia" w:ascii="宋体" w:hAnsi="宋体" w:eastAsia="宋体" w:cs="宋体"/>
          <w:color w:val="000000"/>
          <w:kern w:val="0"/>
          <w:szCs w:val="22"/>
          <w14:ligatures w14:val="none"/>
        </w:rPr>
        <w:t xml:space="preserve">             法定代表人签字：</w:t>
      </w:r>
      <w:r>
        <w:rPr>
          <w:rFonts w:hint="eastAsia" w:ascii="宋体" w:hAnsi="宋体" w:eastAsia="宋体" w:cs="宋体"/>
          <w:color w:val="000000"/>
          <w:kern w:val="0"/>
          <w:szCs w:val="22"/>
          <w14:ligatures w14:val="none"/>
        </w:rPr>
        <w:tab/>
      </w:r>
      <w:r>
        <w:rPr>
          <w:rFonts w:hint="eastAsia" w:ascii="宋体" w:hAnsi="宋体" w:eastAsia="宋体" w:cs="宋体"/>
          <w:color w:val="000000"/>
          <w:kern w:val="0"/>
          <w:szCs w:val="22"/>
          <w14:ligatures w14:val="none"/>
        </w:rPr>
        <w:t xml:space="preserve">                 联系人及电话：</w:t>
      </w:r>
    </w:p>
    <w:p w14:paraId="1EE2E1BD">
      <w:pPr>
        <w:rPr>
          <w:rFonts w:hint="eastAsia" w:ascii="宋体" w:hAnsi="宋体" w:eastAsia="宋体" w:cs="宋体"/>
          <w:b/>
          <w:bCs/>
          <w:sz w:val="32"/>
          <w:szCs w:val="32"/>
        </w:rPr>
      </w:pPr>
    </w:p>
    <w:sectPr>
      <w:pgSz w:w="11906" w:h="16838"/>
      <w:pgMar w:top="1440" w:right="1086" w:bottom="1440" w:left="11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E1YmUxMGM4N2U4OGRlYzA0NmE1ZDI3ZjVkYjFlNTcifQ=="/>
  </w:docVars>
  <w:rsids>
    <w:rsidRoot w:val="001D5E90"/>
    <w:rsid w:val="000D40B5"/>
    <w:rsid w:val="001B768C"/>
    <w:rsid w:val="001D5E90"/>
    <w:rsid w:val="00504E55"/>
    <w:rsid w:val="005B73AB"/>
    <w:rsid w:val="006E621C"/>
    <w:rsid w:val="00917EE0"/>
    <w:rsid w:val="00AD1D76"/>
    <w:rsid w:val="00B3032B"/>
    <w:rsid w:val="00E13ADD"/>
    <w:rsid w:val="00E93D6F"/>
    <w:rsid w:val="00FF28E0"/>
    <w:rsid w:val="0B3A210C"/>
    <w:rsid w:val="0D8F1E5B"/>
    <w:rsid w:val="0F34255E"/>
    <w:rsid w:val="11BA7B07"/>
    <w:rsid w:val="1C6E2DC0"/>
    <w:rsid w:val="1DBC4D4E"/>
    <w:rsid w:val="27955252"/>
    <w:rsid w:val="27AE4EB0"/>
    <w:rsid w:val="28575241"/>
    <w:rsid w:val="29656152"/>
    <w:rsid w:val="29C72969"/>
    <w:rsid w:val="2C5000EA"/>
    <w:rsid w:val="2E8C15FD"/>
    <w:rsid w:val="2F7C5FA4"/>
    <w:rsid w:val="300C68EA"/>
    <w:rsid w:val="33292712"/>
    <w:rsid w:val="335C267B"/>
    <w:rsid w:val="3376367E"/>
    <w:rsid w:val="343D21A6"/>
    <w:rsid w:val="3BF65ED8"/>
    <w:rsid w:val="3D3C7622"/>
    <w:rsid w:val="3E402A5F"/>
    <w:rsid w:val="43366EA0"/>
    <w:rsid w:val="437E699C"/>
    <w:rsid w:val="43ED1098"/>
    <w:rsid w:val="44676118"/>
    <w:rsid w:val="4B3C4CB1"/>
    <w:rsid w:val="4CA75A70"/>
    <w:rsid w:val="4CFA7CDB"/>
    <w:rsid w:val="4DCD389A"/>
    <w:rsid w:val="518F1542"/>
    <w:rsid w:val="53420F93"/>
    <w:rsid w:val="552354DE"/>
    <w:rsid w:val="568276BE"/>
    <w:rsid w:val="57A44DC8"/>
    <w:rsid w:val="59E441E8"/>
    <w:rsid w:val="62B10EB1"/>
    <w:rsid w:val="63E378B5"/>
    <w:rsid w:val="64927B7B"/>
    <w:rsid w:val="670E0E72"/>
    <w:rsid w:val="693A3DB1"/>
    <w:rsid w:val="6BF75464"/>
    <w:rsid w:val="70FF5871"/>
    <w:rsid w:val="710458DF"/>
    <w:rsid w:val="7A241CEE"/>
    <w:rsid w:val="7C266648"/>
    <w:rsid w:val="7D77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8"/>
    <w:qFormat/>
    <w:uiPriority w:val="1"/>
    <w:pPr>
      <w:autoSpaceDE w:val="0"/>
      <w:autoSpaceDN w:val="0"/>
      <w:adjustRightInd w:val="0"/>
      <w:spacing w:before="9" w:after="0" w:line="240" w:lineRule="auto"/>
    </w:pPr>
    <w:rPr>
      <w:rFonts w:ascii="微软雅黑" w:hAnsi="Times New Roman" w:eastAsia="微软雅黑" w:cs="微软雅黑"/>
      <w:kern w:val="0"/>
      <w:sz w:val="44"/>
      <w:szCs w:val="44"/>
      <w14:ligatures w14:val="none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正文文本 字符"/>
    <w:basedOn w:val="17"/>
    <w:link w:val="11"/>
    <w:qFormat/>
    <w:uiPriority w:val="1"/>
    <w:rPr>
      <w:rFonts w:ascii="微软雅黑" w:hAnsi="Times New Roman" w:eastAsia="微软雅黑" w:cs="微软雅黑"/>
      <w:kern w:val="0"/>
      <w:sz w:val="44"/>
      <w:szCs w:val="44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4225</Words>
  <Characters>4497</Characters>
  <Lines>19</Lines>
  <Paragraphs>5</Paragraphs>
  <TotalTime>3</TotalTime>
  <ScaleCrop>false</ScaleCrop>
  <LinksUpToDate>false</LinksUpToDate>
  <CharactersWithSpaces>4578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2026-06-11T09:01:00Z</dcterms:created>
  <dc:creator>3218</dc:creator>
  <cp:lastModifiedBy>阿玲</cp:lastModifiedBy>
  <dcterms:modified xsi:type="dcterms:W3CDTF">2026-06-15T00:26:20Z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5582FFF48E2B49BAA5719BDCB5C6BB31_13</vt:lpwstr>
  </property>
  <property fmtid="{D5CDD505-2E9C-101B-9397-08002B2CF9AE}" pid="4" name="KSOTemplateDocerSaveRecord">
    <vt:lpwstr>eyJoZGlkIjoiZDMzOWU4ZGNkZDNmZjczNWI3ZTk0NGVmNDJjNGVkMzEiLCJ1c2VySWQiOiI3MTczNDc4MTMifQ==</vt:lpwstr>
  </property>
</Properties>
</file>