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pPr w:leftFromText="180" w:rightFromText="180" w:vertAnchor="page" w:horzAnchor="margin" w:tblpX="-477" w:tblpY="1621"/>
        <w:tblW w:w="5831"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68"/>
        <w:gridCol w:w="1242"/>
        <w:gridCol w:w="940"/>
        <w:gridCol w:w="2643"/>
        <w:gridCol w:w="1652"/>
        <w:gridCol w:w="960"/>
        <w:gridCol w:w="870"/>
        <w:gridCol w:w="565"/>
        <w:gridCol w:w="399"/>
      </w:tblGrid>
      <w:tr w14:paraId="2394DB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00" w:type="pct"/>
          <w:trHeight w:val="570" w:hRule="atLeast"/>
        </w:trPr>
        <w:tc>
          <w:tcPr>
            <w:tcW w:w="4799" w:type="pct"/>
            <w:gridSpan w:val="8"/>
            <w:tcBorders>
              <w:top w:val="nil"/>
              <w:left w:val="nil"/>
              <w:bottom w:val="nil"/>
              <w:right w:val="nil"/>
            </w:tcBorders>
          </w:tcPr>
          <w:p w14:paraId="50E73855">
            <w:pPr>
              <w:widowControl/>
              <w:jc w:val="left"/>
              <w:textAlignment w:val="center"/>
              <w:rPr>
                <w:rFonts w:ascii="黑体" w:hAnsi="黑体" w:eastAsia="黑体" w:cs="宋体"/>
                <w:b/>
                <w:bCs/>
                <w:color w:val="000000"/>
                <w:kern w:val="0"/>
                <w:szCs w:val="21"/>
                <w:lang w:bidi="ar"/>
              </w:rPr>
            </w:pPr>
            <w:r>
              <w:rPr>
                <w:rFonts w:hint="eastAsia" w:ascii="黑体" w:hAnsi="黑体" w:eastAsia="黑体" w:cs="宋体"/>
                <w:b/>
                <w:bCs/>
                <w:color w:val="000000"/>
                <w:kern w:val="0"/>
                <w:sz w:val="32"/>
                <w:szCs w:val="21"/>
                <w:lang w:bidi="ar"/>
              </w:rPr>
              <w:t>附件1</w:t>
            </w:r>
          </w:p>
        </w:tc>
      </w:tr>
      <w:tr w14:paraId="1EE285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00" w:type="pct"/>
          <w:trHeight w:val="570" w:hRule="atLeast"/>
        </w:trPr>
        <w:tc>
          <w:tcPr>
            <w:tcW w:w="4799" w:type="pct"/>
            <w:gridSpan w:val="8"/>
            <w:tcBorders>
              <w:top w:val="nil"/>
              <w:left w:val="nil"/>
              <w:bottom w:val="nil"/>
              <w:right w:val="nil"/>
            </w:tcBorders>
          </w:tcPr>
          <w:p w14:paraId="4C55335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ascii="宋体" w:hAnsi="宋体" w:eastAsia="宋体" w:cs="宋体"/>
                <w:b/>
                <w:bCs/>
                <w:color w:val="000000"/>
                <w:kern w:val="0"/>
                <w:sz w:val="32"/>
                <w:szCs w:val="32"/>
                <w:lang w:bidi="ar"/>
              </w:rPr>
            </w:pPr>
            <w:r>
              <w:rPr>
                <w:rFonts w:hint="eastAsia" w:ascii="方正小标宋简体" w:hAnsi="方正小标宋简体" w:eastAsia="方正小标宋简体" w:cs="方正小标宋简体"/>
                <w:sz w:val="44"/>
                <w:szCs w:val="44"/>
                <w:lang w:val="en-US" w:eastAsia="zh-CN"/>
              </w:rPr>
              <w:t>2026年广西财经学院教务处考场视频监控设备和考位摄像头采购项目报价单</w:t>
            </w:r>
          </w:p>
        </w:tc>
      </w:tr>
      <w:tr w14:paraId="54FDEC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00" w:type="pct"/>
          <w:trHeight w:val="570" w:hRule="atLeast"/>
        </w:trPr>
        <w:tc>
          <w:tcPr>
            <w:tcW w:w="4799" w:type="pct"/>
            <w:gridSpan w:val="8"/>
            <w:tcBorders>
              <w:top w:val="nil"/>
              <w:left w:val="nil"/>
              <w:bottom w:val="single" w:color="auto" w:sz="4" w:space="0"/>
              <w:right w:val="nil"/>
            </w:tcBorders>
          </w:tcPr>
          <w:p w14:paraId="3CA482EF">
            <w:pPr>
              <w:widowControl/>
              <w:jc w:val="center"/>
              <w:textAlignment w:val="center"/>
              <w:rPr>
                <w:rFonts w:ascii="宋体" w:hAnsi="宋体" w:eastAsia="宋体" w:cs="宋体"/>
                <w:b/>
                <w:bCs/>
                <w:color w:val="000000"/>
                <w:kern w:val="0"/>
                <w:szCs w:val="21"/>
                <w:lang w:bidi="ar"/>
              </w:rPr>
            </w:pPr>
            <w:r>
              <w:rPr>
                <w:rFonts w:hint="eastAsia" w:ascii="宋体" w:hAnsi="宋体" w:eastAsia="宋体" w:cs="宋体"/>
                <w:b/>
                <w:bCs/>
                <w:color w:val="000000"/>
                <w:kern w:val="0"/>
                <w:sz w:val="28"/>
                <w:szCs w:val="21"/>
                <w:lang w:bidi="ar"/>
              </w:rPr>
              <w:t>（上限控制价：￥</w:t>
            </w:r>
            <w:r>
              <w:rPr>
                <w:rFonts w:hint="eastAsia" w:ascii="宋体" w:hAnsi="宋体" w:eastAsia="宋体" w:cs="宋体"/>
                <w:b/>
                <w:bCs/>
                <w:color w:val="000000"/>
                <w:kern w:val="0"/>
                <w:sz w:val="28"/>
                <w:szCs w:val="21"/>
                <w:lang w:val="en-US" w:eastAsia="zh-CN" w:bidi="ar"/>
              </w:rPr>
              <w:t>48160</w:t>
            </w:r>
            <w:r>
              <w:rPr>
                <w:rFonts w:hint="eastAsia" w:ascii="宋体" w:hAnsi="宋体" w:eastAsia="宋体" w:cs="宋体"/>
                <w:b/>
                <w:bCs/>
                <w:color w:val="000000"/>
                <w:kern w:val="0"/>
                <w:sz w:val="28"/>
                <w:szCs w:val="21"/>
                <w:lang w:bidi="ar"/>
              </w:rPr>
              <w:t>元）</w:t>
            </w:r>
          </w:p>
        </w:tc>
      </w:tr>
      <w:tr w14:paraId="622202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33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3F90247">
            <w:pPr>
              <w:widowControl/>
              <w:jc w:val="center"/>
              <w:textAlignment w:val="center"/>
              <w:rPr>
                <w:rFonts w:ascii="宋体" w:hAnsi="宋体" w:eastAsia="宋体" w:cs="宋体"/>
                <w:b/>
                <w:bCs/>
                <w:color w:val="000000"/>
                <w:kern w:val="0"/>
                <w:szCs w:val="21"/>
                <w:lang w:bidi="ar"/>
              </w:rPr>
            </w:pPr>
            <w:r>
              <w:rPr>
                <w:rFonts w:hint="eastAsia" w:ascii="宋体" w:hAnsi="宋体" w:eastAsia="宋体" w:cs="宋体"/>
                <w:b/>
                <w:bCs/>
                <w:color w:val="000000"/>
                <w:kern w:val="0"/>
                <w:szCs w:val="21"/>
                <w:lang w:bidi="ar"/>
              </w:rPr>
              <w:t>序号</w:t>
            </w:r>
          </w:p>
        </w:tc>
        <w:tc>
          <w:tcPr>
            <w:tcW w:w="1097"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0C8395C">
            <w:pPr>
              <w:widowControl/>
              <w:jc w:val="center"/>
              <w:textAlignment w:val="center"/>
              <w:rPr>
                <w:rFonts w:ascii="宋体" w:hAnsi="宋体" w:eastAsia="宋体" w:cs="宋体"/>
                <w:b/>
                <w:bCs/>
                <w:color w:val="000000"/>
                <w:kern w:val="0"/>
                <w:szCs w:val="21"/>
                <w:lang w:bidi="ar"/>
              </w:rPr>
            </w:pPr>
            <w:r>
              <w:rPr>
                <w:rFonts w:hint="eastAsia" w:ascii="宋体" w:hAnsi="宋体" w:eastAsia="宋体" w:cs="宋体"/>
                <w:b/>
                <w:bCs/>
                <w:color w:val="000000"/>
                <w:kern w:val="0"/>
                <w:szCs w:val="21"/>
                <w:lang w:bidi="ar"/>
              </w:rPr>
              <w:t>名称</w:t>
            </w:r>
          </w:p>
        </w:tc>
        <w:tc>
          <w:tcPr>
            <w:tcW w:w="13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696AF7C">
            <w:pPr>
              <w:widowControl/>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bidi="ar"/>
              </w:rPr>
              <w:t>规格参数</w:t>
            </w:r>
          </w:p>
        </w:tc>
        <w:tc>
          <w:tcPr>
            <w:tcW w:w="83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48CE2DE">
            <w:pPr>
              <w:widowControl/>
              <w:jc w:val="center"/>
              <w:textAlignment w:val="center"/>
              <w:rPr>
                <w:rFonts w:hint="default" w:ascii="宋体" w:hAnsi="宋体" w:eastAsia="宋体" w:cs="宋体"/>
                <w:b/>
                <w:bCs/>
                <w:color w:val="000000"/>
                <w:kern w:val="0"/>
                <w:szCs w:val="21"/>
                <w:lang w:val="en-US" w:eastAsia="zh-CN" w:bidi="ar"/>
              </w:rPr>
            </w:pPr>
            <w:r>
              <w:rPr>
                <w:rFonts w:hint="eastAsia" w:ascii="宋体" w:hAnsi="宋体" w:eastAsia="宋体" w:cs="宋体"/>
                <w:b/>
                <w:bCs/>
                <w:color w:val="000000"/>
                <w:kern w:val="0"/>
                <w:szCs w:val="21"/>
                <w:lang w:bidi="ar"/>
              </w:rPr>
              <w:t>数量及单位</w:t>
            </w:r>
          </w:p>
        </w:tc>
        <w:tc>
          <w:tcPr>
            <w:tcW w:w="482" w:type="pct"/>
            <w:tcBorders>
              <w:top w:val="single" w:color="auto" w:sz="4" w:space="0"/>
              <w:left w:val="single" w:color="auto" w:sz="4" w:space="0"/>
              <w:bottom w:val="single" w:color="auto" w:sz="4" w:space="0"/>
              <w:right w:val="single" w:color="auto" w:sz="4" w:space="0"/>
            </w:tcBorders>
            <w:vAlign w:val="center"/>
          </w:tcPr>
          <w:p w14:paraId="0179F452">
            <w:pPr>
              <w:widowControl/>
              <w:jc w:val="center"/>
              <w:textAlignment w:val="center"/>
              <w:rPr>
                <w:rFonts w:ascii="宋体" w:hAnsi="宋体" w:eastAsia="宋体" w:cs="宋体"/>
                <w:b/>
                <w:bCs/>
                <w:color w:val="000000"/>
                <w:kern w:val="0"/>
                <w:szCs w:val="21"/>
                <w:lang w:bidi="ar"/>
              </w:rPr>
            </w:pPr>
            <w:r>
              <w:rPr>
                <w:rFonts w:hint="eastAsia" w:ascii="宋体" w:hAnsi="宋体" w:eastAsia="宋体" w:cs="宋体"/>
                <w:b/>
                <w:bCs/>
                <w:color w:val="000000"/>
                <w:kern w:val="0"/>
                <w:szCs w:val="21"/>
                <w:lang w:bidi="ar"/>
              </w:rPr>
              <w:t>单价</w:t>
            </w:r>
          </w:p>
          <w:p w14:paraId="7827B06B">
            <w:pPr>
              <w:widowControl/>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bidi="ar"/>
              </w:rPr>
              <w:t>（元）</w:t>
            </w:r>
          </w:p>
        </w:tc>
        <w:tc>
          <w:tcPr>
            <w:tcW w:w="437" w:type="pct"/>
            <w:tcBorders>
              <w:top w:val="single" w:color="auto" w:sz="4" w:space="0"/>
              <w:left w:val="single" w:color="auto" w:sz="4" w:space="0"/>
              <w:bottom w:val="single" w:color="auto" w:sz="4" w:space="0"/>
              <w:right w:val="single" w:color="auto" w:sz="4" w:space="0"/>
            </w:tcBorders>
            <w:vAlign w:val="center"/>
          </w:tcPr>
          <w:p w14:paraId="66D31202">
            <w:pPr>
              <w:widowControl/>
              <w:jc w:val="center"/>
              <w:textAlignment w:val="center"/>
              <w:rPr>
                <w:rFonts w:ascii="宋体" w:hAnsi="宋体" w:eastAsia="宋体" w:cs="宋体"/>
                <w:b/>
                <w:bCs/>
                <w:color w:val="000000"/>
                <w:kern w:val="0"/>
                <w:szCs w:val="21"/>
                <w:lang w:bidi="ar"/>
              </w:rPr>
            </w:pPr>
            <w:r>
              <w:rPr>
                <w:rFonts w:hint="eastAsia" w:ascii="宋体" w:hAnsi="宋体" w:eastAsia="宋体" w:cs="宋体"/>
                <w:b/>
                <w:bCs/>
                <w:color w:val="000000"/>
                <w:kern w:val="0"/>
                <w:szCs w:val="21"/>
                <w:lang w:bidi="ar"/>
              </w:rPr>
              <w:t>金额</w:t>
            </w:r>
          </w:p>
          <w:p w14:paraId="4D128E2C">
            <w:pPr>
              <w:widowControl/>
              <w:jc w:val="center"/>
              <w:textAlignment w:val="center"/>
              <w:rPr>
                <w:rFonts w:ascii="宋体" w:hAnsi="宋体" w:eastAsia="宋体" w:cs="宋体"/>
                <w:b/>
                <w:bCs/>
                <w:color w:val="000000"/>
                <w:kern w:val="0"/>
                <w:szCs w:val="21"/>
                <w:lang w:bidi="ar"/>
              </w:rPr>
            </w:pPr>
            <w:r>
              <w:rPr>
                <w:rFonts w:hint="eastAsia" w:ascii="宋体" w:hAnsi="宋体" w:eastAsia="宋体" w:cs="宋体"/>
                <w:b/>
                <w:bCs/>
                <w:color w:val="000000"/>
                <w:kern w:val="0"/>
                <w:szCs w:val="21"/>
                <w:lang w:bidi="ar"/>
              </w:rPr>
              <w:t>（元）</w:t>
            </w:r>
          </w:p>
        </w:tc>
        <w:tc>
          <w:tcPr>
            <w:tcW w:w="484"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635C8A9">
            <w:pPr>
              <w:widowControl/>
              <w:jc w:val="center"/>
              <w:textAlignment w:val="center"/>
              <w:rPr>
                <w:rFonts w:ascii="宋体" w:hAnsi="宋体" w:eastAsia="宋体" w:cs="宋体"/>
                <w:b/>
                <w:bCs/>
                <w:color w:val="000000"/>
                <w:kern w:val="0"/>
                <w:szCs w:val="21"/>
                <w:lang w:bidi="ar"/>
              </w:rPr>
            </w:pPr>
            <w:r>
              <w:rPr>
                <w:rFonts w:hint="eastAsia" w:ascii="宋体" w:hAnsi="宋体" w:eastAsia="宋体" w:cs="宋体"/>
                <w:b/>
                <w:bCs/>
                <w:color w:val="000000"/>
                <w:kern w:val="0"/>
                <w:szCs w:val="21"/>
                <w:lang w:bidi="ar"/>
              </w:rPr>
              <w:t>响应</w:t>
            </w:r>
          </w:p>
          <w:p w14:paraId="6B0733F5">
            <w:pPr>
              <w:widowControl/>
              <w:jc w:val="center"/>
              <w:textAlignment w:val="center"/>
              <w:rPr>
                <w:rFonts w:ascii="宋体" w:hAnsi="宋体" w:eastAsia="宋体" w:cs="宋体"/>
                <w:b/>
                <w:bCs/>
                <w:color w:val="000000"/>
                <w:kern w:val="0"/>
                <w:szCs w:val="21"/>
                <w:lang w:bidi="ar"/>
              </w:rPr>
            </w:pPr>
            <w:r>
              <w:rPr>
                <w:rFonts w:hint="eastAsia" w:ascii="宋体" w:hAnsi="宋体" w:eastAsia="宋体" w:cs="宋体"/>
                <w:b/>
                <w:bCs/>
                <w:color w:val="000000"/>
                <w:kern w:val="0"/>
                <w:szCs w:val="21"/>
                <w:lang w:bidi="ar"/>
              </w:rPr>
              <w:t>品牌</w:t>
            </w:r>
          </w:p>
        </w:tc>
      </w:tr>
      <w:tr w14:paraId="7DE170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98" w:hRule="atLeast"/>
        </w:trPr>
        <w:tc>
          <w:tcPr>
            <w:tcW w:w="336" w:type="pct"/>
            <w:vMerge w:val="restart"/>
            <w:tcBorders>
              <w:top w:val="single" w:color="auto" w:sz="4" w:space="0"/>
              <w:left w:val="single" w:color="auto" w:sz="4" w:space="0"/>
              <w:right w:val="single" w:color="auto" w:sz="4" w:space="0"/>
            </w:tcBorders>
            <w:shd w:val="clear" w:color="auto" w:fill="auto"/>
            <w:noWrap/>
            <w:vAlign w:val="center"/>
          </w:tcPr>
          <w:p w14:paraId="0A652E89">
            <w:pPr>
              <w:widowControl/>
              <w:jc w:val="center"/>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w:t>
            </w:r>
          </w:p>
        </w:tc>
        <w:tc>
          <w:tcPr>
            <w:tcW w:w="624" w:type="pct"/>
            <w:vMerge w:val="restart"/>
            <w:tcBorders>
              <w:top w:val="single" w:color="auto" w:sz="4" w:space="0"/>
              <w:left w:val="single" w:color="auto" w:sz="4" w:space="0"/>
              <w:right w:val="single" w:color="auto" w:sz="4" w:space="0"/>
            </w:tcBorders>
            <w:shd w:val="clear" w:color="auto" w:fill="auto"/>
            <w:noWrap/>
            <w:vAlign w:val="center"/>
          </w:tcPr>
          <w:p w14:paraId="5D50D1A1">
            <w:pPr>
              <w:keepNext w:val="0"/>
              <w:keepLines w:val="0"/>
              <w:widowControl/>
              <w:suppressLineNumbers w:val="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仿宋_GB2312" w:hAnsi="仿宋_GB2312" w:eastAsia="仿宋_GB2312" w:cs="仿宋_GB2312"/>
                <w:sz w:val="21"/>
                <w:szCs w:val="21"/>
                <w:lang w:val="en-US" w:eastAsia="zh-CN"/>
              </w:rPr>
              <w:t>考场视频监控设备（单套设备包含：摄像头2个、存储卡2个、支架2个）</w:t>
            </w:r>
          </w:p>
        </w:tc>
        <w:tc>
          <w:tcPr>
            <w:tcW w:w="47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297192B">
            <w:pPr>
              <w:widowControl/>
              <w:spacing w:line="280" w:lineRule="exact"/>
              <w:textAlignment w:val="center"/>
              <w:rPr>
                <w:rFonts w:ascii="宋体" w:hAnsi="宋体" w:eastAsia="宋体" w:cs="宋体"/>
                <w:color w:val="000000"/>
                <w:kern w:val="0"/>
                <w:sz w:val="21"/>
                <w:szCs w:val="21"/>
                <w:lang w:bidi="ar"/>
              </w:rPr>
            </w:pPr>
            <w:r>
              <w:rPr>
                <w:rFonts w:hint="eastAsia" w:ascii="仿宋_GB2312" w:hAnsi="仿宋_GB2312" w:eastAsia="仿宋_GB2312" w:cs="仿宋_GB2312"/>
                <w:sz w:val="21"/>
                <w:szCs w:val="21"/>
                <w:lang w:val="en-US" w:eastAsia="zh-CN"/>
              </w:rPr>
              <w:t>摄像头</w:t>
            </w:r>
            <w:r>
              <w:rPr>
                <w:rFonts w:hint="eastAsia" w:ascii="仿宋_GB2312" w:hAnsi="仿宋_GB2312" w:eastAsia="仿宋_GB2312" w:cs="仿宋_GB2312"/>
                <w:sz w:val="21"/>
                <w:szCs w:val="21"/>
                <w:lang w:val="en-US" w:eastAsia="zh-CN"/>
              </w:rPr>
              <w:br w:type="textWrapping"/>
            </w:r>
          </w:p>
        </w:tc>
        <w:tc>
          <w:tcPr>
            <w:tcW w:w="13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4E110D5">
            <w:pPr>
              <w:widowControl/>
              <w:spacing w:line="280" w:lineRule="exact"/>
              <w:ind w:firstLine="420" w:firstLineChars="200"/>
              <w:textAlignment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摄像头不低于300万像素，分辨率 2304×1296，双850nm红外灯，ICR 自动切换昼夜模式，Micro SD 卡（TF卡）本地存储，最大支持 256GB。</w:t>
            </w:r>
          </w:p>
          <w:p w14:paraId="2D6B442D">
            <w:pPr>
              <w:widowControl/>
              <w:spacing w:line="280" w:lineRule="exact"/>
              <w:ind w:firstLine="420" w:firstLineChars="200"/>
              <w:textAlignment w:val="center"/>
              <w:rPr>
                <w:rFonts w:ascii="宋体" w:hAnsi="宋体" w:eastAsia="宋体" w:cs="宋体"/>
                <w:color w:val="000000"/>
                <w:kern w:val="0"/>
                <w:sz w:val="21"/>
                <w:szCs w:val="21"/>
                <w:lang w:bidi="ar"/>
              </w:rPr>
            </w:pPr>
            <w:r>
              <w:rPr>
                <w:rFonts w:hint="eastAsia" w:ascii="仿宋_GB2312" w:hAnsi="仿宋_GB2312" w:eastAsia="仿宋_GB2312" w:cs="仿宋_GB2312"/>
                <w:sz w:val="21"/>
                <w:szCs w:val="21"/>
                <w:lang w:val="en-US" w:eastAsia="zh-CN"/>
              </w:rPr>
              <w:t>采用该摄像头进行考试现场的监控，能够保障考试与广西壮族自治区职业技能鉴定中心监控无缝对接应用，具体要求如下：</w:t>
            </w:r>
            <w:r>
              <w:rPr>
                <w:rFonts w:hint="eastAsia" w:ascii="仿宋_GB2312" w:hAnsi="仿宋_GB2312" w:eastAsia="仿宋_GB2312" w:cs="仿宋_GB2312"/>
                <w:sz w:val="21"/>
                <w:szCs w:val="21"/>
                <w:lang w:val="en-US" w:eastAsia="zh-CN"/>
              </w:rPr>
              <w:br w:type="textWrapping"/>
            </w:r>
            <w:r>
              <w:rPr>
                <w:rFonts w:hint="eastAsia" w:ascii="仿宋_GB2312" w:hAnsi="仿宋_GB2312" w:eastAsia="仿宋_GB2312" w:cs="仿宋_GB2312"/>
                <w:sz w:val="21"/>
                <w:szCs w:val="21"/>
                <w:lang w:val="en-US" w:eastAsia="zh-CN"/>
              </w:rPr>
              <w:t xml:space="preserve">    1.监控系统能够与考试平台进行完美嵌入与整合应用，将考试、评分、竞赛等组织管理平台、考试管理现场、图像采集设备进行集成，打通考试管理与考试现场的视频影像信息传输通道，为考试考核现场提供精准、有力的质量管理工具。</w:t>
            </w:r>
            <w:r>
              <w:rPr>
                <w:rFonts w:hint="eastAsia" w:ascii="仿宋_GB2312" w:hAnsi="仿宋_GB2312" w:eastAsia="仿宋_GB2312" w:cs="仿宋_GB2312"/>
                <w:sz w:val="21"/>
                <w:szCs w:val="21"/>
                <w:lang w:val="en-US" w:eastAsia="zh-CN"/>
              </w:rPr>
              <w:br w:type="textWrapping"/>
            </w:r>
            <w:r>
              <w:rPr>
                <w:rFonts w:hint="eastAsia" w:ascii="仿宋_GB2312" w:hAnsi="仿宋_GB2312" w:eastAsia="仿宋_GB2312" w:cs="仿宋_GB2312"/>
                <w:sz w:val="21"/>
                <w:szCs w:val="21"/>
                <w:lang w:val="en-US" w:eastAsia="zh-CN"/>
              </w:rPr>
              <w:t xml:space="preserve">    2.通过监控系统的相关管理模块，即可实现对监控设备的管理、监控设备与考试计划的匹配、考试现场视频实时监控以及历史视频影像资料的查询。</w:t>
            </w:r>
            <w:r>
              <w:rPr>
                <w:rFonts w:hint="eastAsia" w:ascii="仿宋_GB2312" w:hAnsi="仿宋_GB2312" w:eastAsia="仿宋_GB2312" w:cs="仿宋_GB2312"/>
                <w:sz w:val="21"/>
                <w:szCs w:val="21"/>
                <w:lang w:val="en-US" w:eastAsia="zh-CN"/>
              </w:rPr>
              <w:br w:type="textWrapping"/>
            </w:r>
            <w:r>
              <w:rPr>
                <w:rFonts w:hint="eastAsia" w:ascii="仿宋_GB2312" w:hAnsi="仿宋_GB2312" w:eastAsia="仿宋_GB2312" w:cs="仿宋_GB2312"/>
                <w:sz w:val="21"/>
                <w:szCs w:val="21"/>
                <w:lang w:val="en-US" w:eastAsia="zh-CN"/>
              </w:rPr>
              <w:t xml:space="preserve">    3.为了提供更好的视频监控服务，采用了手机/平板移动监控、视频监控墙、单路视频监控等三种模式全方位满足认定过程监控的业务需求。</w:t>
            </w:r>
          </w:p>
        </w:tc>
        <w:tc>
          <w:tcPr>
            <w:tcW w:w="831" w:type="pct"/>
            <w:vMerge w:val="restart"/>
            <w:tcBorders>
              <w:top w:val="single" w:color="auto" w:sz="4" w:space="0"/>
              <w:left w:val="single" w:color="auto" w:sz="4" w:space="0"/>
              <w:right w:val="single" w:color="auto" w:sz="4" w:space="0"/>
            </w:tcBorders>
            <w:shd w:val="clear" w:color="auto" w:fill="auto"/>
            <w:noWrap/>
            <w:vAlign w:val="center"/>
          </w:tcPr>
          <w:p w14:paraId="01605016">
            <w:pPr>
              <w:widowControl/>
              <w:jc w:val="center"/>
              <w:textAlignment w:val="center"/>
              <w:rPr>
                <w:rFonts w:hint="eastAsia" w:ascii="宋体" w:hAnsi="宋体" w:eastAsia="宋体" w:cs="宋体"/>
                <w:color w:val="000000"/>
                <w:kern w:val="0"/>
                <w:szCs w:val="21"/>
                <w:lang w:val="en-US" w:eastAsia="zh-CN" w:bidi="ar"/>
              </w:rPr>
            </w:pPr>
          </w:p>
          <w:p w14:paraId="4337DF89">
            <w:pPr>
              <w:widowControl/>
              <w:jc w:val="center"/>
              <w:textAlignment w:val="center"/>
              <w:rPr>
                <w:rFonts w:hint="eastAsia" w:ascii="宋体" w:hAnsi="宋体" w:eastAsia="宋体" w:cs="宋体"/>
                <w:color w:val="000000"/>
                <w:kern w:val="0"/>
                <w:szCs w:val="21"/>
                <w:lang w:val="en-US" w:eastAsia="zh-CN" w:bidi="ar"/>
              </w:rPr>
            </w:pPr>
          </w:p>
          <w:p w14:paraId="112B1E8A">
            <w:pPr>
              <w:widowControl/>
              <w:jc w:val="center"/>
              <w:textAlignment w:val="center"/>
              <w:rPr>
                <w:rFonts w:hint="eastAsia" w:ascii="宋体" w:hAnsi="宋体" w:eastAsia="宋体" w:cs="宋体"/>
                <w:color w:val="000000"/>
                <w:kern w:val="0"/>
                <w:szCs w:val="21"/>
                <w:lang w:val="en-US" w:eastAsia="zh-CN" w:bidi="ar"/>
              </w:rPr>
            </w:pPr>
          </w:p>
          <w:p w14:paraId="55D7E6F4">
            <w:pPr>
              <w:widowControl/>
              <w:jc w:val="center"/>
              <w:textAlignment w:val="center"/>
              <w:rPr>
                <w:rFonts w:hint="eastAsia" w:ascii="宋体" w:hAnsi="宋体" w:eastAsia="宋体" w:cs="宋体"/>
                <w:color w:val="000000"/>
                <w:kern w:val="0"/>
                <w:szCs w:val="21"/>
                <w:lang w:val="en-US" w:eastAsia="zh-CN" w:bidi="ar"/>
              </w:rPr>
            </w:pPr>
          </w:p>
          <w:p w14:paraId="6258753A">
            <w:pPr>
              <w:widowControl/>
              <w:jc w:val="center"/>
              <w:textAlignment w:val="center"/>
              <w:rPr>
                <w:rFonts w:hint="eastAsia" w:ascii="宋体" w:hAnsi="宋体" w:eastAsia="宋体" w:cs="宋体"/>
                <w:color w:val="000000"/>
                <w:kern w:val="0"/>
                <w:szCs w:val="21"/>
                <w:lang w:val="en-US" w:eastAsia="zh-CN" w:bidi="ar"/>
              </w:rPr>
            </w:pPr>
            <w:bookmarkStart w:id="0" w:name="_GoBack"/>
            <w:bookmarkEnd w:id="0"/>
          </w:p>
          <w:p w14:paraId="1B2B803F">
            <w:pPr>
              <w:widowControl/>
              <w:jc w:val="center"/>
              <w:textAlignment w:val="center"/>
              <w:rPr>
                <w:rFonts w:hint="eastAsia" w:ascii="宋体" w:hAnsi="宋体" w:eastAsia="宋体" w:cs="宋体"/>
                <w:color w:val="000000"/>
                <w:kern w:val="0"/>
                <w:szCs w:val="21"/>
                <w:lang w:val="en-US" w:eastAsia="zh-CN" w:bidi="ar"/>
              </w:rPr>
            </w:pPr>
          </w:p>
          <w:p w14:paraId="03F7328A">
            <w:pPr>
              <w:widowControl/>
              <w:jc w:val="center"/>
              <w:textAlignment w:val="center"/>
              <w:rPr>
                <w:rFonts w:hint="eastAsia" w:ascii="宋体" w:hAnsi="宋体" w:eastAsia="宋体" w:cs="宋体"/>
                <w:color w:val="000000"/>
                <w:kern w:val="0"/>
                <w:szCs w:val="21"/>
                <w:lang w:val="en-US" w:eastAsia="zh-CN" w:bidi="ar"/>
              </w:rPr>
            </w:pPr>
            <w:r>
              <w:rPr>
                <w:rFonts w:hint="eastAsia" w:ascii="宋体" w:hAnsi="宋体" w:eastAsia="宋体" w:cs="宋体"/>
                <w:color w:val="000000"/>
                <w:kern w:val="0"/>
                <w:szCs w:val="21"/>
                <w:lang w:val="en-US" w:eastAsia="zh-CN" w:bidi="ar"/>
              </w:rPr>
              <w:t>14套</w:t>
            </w:r>
          </w:p>
        </w:tc>
        <w:tc>
          <w:tcPr>
            <w:tcW w:w="482" w:type="pct"/>
            <w:vMerge w:val="restart"/>
            <w:tcBorders>
              <w:top w:val="single" w:color="auto" w:sz="4" w:space="0"/>
              <w:left w:val="single" w:color="auto" w:sz="4" w:space="0"/>
              <w:right w:val="single" w:color="auto" w:sz="4" w:space="0"/>
            </w:tcBorders>
          </w:tcPr>
          <w:p w14:paraId="613E669F">
            <w:pPr>
              <w:widowControl/>
              <w:jc w:val="center"/>
              <w:textAlignment w:val="center"/>
              <w:rPr>
                <w:rFonts w:hint="eastAsia" w:ascii="宋体" w:hAnsi="宋体" w:eastAsia="宋体" w:cs="宋体"/>
                <w:color w:val="000000"/>
                <w:kern w:val="0"/>
                <w:szCs w:val="21"/>
                <w:lang w:val="en-US" w:eastAsia="zh-CN" w:bidi="ar"/>
              </w:rPr>
            </w:pPr>
          </w:p>
        </w:tc>
        <w:tc>
          <w:tcPr>
            <w:tcW w:w="437" w:type="pct"/>
            <w:vMerge w:val="restart"/>
            <w:tcBorders>
              <w:top w:val="single" w:color="auto" w:sz="4" w:space="0"/>
              <w:left w:val="single" w:color="auto" w:sz="4" w:space="0"/>
              <w:right w:val="single" w:color="auto" w:sz="4" w:space="0"/>
            </w:tcBorders>
            <w:vAlign w:val="center"/>
          </w:tcPr>
          <w:p w14:paraId="6C285194">
            <w:pPr>
              <w:widowControl/>
              <w:jc w:val="center"/>
              <w:textAlignment w:val="center"/>
              <w:rPr>
                <w:rFonts w:ascii="宋体" w:hAnsi="宋体" w:eastAsia="宋体" w:cs="宋体"/>
                <w:color w:val="000000"/>
                <w:kern w:val="0"/>
                <w:szCs w:val="21"/>
                <w:lang w:bidi="ar"/>
              </w:rPr>
            </w:pPr>
          </w:p>
        </w:tc>
        <w:tc>
          <w:tcPr>
            <w:tcW w:w="484" w:type="pct"/>
            <w:gridSpan w:val="2"/>
            <w:vMerge w:val="restart"/>
            <w:tcBorders>
              <w:top w:val="single" w:color="auto" w:sz="4" w:space="0"/>
              <w:left w:val="single" w:color="auto" w:sz="4" w:space="0"/>
              <w:right w:val="single" w:color="auto" w:sz="4" w:space="0"/>
            </w:tcBorders>
            <w:shd w:val="clear" w:color="auto" w:fill="auto"/>
            <w:noWrap/>
            <w:vAlign w:val="center"/>
          </w:tcPr>
          <w:p w14:paraId="5EF6537D">
            <w:pPr>
              <w:widowControl/>
              <w:textAlignment w:val="center"/>
              <w:rPr>
                <w:rFonts w:ascii="宋体" w:hAnsi="宋体" w:eastAsia="宋体" w:cs="宋体"/>
                <w:color w:val="000000"/>
                <w:kern w:val="0"/>
                <w:szCs w:val="21"/>
                <w:lang w:bidi="ar"/>
              </w:rPr>
            </w:pPr>
          </w:p>
          <w:p w14:paraId="2A1E865E">
            <w:pPr>
              <w:widowControl/>
              <w:textAlignment w:val="center"/>
              <w:rPr>
                <w:rFonts w:ascii="宋体" w:hAnsi="宋体" w:eastAsia="宋体" w:cs="宋体"/>
                <w:color w:val="000000"/>
                <w:kern w:val="0"/>
                <w:szCs w:val="21"/>
                <w:lang w:bidi="ar"/>
              </w:rPr>
            </w:pPr>
          </w:p>
        </w:tc>
      </w:tr>
      <w:tr w14:paraId="6C15E1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56" w:hRule="atLeast"/>
        </w:trPr>
        <w:tc>
          <w:tcPr>
            <w:tcW w:w="336" w:type="pct"/>
            <w:vMerge w:val="continue"/>
            <w:tcBorders>
              <w:left w:val="single" w:color="auto" w:sz="4" w:space="0"/>
              <w:right w:val="single" w:color="auto" w:sz="4" w:space="0"/>
            </w:tcBorders>
            <w:shd w:val="clear" w:color="auto" w:fill="auto"/>
            <w:noWrap/>
            <w:vAlign w:val="center"/>
          </w:tcPr>
          <w:p w14:paraId="1498DA86">
            <w:pPr>
              <w:widowControl/>
              <w:jc w:val="center"/>
              <w:textAlignment w:val="center"/>
              <w:rPr>
                <w:rFonts w:hint="eastAsia" w:ascii="宋体" w:hAnsi="宋体" w:eastAsia="宋体" w:cs="宋体"/>
                <w:color w:val="000000"/>
                <w:kern w:val="0"/>
                <w:sz w:val="21"/>
                <w:szCs w:val="21"/>
                <w:lang w:bidi="ar"/>
              </w:rPr>
            </w:pPr>
          </w:p>
        </w:tc>
        <w:tc>
          <w:tcPr>
            <w:tcW w:w="624" w:type="pct"/>
            <w:vMerge w:val="continue"/>
            <w:tcBorders>
              <w:left w:val="single" w:color="auto" w:sz="4" w:space="0"/>
              <w:right w:val="single" w:color="auto" w:sz="4" w:space="0"/>
            </w:tcBorders>
            <w:shd w:val="clear" w:color="auto" w:fill="auto"/>
            <w:noWrap/>
            <w:vAlign w:val="center"/>
          </w:tcPr>
          <w:p w14:paraId="3CB71B28">
            <w:pPr>
              <w:keepNext w:val="0"/>
              <w:keepLines w:val="0"/>
              <w:widowControl/>
              <w:suppressLineNumbers w:val="0"/>
              <w:jc w:val="center"/>
              <w:textAlignment w:val="center"/>
              <w:rPr>
                <w:rFonts w:hint="eastAsia" w:ascii="宋体" w:hAnsi="宋体" w:eastAsia="宋体" w:cs="宋体"/>
                <w:i w:val="0"/>
                <w:color w:val="000000"/>
                <w:kern w:val="2"/>
                <w:sz w:val="21"/>
                <w:szCs w:val="21"/>
                <w:u w:val="none"/>
                <w:lang w:val="en-US" w:eastAsia="zh-CN" w:bidi="ar-SA"/>
              </w:rPr>
            </w:pPr>
          </w:p>
        </w:tc>
        <w:tc>
          <w:tcPr>
            <w:tcW w:w="47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0225327">
            <w:pPr>
              <w:widowControl/>
              <w:spacing w:line="280" w:lineRule="exact"/>
              <w:textAlignment w:val="center"/>
              <w:rPr>
                <w:rFonts w:ascii="宋体" w:hAnsi="宋体" w:eastAsia="宋体" w:cs="宋体"/>
                <w:color w:val="000000"/>
                <w:kern w:val="0"/>
                <w:sz w:val="21"/>
                <w:szCs w:val="21"/>
                <w:lang w:bidi="ar"/>
              </w:rPr>
            </w:pPr>
            <w:r>
              <w:rPr>
                <w:rFonts w:hint="eastAsia" w:ascii="仿宋_GB2312" w:hAnsi="仿宋_GB2312" w:eastAsia="仿宋_GB2312" w:cs="仿宋_GB2312"/>
                <w:sz w:val="21"/>
                <w:szCs w:val="21"/>
                <w:lang w:val="en-US" w:eastAsia="zh-CN"/>
              </w:rPr>
              <w:t>储存卡</w:t>
            </w:r>
          </w:p>
        </w:tc>
        <w:tc>
          <w:tcPr>
            <w:tcW w:w="13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115B1E8">
            <w:pPr>
              <w:widowControl/>
              <w:spacing w:line="280" w:lineRule="exact"/>
              <w:ind w:firstLine="420" w:firstLineChars="200"/>
              <w:textAlignment w:val="center"/>
              <w:rPr>
                <w:rFonts w:ascii="宋体" w:hAnsi="宋体" w:eastAsia="宋体" w:cs="宋体"/>
                <w:color w:val="000000"/>
                <w:kern w:val="0"/>
                <w:sz w:val="21"/>
                <w:szCs w:val="21"/>
                <w:lang w:bidi="ar"/>
              </w:rPr>
            </w:pPr>
            <w:r>
              <w:rPr>
                <w:rFonts w:hint="eastAsia" w:ascii="仿宋_GB2312" w:hAnsi="仿宋_GB2312" w:eastAsia="仿宋_GB2312" w:cs="仿宋_GB2312"/>
                <w:sz w:val="21"/>
                <w:szCs w:val="21"/>
                <w:lang w:val="en-US" w:eastAsia="zh-CN"/>
              </w:rPr>
              <w:t>摄像头储存卡128G，与摄像头配套使用。在离线应用时可以采用存储卡进行存储，后续同步到线上存档。</w:t>
            </w:r>
          </w:p>
        </w:tc>
        <w:tc>
          <w:tcPr>
            <w:tcW w:w="831" w:type="pct"/>
            <w:vMerge w:val="continue"/>
            <w:tcBorders>
              <w:left w:val="single" w:color="auto" w:sz="4" w:space="0"/>
              <w:right w:val="single" w:color="auto" w:sz="4" w:space="0"/>
            </w:tcBorders>
            <w:shd w:val="clear" w:color="auto" w:fill="auto"/>
            <w:noWrap/>
            <w:vAlign w:val="center"/>
          </w:tcPr>
          <w:p w14:paraId="062CCC24">
            <w:pPr>
              <w:widowControl/>
              <w:jc w:val="center"/>
              <w:textAlignment w:val="center"/>
              <w:rPr>
                <w:rFonts w:hint="eastAsia" w:ascii="宋体" w:hAnsi="宋体" w:eastAsia="宋体" w:cs="宋体"/>
                <w:color w:val="000000"/>
                <w:kern w:val="0"/>
                <w:szCs w:val="21"/>
                <w:lang w:val="en-US" w:eastAsia="zh-CN" w:bidi="ar"/>
              </w:rPr>
            </w:pPr>
          </w:p>
        </w:tc>
        <w:tc>
          <w:tcPr>
            <w:tcW w:w="482" w:type="pct"/>
            <w:vMerge w:val="continue"/>
            <w:tcBorders>
              <w:left w:val="single" w:color="auto" w:sz="4" w:space="0"/>
              <w:right w:val="single" w:color="auto" w:sz="4" w:space="0"/>
            </w:tcBorders>
          </w:tcPr>
          <w:p w14:paraId="18C2A4E4">
            <w:pPr>
              <w:widowControl/>
              <w:jc w:val="center"/>
              <w:textAlignment w:val="center"/>
              <w:rPr>
                <w:rFonts w:hint="eastAsia" w:ascii="宋体" w:hAnsi="宋体" w:eastAsia="宋体" w:cs="宋体"/>
                <w:color w:val="000000"/>
                <w:kern w:val="0"/>
                <w:szCs w:val="21"/>
                <w:lang w:val="en-US" w:eastAsia="zh-CN" w:bidi="ar"/>
              </w:rPr>
            </w:pPr>
          </w:p>
        </w:tc>
        <w:tc>
          <w:tcPr>
            <w:tcW w:w="437" w:type="pct"/>
            <w:vMerge w:val="continue"/>
            <w:tcBorders>
              <w:left w:val="single" w:color="auto" w:sz="4" w:space="0"/>
              <w:right w:val="single" w:color="auto" w:sz="4" w:space="0"/>
            </w:tcBorders>
            <w:vAlign w:val="center"/>
          </w:tcPr>
          <w:p w14:paraId="397462CD">
            <w:pPr>
              <w:widowControl/>
              <w:jc w:val="center"/>
              <w:textAlignment w:val="center"/>
              <w:rPr>
                <w:rFonts w:ascii="宋体" w:hAnsi="宋体" w:eastAsia="宋体" w:cs="宋体"/>
                <w:color w:val="000000"/>
                <w:kern w:val="0"/>
                <w:szCs w:val="21"/>
                <w:lang w:bidi="ar"/>
              </w:rPr>
            </w:pPr>
          </w:p>
        </w:tc>
        <w:tc>
          <w:tcPr>
            <w:tcW w:w="484" w:type="pct"/>
            <w:gridSpan w:val="2"/>
            <w:vMerge w:val="continue"/>
            <w:tcBorders>
              <w:left w:val="single" w:color="auto" w:sz="4" w:space="0"/>
              <w:right w:val="single" w:color="auto" w:sz="4" w:space="0"/>
            </w:tcBorders>
            <w:shd w:val="clear" w:color="auto" w:fill="auto"/>
            <w:noWrap/>
            <w:vAlign w:val="center"/>
          </w:tcPr>
          <w:p w14:paraId="15322FE9">
            <w:pPr>
              <w:widowControl/>
              <w:textAlignment w:val="center"/>
              <w:rPr>
                <w:rFonts w:ascii="宋体" w:hAnsi="宋体" w:eastAsia="宋体" w:cs="宋体"/>
                <w:color w:val="000000"/>
                <w:kern w:val="0"/>
                <w:szCs w:val="21"/>
                <w:lang w:bidi="ar"/>
              </w:rPr>
            </w:pPr>
          </w:p>
        </w:tc>
      </w:tr>
      <w:tr w14:paraId="025E13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88" w:hRule="atLeast"/>
        </w:trPr>
        <w:tc>
          <w:tcPr>
            <w:tcW w:w="336" w:type="pct"/>
            <w:vMerge w:val="continue"/>
            <w:tcBorders>
              <w:left w:val="single" w:color="auto" w:sz="4" w:space="0"/>
              <w:bottom w:val="single" w:color="auto" w:sz="4" w:space="0"/>
              <w:right w:val="single" w:color="auto" w:sz="4" w:space="0"/>
            </w:tcBorders>
            <w:shd w:val="clear" w:color="auto" w:fill="auto"/>
            <w:noWrap/>
            <w:vAlign w:val="center"/>
          </w:tcPr>
          <w:p w14:paraId="0CB02A7C">
            <w:pPr>
              <w:widowControl/>
              <w:jc w:val="center"/>
              <w:textAlignment w:val="center"/>
              <w:rPr>
                <w:rFonts w:hint="eastAsia" w:ascii="宋体" w:hAnsi="宋体" w:eastAsia="宋体" w:cs="宋体"/>
                <w:color w:val="000000"/>
                <w:kern w:val="0"/>
                <w:sz w:val="21"/>
                <w:szCs w:val="21"/>
                <w:lang w:bidi="ar"/>
              </w:rPr>
            </w:pPr>
          </w:p>
        </w:tc>
        <w:tc>
          <w:tcPr>
            <w:tcW w:w="624" w:type="pct"/>
            <w:vMerge w:val="continue"/>
            <w:tcBorders>
              <w:left w:val="single" w:color="auto" w:sz="4" w:space="0"/>
              <w:bottom w:val="single" w:color="auto" w:sz="4" w:space="0"/>
              <w:right w:val="single" w:color="auto" w:sz="4" w:space="0"/>
            </w:tcBorders>
            <w:shd w:val="clear" w:color="auto" w:fill="auto"/>
            <w:noWrap/>
            <w:vAlign w:val="center"/>
          </w:tcPr>
          <w:p w14:paraId="1025C304">
            <w:pPr>
              <w:keepNext w:val="0"/>
              <w:keepLines w:val="0"/>
              <w:widowControl/>
              <w:suppressLineNumbers w:val="0"/>
              <w:jc w:val="center"/>
              <w:textAlignment w:val="center"/>
              <w:rPr>
                <w:rFonts w:hint="eastAsia" w:ascii="宋体" w:hAnsi="宋体" w:eastAsia="宋体" w:cs="宋体"/>
                <w:i w:val="0"/>
                <w:color w:val="000000"/>
                <w:kern w:val="2"/>
                <w:sz w:val="21"/>
                <w:szCs w:val="21"/>
                <w:u w:val="none"/>
                <w:lang w:val="en-US" w:eastAsia="zh-CN" w:bidi="ar-SA"/>
              </w:rPr>
            </w:pPr>
          </w:p>
        </w:tc>
        <w:tc>
          <w:tcPr>
            <w:tcW w:w="47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45F989">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摄像头</w:t>
            </w:r>
          </w:p>
          <w:p w14:paraId="7EDA3CEB">
            <w:pPr>
              <w:widowControl/>
              <w:spacing w:line="280" w:lineRule="exact"/>
              <w:textAlignment w:val="center"/>
              <w:rPr>
                <w:rFonts w:ascii="宋体" w:hAnsi="宋体" w:eastAsia="宋体" w:cs="宋体"/>
                <w:color w:val="000000"/>
                <w:kern w:val="0"/>
                <w:sz w:val="21"/>
                <w:szCs w:val="21"/>
                <w:lang w:bidi="ar"/>
              </w:rPr>
            </w:pPr>
            <w:r>
              <w:rPr>
                <w:rFonts w:hint="eastAsia" w:ascii="仿宋_GB2312" w:hAnsi="仿宋_GB2312" w:eastAsia="仿宋_GB2312" w:cs="仿宋_GB2312"/>
                <w:sz w:val="21"/>
                <w:szCs w:val="21"/>
                <w:lang w:val="en-US" w:eastAsia="zh-CN"/>
              </w:rPr>
              <w:t>支架</w:t>
            </w:r>
          </w:p>
        </w:tc>
        <w:tc>
          <w:tcPr>
            <w:tcW w:w="13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83C9720">
            <w:pPr>
              <w:widowControl/>
              <w:spacing w:line="280" w:lineRule="exact"/>
              <w:ind w:firstLine="420" w:firstLineChars="200"/>
              <w:textAlignment w:val="center"/>
              <w:rPr>
                <w:rFonts w:ascii="宋体" w:hAnsi="宋体" w:eastAsia="宋体" w:cs="宋体"/>
                <w:color w:val="000000"/>
                <w:kern w:val="0"/>
                <w:sz w:val="21"/>
                <w:szCs w:val="21"/>
                <w:lang w:bidi="ar"/>
              </w:rPr>
            </w:pPr>
            <w:r>
              <w:rPr>
                <w:rFonts w:hint="eastAsia" w:ascii="仿宋_GB2312" w:hAnsi="仿宋_GB2312" w:eastAsia="仿宋_GB2312" w:cs="仿宋_GB2312"/>
                <w:sz w:val="21"/>
                <w:szCs w:val="21"/>
                <w:lang w:val="en-US" w:eastAsia="zh-CN"/>
              </w:rPr>
              <w:t>最大可承载500g以上云台摄像机，用于摄像头支架，通过支架将摄像头置于考场中，实现摄像头的移动应用，无需繁琐的安装工作。</w:t>
            </w:r>
          </w:p>
        </w:tc>
        <w:tc>
          <w:tcPr>
            <w:tcW w:w="831" w:type="pct"/>
            <w:vMerge w:val="continue"/>
            <w:tcBorders>
              <w:left w:val="single" w:color="auto" w:sz="4" w:space="0"/>
              <w:bottom w:val="single" w:color="auto" w:sz="4" w:space="0"/>
              <w:right w:val="single" w:color="auto" w:sz="4" w:space="0"/>
            </w:tcBorders>
            <w:shd w:val="clear" w:color="auto" w:fill="auto"/>
            <w:noWrap/>
            <w:vAlign w:val="center"/>
          </w:tcPr>
          <w:p w14:paraId="56A5BBB7">
            <w:pPr>
              <w:widowControl/>
              <w:jc w:val="center"/>
              <w:textAlignment w:val="center"/>
              <w:rPr>
                <w:rFonts w:hint="eastAsia" w:ascii="宋体" w:hAnsi="宋体" w:eastAsia="宋体" w:cs="宋体"/>
                <w:color w:val="000000"/>
                <w:kern w:val="0"/>
                <w:szCs w:val="21"/>
                <w:lang w:val="en-US" w:eastAsia="zh-CN" w:bidi="ar"/>
              </w:rPr>
            </w:pPr>
          </w:p>
        </w:tc>
        <w:tc>
          <w:tcPr>
            <w:tcW w:w="482" w:type="pct"/>
            <w:vMerge w:val="continue"/>
            <w:tcBorders>
              <w:left w:val="single" w:color="auto" w:sz="4" w:space="0"/>
              <w:bottom w:val="single" w:color="auto" w:sz="4" w:space="0"/>
              <w:right w:val="single" w:color="auto" w:sz="4" w:space="0"/>
            </w:tcBorders>
          </w:tcPr>
          <w:p w14:paraId="28A1596F">
            <w:pPr>
              <w:widowControl/>
              <w:jc w:val="center"/>
              <w:textAlignment w:val="center"/>
              <w:rPr>
                <w:rFonts w:hint="eastAsia" w:ascii="宋体" w:hAnsi="宋体" w:eastAsia="宋体" w:cs="宋体"/>
                <w:color w:val="000000"/>
                <w:kern w:val="0"/>
                <w:szCs w:val="21"/>
                <w:lang w:val="en-US" w:eastAsia="zh-CN" w:bidi="ar"/>
              </w:rPr>
            </w:pPr>
          </w:p>
        </w:tc>
        <w:tc>
          <w:tcPr>
            <w:tcW w:w="437" w:type="pct"/>
            <w:vMerge w:val="continue"/>
            <w:tcBorders>
              <w:left w:val="single" w:color="auto" w:sz="4" w:space="0"/>
              <w:bottom w:val="single" w:color="auto" w:sz="4" w:space="0"/>
              <w:right w:val="single" w:color="auto" w:sz="4" w:space="0"/>
            </w:tcBorders>
            <w:vAlign w:val="center"/>
          </w:tcPr>
          <w:p w14:paraId="46FFA888">
            <w:pPr>
              <w:widowControl/>
              <w:jc w:val="center"/>
              <w:textAlignment w:val="center"/>
              <w:rPr>
                <w:rFonts w:ascii="宋体" w:hAnsi="宋体" w:eastAsia="宋体" w:cs="宋体"/>
                <w:color w:val="000000"/>
                <w:kern w:val="0"/>
                <w:szCs w:val="21"/>
                <w:lang w:bidi="ar"/>
              </w:rPr>
            </w:pPr>
          </w:p>
        </w:tc>
        <w:tc>
          <w:tcPr>
            <w:tcW w:w="484" w:type="pct"/>
            <w:gridSpan w:val="2"/>
            <w:vMerge w:val="continue"/>
            <w:tcBorders>
              <w:left w:val="single" w:color="auto" w:sz="4" w:space="0"/>
              <w:bottom w:val="single" w:color="auto" w:sz="4" w:space="0"/>
              <w:right w:val="single" w:color="auto" w:sz="4" w:space="0"/>
            </w:tcBorders>
            <w:shd w:val="clear" w:color="auto" w:fill="auto"/>
            <w:noWrap/>
            <w:vAlign w:val="center"/>
          </w:tcPr>
          <w:p w14:paraId="4AF26E2B">
            <w:pPr>
              <w:widowControl/>
              <w:textAlignment w:val="center"/>
              <w:rPr>
                <w:rFonts w:ascii="宋体" w:hAnsi="宋体" w:eastAsia="宋体" w:cs="宋体"/>
                <w:color w:val="000000"/>
                <w:kern w:val="0"/>
                <w:szCs w:val="21"/>
                <w:lang w:bidi="ar"/>
              </w:rPr>
            </w:pPr>
          </w:p>
        </w:tc>
      </w:tr>
      <w:tr w14:paraId="22BBC0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85" w:hRule="atLeast"/>
        </w:trPr>
        <w:tc>
          <w:tcPr>
            <w:tcW w:w="33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66700FD">
            <w:pPr>
              <w:widowControl/>
              <w:jc w:val="center"/>
              <w:textAlignment w:val="center"/>
              <w:rPr>
                <w:rFonts w:hint="eastAsia" w:ascii="宋体" w:hAnsi="宋体" w:eastAsia="宋体" w:cs="宋体"/>
                <w:color w:val="000000"/>
                <w:kern w:val="0"/>
                <w:szCs w:val="21"/>
                <w:lang w:val="en-US" w:eastAsia="zh-CN" w:bidi="ar"/>
              </w:rPr>
            </w:pPr>
            <w:r>
              <w:rPr>
                <w:rFonts w:hint="eastAsia" w:ascii="宋体" w:hAnsi="宋体" w:eastAsia="宋体" w:cs="宋体"/>
                <w:color w:val="000000"/>
                <w:kern w:val="0"/>
                <w:szCs w:val="21"/>
                <w:lang w:val="en-US" w:eastAsia="zh-CN" w:bidi="ar"/>
              </w:rPr>
              <w:t>2</w:t>
            </w:r>
          </w:p>
        </w:tc>
        <w:tc>
          <w:tcPr>
            <w:tcW w:w="62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69FBA29">
            <w:pPr>
              <w:widowControl/>
              <w:spacing w:line="280" w:lineRule="exact"/>
              <w:jc w:val="center"/>
              <w:textAlignment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考位</w:t>
            </w:r>
          </w:p>
          <w:p w14:paraId="3CB52678">
            <w:pPr>
              <w:widowControl/>
              <w:spacing w:line="280" w:lineRule="exact"/>
              <w:jc w:val="center"/>
              <w:textAlignment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摄像头</w:t>
            </w:r>
          </w:p>
        </w:tc>
        <w:tc>
          <w:tcPr>
            <w:tcW w:w="47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E6BF36">
            <w:pPr>
              <w:widowControl/>
              <w:spacing w:line="280" w:lineRule="exact"/>
              <w:textAlignment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摄像头</w:t>
            </w:r>
          </w:p>
        </w:tc>
        <w:tc>
          <w:tcPr>
            <w:tcW w:w="13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68C364F">
            <w:pPr>
              <w:widowControl/>
              <w:spacing w:line="280" w:lineRule="exact"/>
              <w:ind w:firstLine="420" w:firstLineChars="200"/>
              <w:textAlignment w:val="center"/>
              <w:rPr>
                <w:rFonts w:hint="eastAsia" w:ascii="仿宋_GB2312" w:hAnsi="仿宋_GB2312" w:eastAsia="仿宋_GB2312" w:cs="仿宋_GB2312"/>
                <w:sz w:val="21"/>
                <w:szCs w:val="21"/>
                <w:lang w:val="en-US" w:eastAsia="zh-CN"/>
              </w:rPr>
            </w:pPr>
            <w:r>
              <w:rPr>
                <w:rFonts w:hint="default" w:ascii="Times New Roman" w:hAnsi="Times New Roman" w:eastAsia="仿宋_GB2312" w:cs="Times New Roman"/>
                <w:sz w:val="21"/>
                <w:szCs w:val="21"/>
                <w:lang w:val="en-US" w:eastAsia="zh-CN"/>
              </w:rPr>
              <w:t>摄像头选用USB免驱高清摄像头，分辨率不低于1080P，兼容 Windows 系统，能完成考生人脸核验。</w:t>
            </w:r>
          </w:p>
        </w:tc>
        <w:tc>
          <w:tcPr>
            <w:tcW w:w="83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D66E017">
            <w:pPr>
              <w:widowControl/>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Cs w:val="21"/>
                <w:lang w:val="en-US" w:eastAsia="zh-CN" w:bidi="ar"/>
              </w:rPr>
              <w:t>420个</w:t>
            </w:r>
          </w:p>
        </w:tc>
        <w:tc>
          <w:tcPr>
            <w:tcW w:w="482" w:type="pct"/>
            <w:tcBorders>
              <w:top w:val="single" w:color="auto" w:sz="4" w:space="0"/>
              <w:left w:val="single" w:color="auto" w:sz="4" w:space="0"/>
              <w:bottom w:val="single" w:color="auto" w:sz="4" w:space="0"/>
              <w:right w:val="single" w:color="auto" w:sz="4" w:space="0"/>
            </w:tcBorders>
            <w:vAlign w:val="center"/>
          </w:tcPr>
          <w:p w14:paraId="0E583E60">
            <w:pPr>
              <w:widowControl/>
              <w:jc w:val="both"/>
              <w:textAlignment w:val="center"/>
              <w:rPr>
                <w:rFonts w:hint="default" w:ascii="宋体" w:hAnsi="宋体" w:eastAsia="宋体" w:cs="宋体"/>
                <w:color w:val="000000"/>
                <w:kern w:val="0"/>
                <w:szCs w:val="21"/>
                <w:lang w:val="en-US" w:eastAsia="zh-CN" w:bidi="ar"/>
              </w:rPr>
            </w:pPr>
          </w:p>
        </w:tc>
        <w:tc>
          <w:tcPr>
            <w:tcW w:w="437" w:type="pct"/>
            <w:tcBorders>
              <w:top w:val="single" w:color="auto" w:sz="4" w:space="0"/>
              <w:left w:val="single" w:color="auto" w:sz="4" w:space="0"/>
              <w:bottom w:val="single" w:color="auto" w:sz="4" w:space="0"/>
              <w:right w:val="single" w:color="auto" w:sz="4" w:space="0"/>
            </w:tcBorders>
          </w:tcPr>
          <w:p w14:paraId="720E6E91">
            <w:pPr>
              <w:widowControl/>
              <w:jc w:val="center"/>
              <w:textAlignment w:val="center"/>
              <w:rPr>
                <w:rFonts w:ascii="宋体" w:hAnsi="宋体" w:eastAsia="宋体" w:cs="宋体"/>
                <w:color w:val="000000"/>
                <w:kern w:val="0"/>
                <w:szCs w:val="21"/>
                <w:lang w:bidi="ar"/>
              </w:rPr>
            </w:pPr>
          </w:p>
        </w:tc>
        <w:tc>
          <w:tcPr>
            <w:tcW w:w="484"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BC3F7BB">
            <w:pPr>
              <w:widowControl/>
              <w:textAlignment w:val="center"/>
              <w:rPr>
                <w:rFonts w:ascii="宋体" w:hAnsi="宋体" w:eastAsia="宋体" w:cs="宋体"/>
                <w:color w:val="000000"/>
                <w:kern w:val="0"/>
                <w:szCs w:val="21"/>
                <w:lang w:bidi="ar"/>
              </w:rPr>
            </w:pPr>
          </w:p>
        </w:tc>
      </w:tr>
      <w:tr w14:paraId="7DDCD2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4" w:hRule="atLeast"/>
        </w:trPr>
        <w:tc>
          <w:tcPr>
            <w:tcW w:w="5000" w:type="pct"/>
            <w:gridSpan w:val="9"/>
            <w:tcBorders>
              <w:top w:val="single" w:color="auto" w:sz="4" w:space="0"/>
              <w:left w:val="single" w:color="auto" w:sz="4" w:space="0"/>
              <w:bottom w:val="single" w:color="auto" w:sz="4" w:space="0"/>
              <w:right w:val="single" w:color="auto" w:sz="4" w:space="0"/>
            </w:tcBorders>
            <w:shd w:val="clear" w:color="auto" w:fill="auto"/>
            <w:noWrap/>
            <w:vAlign w:val="center"/>
          </w:tcPr>
          <w:p w14:paraId="668BFBF5">
            <w:pPr>
              <w:widowControl/>
              <w:jc w:val="left"/>
              <w:textAlignment w:val="center"/>
              <w:rPr>
                <w:rFonts w:cs="宋体" w:asciiTheme="minorEastAsia" w:hAnsiTheme="minorEastAsia"/>
                <w:color w:val="000000"/>
                <w:kern w:val="0"/>
                <w:szCs w:val="21"/>
                <w:lang w:bidi="ar"/>
              </w:rPr>
            </w:pPr>
            <w:r>
              <w:rPr>
                <w:rFonts w:hint="eastAsia" w:cs="仿宋" w:asciiTheme="minorEastAsia" w:hAnsiTheme="minorEastAsia"/>
                <w:color w:val="000000" w:themeColor="text1"/>
                <w:sz w:val="28"/>
                <w14:textFill>
                  <w14:solidFill>
                    <w14:schemeClr w14:val="tx1"/>
                  </w14:solidFill>
                </w14:textFill>
              </w:rPr>
              <w:t>合计报价金额（人民币大写）</w:t>
            </w:r>
            <w:r>
              <w:rPr>
                <w:rFonts w:hint="eastAsia" w:cs="仿宋" w:asciiTheme="minorEastAsia" w:hAnsiTheme="minorEastAsia"/>
                <w:color w:val="000000" w:themeColor="text1"/>
                <w:sz w:val="28"/>
                <w:u w:val="single"/>
                <w14:textFill>
                  <w14:solidFill>
                    <w14:schemeClr w14:val="tx1"/>
                  </w14:solidFill>
                </w14:textFill>
              </w:rPr>
              <w:t xml:space="preserve">                           </w:t>
            </w:r>
            <w:r>
              <w:rPr>
                <w:rFonts w:hint="eastAsia" w:cs="仿宋" w:asciiTheme="minorEastAsia" w:hAnsiTheme="minorEastAsia"/>
                <w:color w:val="000000" w:themeColor="text1"/>
                <w:sz w:val="28"/>
                <w14:textFill>
                  <w14:solidFill>
                    <w14:schemeClr w14:val="tx1"/>
                  </w14:solidFill>
                </w14:textFill>
              </w:rPr>
              <w:t xml:space="preserve">（¥ </w:t>
            </w:r>
            <w:r>
              <w:rPr>
                <w:rFonts w:hint="eastAsia" w:cs="仿宋" w:asciiTheme="minorEastAsia" w:hAnsiTheme="minorEastAsia"/>
                <w:color w:val="000000" w:themeColor="text1"/>
                <w:sz w:val="28"/>
                <w:u w:val="single"/>
                <w14:textFill>
                  <w14:solidFill>
                    <w14:schemeClr w14:val="tx1"/>
                  </w14:solidFill>
                </w14:textFill>
              </w:rPr>
              <w:t xml:space="preserve">             </w:t>
            </w:r>
            <w:r>
              <w:rPr>
                <w:rFonts w:hint="eastAsia" w:cs="仿宋" w:asciiTheme="minorEastAsia" w:hAnsiTheme="minorEastAsia"/>
                <w:color w:val="000000" w:themeColor="text1"/>
                <w:sz w:val="28"/>
                <w14:textFill>
                  <w14:solidFill>
                    <w14:schemeClr w14:val="tx1"/>
                  </w14:solidFill>
                </w14:textFill>
              </w:rPr>
              <w:t>）</w:t>
            </w:r>
          </w:p>
        </w:tc>
      </w:tr>
      <w:tr w14:paraId="3763CB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4" w:hRule="atLeast"/>
        </w:trPr>
        <w:tc>
          <w:tcPr>
            <w:tcW w:w="5000" w:type="pct"/>
            <w:gridSpan w:val="9"/>
            <w:tcBorders>
              <w:top w:val="single" w:color="auto" w:sz="4" w:space="0"/>
              <w:left w:val="single" w:color="auto" w:sz="4" w:space="0"/>
              <w:bottom w:val="single" w:color="auto" w:sz="4" w:space="0"/>
              <w:right w:val="single" w:color="auto" w:sz="4" w:space="0"/>
            </w:tcBorders>
          </w:tcPr>
          <w:p w14:paraId="482B3B9D">
            <w:pPr>
              <w:rPr>
                <w:rFonts w:ascii="宋体" w:hAnsi="宋体" w:eastAsia="宋体" w:cs="宋体"/>
                <w:b/>
                <w:sz w:val="24"/>
              </w:rPr>
            </w:pPr>
          </w:p>
          <w:p w14:paraId="6C41941E">
            <w:pPr>
              <w:rPr>
                <w:rFonts w:ascii="宋体" w:hAnsi="宋体" w:eastAsia="宋体" w:cs="宋体"/>
                <w:b/>
                <w:sz w:val="24"/>
              </w:rPr>
            </w:pPr>
          </w:p>
          <w:p w14:paraId="5945A091">
            <w:pPr>
              <w:rPr>
                <w:rFonts w:ascii="宋体" w:hAnsi="宋体" w:eastAsia="宋体" w:cs="宋体"/>
                <w:b/>
                <w:sz w:val="24"/>
              </w:rPr>
            </w:pPr>
          </w:p>
          <w:p w14:paraId="4D90B556">
            <w:pPr>
              <w:rPr>
                <w:rFonts w:ascii="宋体" w:hAnsi="宋体" w:eastAsia="宋体" w:cs="宋体"/>
                <w:b/>
                <w:sz w:val="24"/>
              </w:rPr>
            </w:pPr>
            <w:r>
              <w:rPr>
                <w:rFonts w:hint="eastAsia" w:ascii="宋体" w:hAnsi="宋体" w:eastAsia="宋体" w:cs="宋体"/>
                <w:b/>
                <w:sz w:val="24"/>
              </w:rPr>
              <w:t>单位名称（盖章）：                                    日期：</w:t>
            </w:r>
          </w:p>
          <w:p w14:paraId="0C223896">
            <w:pPr>
              <w:rPr>
                <w:rFonts w:ascii="宋体" w:hAnsi="宋体" w:eastAsia="宋体" w:cs="宋体"/>
                <w:b/>
                <w:sz w:val="24"/>
              </w:rPr>
            </w:pPr>
          </w:p>
          <w:p w14:paraId="393E0A69">
            <w:pPr>
              <w:rPr>
                <w:rFonts w:ascii="宋体" w:hAnsi="宋体" w:eastAsia="宋体" w:cs="宋体"/>
                <w:b/>
                <w:sz w:val="24"/>
              </w:rPr>
            </w:pPr>
          </w:p>
          <w:p w14:paraId="581DAFCA">
            <w:pPr>
              <w:rPr>
                <w:rFonts w:ascii="宋体" w:hAnsi="宋体" w:eastAsia="宋体" w:cs="宋体"/>
                <w:sz w:val="24"/>
              </w:rPr>
            </w:pPr>
            <w:r>
              <w:rPr>
                <w:rFonts w:hint="eastAsia" w:ascii="宋体" w:hAnsi="宋体" w:eastAsia="宋体" w:cs="宋体"/>
                <w:b/>
                <w:sz w:val="24"/>
              </w:rPr>
              <w:t>法定代表人（或委托代理人）签字：                 联系人及电话：</w:t>
            </w:r>
          </w:p>
        </w:tc>
      </w:tr>
    </w:tbl>
    <w:p w14:paraId="77C39EA8">
      <w:pPr>
        <w:spacing w:line="240" w:lineRule="exact"/>
        <w:rPr>
          <w:rFonts w:hint="eastAsia"/>
        </w:rPr>
      </w:pPr>
    </w:p>
    <w:p w14:paraId="0D42554A">
      <w:pPr>
        <w:spacing w:line="240" w:lineRule="exact"/>
      </w:pPr>
      <w:r>
        <w:rPr>
          <w:rFonts w:hint="eastAsia"/>
        </w:rPr>
        <w:t>注意事项：</w:t>
      </w:r>
    </w:p>
    <w:p w14:paraId="378E9274">
      <w:pPr>
        <w:spacing w:line="240" w:lineRule="exact"/>
        <w:ind w:firstLine="420" w:firstLineChars="200"/>
      </w:pPr>
      <w:r>
        <w:rPr>
          <w:rFonts w:hint="eastAsia"/>
        </w:rPr>
        <w:t>1.表格内容均需按要求完整填写并盖章，不得留空，否则按无效响应处理。报价供应商应在报价表上标明单项价格和总价。如果因供应商原因引起的报价失误，并在报价后被接受，其后果由供应商自负。</w:t>
      </w:r>
    </w:p>
    <w:p w14:paraId="47FDEDDE">
      <w:pPr>
        <w:spacing w:line="240" w:lineRule="exact"/>
        <w:ind w:firstLine="420" w:firstLineChars="200"/>
      </w:pPr>
      <w:r>
        <w:rPr>
          <w:rFonts w:hint="eastAsia"/>
        </w:rPr>
        <w:t>2.本项目只接受报价人一次性报价，本次报价包括但不限于完成本项目所需的各项成本:人工(安装调试服务和售后服务）以及产生的交通费用、商品运输、税金等全部费用，质保详见参数。</w:t>
      </w:r>
    </w:p>
    <w:p w14:paraId="5886AF22">
      <w:pPr>
        <w:spacing w:line="240" w:lineRule="exact"/>
        <w:ind w:firstLine="420" w:firstLineChars="200"/>
      </w:pPr>
      <w:r>
        <w:rPr>
          <w:rFonts w:hint="eastAsia"/>
        </w:rPr>
        <w:t>3.质量保证：提供的商品必须是全新的、未使用过的，商品完全符合原厂质量检测标准和国家质量检测标准。</w:t>
      </w:r>
    </w:p>
    <w:p w14:paraId="133FD311">
      <w:pPr>
        <w:spacing w:line="240" w:lineRule="exact"/>
        <w:ind w:firstLine="420" w:firstLineChars="200"/>
        <w:rPr>
          <w:rFonts w:hint="eastAsia"/>
        </w:rPr>
      </w:pPr>
      <w:r>
        <w:rPr>
          <w:rFonts w:hint="eastAsia"/>
        </w:rPr>
        <w:t>4.供货时间、地点：成交供应商在签订合同后</w:t>
      </w:r>
      <w:r>
        <w:rPr>
          <w:rFonts w:hint="eastAsia"/>
          <w:lang w:val="en-US" w:eastAsia="zh-CN"/>
        </w:rPr>
        <w:t>3</w:t>
      </w:r>
      <w:r>
        <w:rPr>
          <w:rFonts w:hint="eastAsia"/>
        </w:rPr>
        <w:t>日内完成设备备货，具体送货、安装时间及地点以采购人通知为准。</w:t>
      </w:r>
    </w:p>
    <w:p w14:paraId="6B1BD300">
      <w:pPr>
        <w:spacing w:line="240" w:lineRule="exact"/>
        <w:ind w:firstLine="420" w:firstLineChars="200"/>
      </w:pPr>
      <w:r>
        <w:rPr>
          <w:rFonts w:hint="eastAsia"/>
        </w:rPr>
        <w:t>5. 商品完成卸货后，由采购人对商品的质量、规格、数量等进行检验，验收时如发现商品在质量、规格、数量与报价表不符，采购人有权拒绝接受。 如通过验收，商品按采购人要求安装到指定位置。</w:t>
      </w:r>
    </w:p>
    <w:p w14:paraId="3BFD2BAE">
      <w:pPr>
        <w:spacing w:line="240" w:lineRule="exact"/>
        <w:ind w:firstLine="420" w:firstLineChars="200"/>
      </w:pPr>
      <w:r>
        <w:rPr>
          <w:rFonts w:hint="eastAsia"/>
        </w:rPr>
        <w:t>6.成交供应商须免费送货上门，自行承担运输途中的破损责任。如出现商品质量问题、厂家召回等情况时，须及时通知采购人。</w:t>
      </w:r>
    </w:p>
    <w:p w14:paraId="33B3A785">
      <w:pPr>
        <w:spacing w:line="240" w:lineRule="exact"/>
      </w:pPr>
    </w:p>
    <w:p w14:paraId="0A9D7C0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25D65E9"/>
    <w:rsid w:val="58C32342"/>
    <w:rsid w:val="600C0A25"/>
    <w:rsid w:val="6B60554F"/>
    <w:rsid w:val="6C7356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1079</Words>
  <Characters>1140</Characters>
  <Lines>0</Lines>
  <Paragraphs>0</Paragraphs>
  <TotalTime>2</TotalTime>
  <ScaleCrop>false</ScaleCrop>
  <LinksUpToDate>false</LinksUpToDate>
  <CharactersWithSpaces>1255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2026-09-22T12:31:00Z</dcterms:created>
  <dc:creator>阳</dc:creator>
  <cp:lastModifiedBy>邓发明</cp:lastModifiedBy>
  <dcterms:modified xsi:type="dcterms:W3CDTF">2026-10-09T02:58:23Z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eyJoZGlkIjoiNzFkNzA1Yjc3NGMwZGRiZTAwNmQ4MmZkNTFkODRlZTgiLCJ1c2VySWQiOiIxNTg2MzI5ODQwIn0=</vt:lpwstr>
  </property>
  <property fmtid="{D5CDD505-2E9C-101B-9397-08002B2CF9AE}" pid="4" name="ICV">
    <vt:lpwstr>EECD18AE594049D19659CB5C5AB3C498_12</vt:lpwstr>
  </property>
</Properties>
</file>