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FDA62">
      <w:pPr>
        <w:jc w:val="left"/>
        <w:rPr>
          <w:rFonts w:ascii="宋体" w:hAnsi="宋体"/>
          <w:sz w:val="28"/>
          <w:szCs w:val="28"/>
        </w:rPr>
      </w:pPr>
      <w:bookmarkStart w:id="3" w:name="_GoBack"/>
      <w:r>
        <w:rPr>
          <w:rFonts w:hint="eastAsia" w:ascii="宋体" w:hAnsi="宋体"/>
          <w:sz w:val="28"/>
          <w:szCs w:val="28"/>
        </w:rPr>
        <w:t>附件：</w:t>
      </w:r>
    </w:p>
    <w:p w14:paraId="7F039093">
      <w:pPr>
        <w:spacing w:line="560" w:lineRule="exact"/>
        <w:jc w:val="center"/>
        <w:rPr>
          <w:rFonts w:ascii="宋体" w:hAnsi="宋体"/>
          <w:b/>
          <w:sz w:val="36"/>
          <w:szCs w:val="36"/>
        </w:rPr>
      </w:pPr>
      <w:r>
        <w:rPr>
          <w:rFonts w:hint="eastAsia" w:ascii="宋体" w:hAnsi="宋体"/>
          <w:b/>
          <w:sz w:val="36"/>
          <w:szCs w:val="36"/>
          <w:lang w:eastAsia="zh-CN"/>
        </w:rPr>
        <w:t>2025</w:t>
      </w:r>
      <w:r>
        <w:rPr>
          <w:rFonts w:ascii="宋体" w:hAnsi="宋体"/>
          <w:b/>
          <w:sz w:val="36"/>
          <w:szCs w:val="36"/>
        </w:rPr>
        <w:t>年广西财经学院中国-东盟统计学院二期项目</w:t>
      </w:r>
      <w:r>
        <w:rPr>
          <w:rFonts w:hint="eastAsia" w:ascii="宋体" w:hAnsi="宋体"/>
          <w:b/>
          <w:sz w:val="36"/>
          <w:szCs w:val="36"/>
          <w:lang w:eastAsia="zh-CN"/>
        </w:rPr>
        <w:t>学生宿舍</w:t>
      </w:r>
      <w:r>
        <w:rPr>
          <w:rFonts w:ascii="宋体" w:hAnsi="宋体"/>
          <w:b/>
          <w:sz w:val="36"/>
          <w:szCs w:val="36"/>
        </w:rPr>
        <w:t>楼工程详细勘察项目</w:t>
      </w:r>
      <w:r>
        <w:rPr>
          <w:rFonts w:hint="eastAsia" w:ascii="宋体" w:hAnsi="宋体"/>
          <w:b/>
          <w:sz w:val="36"/>
          <w:szCs w:val="36"/>
        </w:rPr>
        <w:t>采购报价单</w:t>
      </w:r>
    </w:p>
    <w:bookmarkEnd w:id="3"/>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6911"/>
      </w:tblGrid>
      <w:tr w14:paraId="14C7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4" w:type="pct"/>
            <w:vAlign w:val="center"/>
          </w:tcPr>
          <w:p w14:paraId="7A349544">
            <w:pPr>
              <w:keepNext w:val="0"/>
              <w:keepLines w:val="0"/>
              <w:suppressLineNumbers w:val="0"/>
              <w:spacing w:before="0" w:beforeAutospacing="0" w:after="0" w:afterAutospacing="0"/>
              <w:ind w:left="0" w:right="0"/>
              <w:jc w:val="center"/>
              <w:rPr>
                <w:rFonts w:hint="default" w:ascii="宋体" w:hAnsi="宋体"/>
                <w:sz w:val="28"/>
                <w:szCs w:val="36"/>
              </w:rPr>
            </w:pPr>
            <w:r>
              <w:rPr>
                <w:rFonts w:hint="default" w:ascii="宋体" w:hAnsi="宋体"/>
                <w:b/>
                <w:sz w:val="28"/>
                <w:szCs w:val="36"/>
              </w:rPr>
              <w:t>项目名称</w:t>
            </w:r>
          </w:p>
        </w:tc>
        <w:tc>
          <w:tcPr>
            <w:tcW w:w="4055" w:type="pct"/>
            <w:vAlign w:val="center"/>
          </w:tcPr>
          <w:p w14:paraId="6F4D58DA">
            <w:pPr>
              <w:keepNext w:val="0"/>
              <w:keepLines w:val="0"/>
              <w:suppressLineNumbers w:val="0"/>
              <w:spacing w:before="0" w:beforeAutospacing="0" w:after="0" w:afterAutospacing="0"/>
              <w:ind w:left="0" w:right="0"/>
              <w:jc w:val="center"/>
              <w:rPr>
                <w:rFonts w:hint="default" w:ascii="宋体" w:hAnsi="宋体"/>
                <w:b/>
                <w:sz w:val="28"/>
                <w:szCs w:val="36"/>
              </w:rPr>
            </w:pPr>
            <w:r>
              <w:rPr>
                <w:rFonts w:hint="default" w:ascii="宋体" w:hAnsi="宋体"/>
                <w:b/>
                <w:sz w:val="28"/>
                <w:szCs w:val="36"/>
              </w:rPr>
              <w:t>项目规模及服务内容</w:t>
            </w:r>
          </w:p>
        </w:tc>
      </w:tr>
      <w:tr w14:paraId="1D23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44" w:type="pct"/>
            <w:vAlign w:val="center"/>
          </w:tcPr>
          <w:p w14:paraId="5B74EB5D">
            <w:pPr>
              <w:keepNext w:val="0"/>
              <w:keepLines w:val="0"/>
              <w:suppressLineNumbers w:val="0"/>
              <w:spacing w:before="0" w:beforeAutospacing="0" w:after="0" w:afterAutospacing="0" w:line="560" w:lineRule="exact"/>
              <w:ind w:left="0" w:right="0"/>
              <w:rPr>
                <w:rFonts w:hint="default" w:ascii="宋体" w:hAnsi="宋体"/>
                <w:b/>
                <w:sz w:val="28"/>
                <w:szCs w:val="36"/>
              </w:rPr>
            </w:pPr>
            <w:r>
              <w:rPr>
                <w:rFonts w:hint="eastAsia" w:ascii="仿宋_GB2312" w:hAnsi="仿宋_GB2312" w:eastAsia="仿宋_GB2312" w:cs="仿宋_GB2312"/>
                <w:sz w:val="28"/>
                <w:szCs w:val="28"/>
                <w:lang w:eastAsia="zh-CN"/>
              </w:rPr>
              <w:t>2025</w:t>
            </w:r>
            <w:r>
              <w:rPr>
                <w:rFonts w:hint="default" w:ascii="仿宋_GB2312" w:hAnsi="仿宋_GB2312" w:eastAsia="仿宋_GB2312" w:cs="仿宋_GB2312"/>
                <w:sz w:val="28"/>
                <w:szCs w:val="28"/>
              </w:rPr>
              <w:t>年广西财经学院中国-东盟统计学院二期项目</w:t>
            </w:r>
            <w:r>
              <w:rPr>
                <w:rFonts w:hint="eastAsia" w:ascii="仿宋_GB2312" w:hAnsi="仿宋_GB2312" w:eastAsia="仿宋_GB2312" w:cs="仿宋_GB2312"/>
                <w:sz w:val="28"/>
                <w:szCs w:val="28"/>
                <w:lang w:eastAsia="zh-CN"/>
              </w:rPr>
              <w:t>学生宿舍</w:t>
            </w:r>
            <w:r>
              <w:rPr>
                <w:rFonts w:hint="default" w:ascii="仿宋_GB2312" w:hAnsi="仿宋_GB2312" w:eastAsia="仿宋_GB2312" w:cs="仿宋_GB2312"/>
                <w:sz w:val="28"/>
                <w:szCs w:val="28"/>
              </w:rPr>
              <w:t>楼工程详细勘察项目</w:t>
            </w:r>
          </w:p>
        </w:tc>
        <w:tc>
          <w:tcPr>
            <w:tcW w:w="4055" w:type="pct"/>
            <w:vAlign w:val="center"/>
          </w:tcPr>
          <w:p w14:paraId="3504E8EE">
            <w:pPr>
              <w:keepNext w:val="0"/>
              <w:keepLines w:val="0"/>
              <w:suppressLineNumbers w:val="0"/>
              <w:spacing w:before="0" w:beforeAutospacing="0" w:after="0" w:afterAutospacing="0" w:line="560" w:lineRule="exact"/>
              <w:ind w:left="0" w:right="0" w:firstLine="480" w:firstLineChars="200"/>
              <w:rPr>
                <w:rFonts w:hint="default" w:ascii="仿宋" w:hAnsi="仿宋" w:eastAsia="仿宋" w:cs="仿宋"/>
                <w:bCs/>
                <w:sz w:val="24"/>
              </w:rPr>
            </w:pPr>
            <w:r>
              <w:rPr>
                <w:rFonts w:hint="eastAsia" w:ascii="仿宋" w:hAnsi="仿宋" w:eastAsia="仿宋" w:cs="仿宋"/>
                <w:bCs/>
                <w:sz w:val="24"/>
              </w:rPr>
              <w:t>（一）</w:t>
            </w:r>
            <w:r>
              <w:rPr>
                <w:rFonts w:hint="default" w:ascii="仿宋" w:hAnsi="仿宋" w:eastAsia="仿宋" w:cs="仿宋"/>
                <w:bCs/>
                <w:sz w:val="24"/>
                <w:woUserID w:val="1"/>
              </w:rPr>
              <w:t>建设</w:t>
            </w:r>
            <w:r>
              <w:rPr>
                <w:rFonts w:hint="eastAsia" w:ascii="仿宋" w:hAnsi="仿宋" w:eastAsia="仿宋" w:cs="仿宋"/>
                <w:bCs/>
                <w:sz w:val="24"/>
              </w:rPr>
              <w:t>地点：南宁市大学西路189号，广西财经学院相思湖校区；</w:t>
            </w:r>
          </w:p>
          <w:p w14:paraId="1C19841F">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eastAsia" w:ascii="仿宋" w:hAnsi="仿宋" w:eastAsia="仿宋" w:cs="仿宋"/>
                <w:bCs/>
                <w:sz w:val="24"/>
              </w:rPr>
              <w:t>（二）</w:t>
            </w:r>
            <w:r>
              <w:rPr>
                <w:rFonts w:hint="default" w:ascii="仿宋" w:hAnsi="仿宋" w:eastAsia="仿宋" w:cs="仿宋"/>
                <w:bCs/>
                <w:sz w:val="24"/>
                <w:woUserID w:val="1"/>
              </w:rPr>
              <w:t>建设</w:t>
            </w:r>
            <w:r>
              <w:rPr>
                <w:rFonts w:hint="eastAsia" w:ascii="仿宋" w:hAnsi="仿宋" w:eastAsia="仿宋" w:cs="仿宋"/>
                <w:bCs/>
                <w:sz w:val="24"/>
              </w:rPr>
              <w:t>规模:总建筑面积12036.01平方米，其中学生宿舍楼建筑面积约11996.01平方米，占地面积约2202.20平方米；校门建筑面积约40平方米，占地面积约40平方米。建设规模以通过规划审批部门审批的总平图及方案为准。</w:t>
            </w:r>
          </w:p>
          <w:p w14:paraId="5FDFD074">
            <w:pPr>
              <w:keepNext w:val="0"/>
              <w:keepLines w:val="0"/>
              <w:widowControl/>
              <w:suppressLineNumbers w:val="0"/>
              <w:spacing w:before="0" w:beforeAutospacing="0" w:after="0" w:afterAutospacing="0" w:line="560" w:lineRule="exact"/>
              <w:ind w:left="0" w:right="0" w:firstLine="0" w:firstLineChars="0"/>
              <w:jc w:val="left"/>
              <w:rPr>
                <w:rFonts w:hint="default" w:ascii="仿宋" w:hAnsi="仿宋" w:eastAsia="仿宋" w:cs="仿宋"/>
                <w:bCs/>
                <w:sz w:val="24"/>
              </w:rPr>
            </w:pPr>
            <w:r>
              <w:rPr>
                <w:rFonts w:hint="default" w:ascii="仿宋" w:hAnsi="仿宋" w:eastAsia="仿宋" w:cs="仿宋"/>
                <w:bCs/>
                <w:sz w:val="24"/>
                <w:woUserID w:val="1"/>
              </w:rPr>
              <w:t xml:space="preserve">    </w:t>
            </w:r>
            <w:r>
              <w:rPr>
                <w:rFonts w:hint="eastAsia" w:ascii="仿宋" w:hAnsi="仿宋" w:eastAsia="仿宋" w:cs="仿宋"/>
                <w:bCs/>
                <w:sz w:val="24"/>
              </w:rPr>
              <w:t>（三）采购内容：</w:t>
            </w:r>
            <w:r>
              <w:rPr>
                <w:rFonts w:hint="eastAsia" w:ascii="仿宋" w:hAnsi="仿宋" w:eastAsia="仿宋" w:cs="仿宋"/>
                <w:bCs/>
                <w:sz w:val="24"/>
                <w:lang w:eastAsia="zh-CN"/>
                <w:woUserID w:val="1"/>
              </w:rPr>
              <w:t>学生宿舍</w:t>
            </w:r>
            <w:r>
              <w:rPr>
                <w:rFonts w:hint="eastAsia" w:ascii="仿宋" w:hAnsi="仿宋" w:eastAsia="仿宋" w:cs="仿宋"/>
                <w:bCs/>
                <w:sz w:val="24"/>
                <w:woUserID w:val="1"/>
              </w:rPr>
              <w:t>楼建筑单体及室外道路等附属配套工程的详细勘察服务工作，预计总进尺约6</w:t>
            </w:r>
            <w:r>
              <w:rPr>
                <w:rFonts w:hint="eastAsia" w:ascii="仿宋" w:hAnsi="仿宋" w:eastAsia="仿宋" w:cs="仿宋"/>
                <w:bCs/>
                <w:sz w:val="24"/>
                <w:lang w:val="en-US" w:eastAsia="zh-CN"/>
                <w:woUserID w:val="1"/>
              </w:rPr>
              <w:t>1</w:t>
            </w:r>
            <w:r>
              <w:rPr>
                <w:rFonts w:hint="eastAsia" w:ascii="仿宋" w:hAnsi="仿宋" w:eastAsia="仿宋" w:cs="仿宋"/>
                <w:bCs/>
                <w:sz w:val="24"/>
                <w:woUserID w:val="1"/>
              </w:rPr>
              <w:t>0米</w:t>
            </w:r>
            <w:r>
              <w:rPr>
                <w:rFonts w:hint="default" w:ascii="仿宋" w:hAnsi="仿宋" w:eastAsia="仿宋" w:cs="仿宋"/>
                <w:bCs/>
                <w:sz w:val="24"/>
              </w:rPr>
              <w:t>。</w:t>
            </w:r>
          </w:p>
          <w:p w14:paraId="75B1080C">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default" w:ascii="仿宋" w:hAnsi="仿宋" w:eastAsia="仿宋" w:cs="仿宋"/>
                <w:bCs/>
                <w:sz w:val="24"/>
              </w:rPr>
              <w:t>（四）</w:t>
            </w:r>
            <w:r>
              <w:rPr>
                <w:rFonts w:hint="eastAsia" w:ascii="仿宋" w:hAnsi="仿宋" w:eastAsia="仿宋" w:cs="仿宋"/>
                <w:bCs/>
                <w:sz w:val="24"/>
              </w:rPr>
              <w:t>上限控制价：</w:t>
            </w:r>
            <w:r>
              <w:rPr>
                <w:rFonts w:hint="eastAsia" w:ascii="仿宋" w:hAnsi="仿宋" w:eastAsia="仿宋" w:cs="仿宋"/>
                <w:bCs/>
                <w:sz w:val="24"/>
                <w:u w:val="single"/>
              </w:rPr>
              <w:t>人民币（大写）</w:t>
            </w:r>
            <w:r>
              <w:rPr>
                <w:rFonts w:hint="default" w:ascii="仿宋" w:hAnsi="仿宋" w:eastAsia="仿宋" w:cs="仿宋"/>
                <w:bCs/>
                <w:sz w:val="24"/>
                <w:u w:val="single"/>
              </w:rPr>
              <w:t>壹</w:t>
            </w:r>
            <w:r>
              <w:rPr>
                <w:rFonts w:hint="eastAsia" w:ascii="仿宋" w:hAnsi="仿宋" w:eastAsia="仿宋" w:cs="仿宋"/>
                <w:bCs/>
                <w:sz w:val="24"/>
                <w:u w:val="single"/>
              </w:rPr>
              <w:t>拾</w:t>
            </w:r>
            <w:r>
              <w:rPr>
                <w:rFonts w:hint="default" w:ascii="仿宋" w:hAnsi="仿宋" w:eastAsia="仿宋" w:cs="仿宋"/>
                <w:bCs/>
                <w:sz w:val="24"/>
                <w:u w:val="single"/>
                <w:woUserID w:val="1"/>
              </w:rPr>
              <w:t>陆</w:t>
            </w:r>
            <w:r>
              <w:rPr>
                <w:rFonts w:hint="eastAsia" w:ascii="仿宋" w:hAnsi="仿宋" w:eastAsia="仿宋" w:cs="仿宋"/>
                <w:bCs/>
                <w:sz w:val="24"/>
                <w:u w:val="single"/>
              </w:rPr>
              <w:t>万</w:t>
            </w:r>
            <w:r>
              <w:rPr>
                <w:rFonts w:hint="eastAsia" w:ascii="仿宋" w:hAnsi="仿宋" w:eastAsia="仿宋" w:cs="仿宋"/>
                <w:bCs/>
                <w:sz w:val="24"/>
                <w:u w:val="single"/>
                <w:lang w:eastAsia="zh-CN"/>
                <w:woUserID w:val="1"/>
              </w:rPr>
              <w:t>贰</w:t>
            </w:r>
            <w:r>
              <w:rPr>
                <w:rFonts w:hint="default" w:ascii="仿宋" w:hAnsi="仿宋" w:eastAsia="仿宋" w:cs="仿宋"/>
                <w:bCs/>
                <w:sz w:val="24"/>
                <w:u w:val="single"/>
                <w:woUserID w:val="1"/>
              </w:rPr>
              <w:t>仟</w:t>
            </w:r>
            <w:r>
              <w:rPr>
                <w:rFonts w:hint="eastAsia" w:ascii="仿宋" w:hAnsi="仿宋" w:eastAsia="仿宋" w:cs="仿宋"/>
                <w:bCs/>
                <w:sz w:val="24"/>
                <w:u w:val="single"/>
                <w:lang w:eastAsia="zh-CN"/>
                <w:woUserID w:val="1"/>
              </w:rPr>
              <w:t>陆</w:t>
            </w:r>
            <w:r>
              <w:rPr>
                <w:rFonts w:hint="default" w:ascii="仿宋" w:hAnsi="仿宋" w:eastAsia="仿宋" w:cs="仿宋"/>
                <w:bCs/>
                <w:sz w:val="24"/>
                <w:u w:val="single"/>
                <w:woUserID w:val="1"/>
              </w:rPr>
              <w:t>佰</w:t>
            </w:r>
            <w:r>
              <w:rPr>
                <w:rFonts w:hint="eastAsia" w:ascii="仿宋" w:hAnsi="仿宋" w:eastAsia="仿宋" w:cs="仿宋"/>
                <w:bCs/>
                <w:sz w:val="24"/>
                <w:u w:val="single"/>
              </w:rPr>
              <w:t>元整，（小写）¥</w:t>
            </w:r>
            <w:r>
              <w:rPr>
                <w:rFonts w:hint="default" w:ascii="仿宋" w:hAnsi="仿宋" w:eastAsia="仿宋" w:cs="仿宋"/>
                <w:bCs/>
                <w:sz w:val="24"/>
                <w:u w:val="single"/>
              </w:rPr>
              <w:t>1</w:t>
            </w:r>
            <w:r>
              <w:rPr>
                <w:rFonts w:hint="default" w:ascii="仿宋" w:hAnsi="仿宋" w:eastAsia="仿宋" w:cs="仿宋"/>
                <w:bCs/>
                <w:sz w:val="24"/>
                <w:u w:val="single"/>
                <w:woUserID w:val="1"/>
              </w:rPr>
              <w:t>6</w:t>
            </w:r>
            <w:r>
              <w:rPr>
                <w:rFonts w:hint="eastAsia" w:ascii="仿宋" w:hAnsi="仿宋" w:eastAsia="仿宋" w:cs="仿宋"/>
                <w:bCs/>
                <w:sz w:val="24"/>
                <w:u w:val="single"/>
                <w:lang w:val="en-US" w:eastAsia="zh-CN"/>
              </w:rPr>
              <w:t>26</w:t>
            </w:r>
            <w:r>
              <w:rPr>
                <w:rFonts w:hint="eastAsia" w:ascii="仿宋" w:hAnsi="仿宋" w:eastAsia="仿宋" w:cs="仿宋"/>
                <w:bCs/>
                <w:sz w:val="24"/>
                <w:u w:val="single"/>
              </w:rPr>
              <w:t>00.00</w:t>
            </w:r>
            <w:r>
              <w:rPr>
                <w:rFonts w:hint="eastAsia" w:ascii="仿宋" w:hAnsi="仿宋" w:eastAsia="仿宋" w:cs="仿宋"/>
                <w:bCs/>
                <w:sz w:val="24"/>
              </w:rPr>
              <w:t>。</w:t>
            </w:r>
          </w:p>
          <w:p w14:paraId="73C8705D">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eastAsia" w:ascii="仿宋" w:hAnsi="仿宋" w:eastAsia="仿宋" w:cs="仿宋"/>
                <w:bCs/>
                <w:sz w:val="24"/>
              </w:rPr>
              <w:t>（</w:t>
            </w:r>
            <w:r>
              <w:rPr>
                <w:rFonts w:hint="default" w:ascii="仿宋" w:hAnsi="仿宋" w:eastAsia="仿宋" w:cs="仿宋"/>
                <w:bCs/>
                <w:sz w:val="24"/>
              </w:rPr>
              <w:t>五</w:t>
            </w:r>
            <w:r>
              <w:rPr>
                <w:rFonts w:hint="eastAsia" w:ascii="仿宋" w:hAnsi="仿宋" w:eastAsia="仿宋" w:cs="仿宋"/>
                <w:bCs/>
                <w:sz w:val="24"/>
              </w:rPr>
              <w:t>）</w:t>
            </w:r>
            <w:r>
              <w:rPr>
                <w:rFonts w:hint="default" w:ascii="仿宋" w:hAnsi="仿宋" w:eastAsia="仿宋" w:cs="仿宋"/>
                <w:bCs/>
                <w:sz w:val="24"/>
                <w:woUserID w:val="1"/>
              </w:rPr>
              <w:t>服务</w:t>
            </w:r>
            <w:r>
              <w:rPr>
                <w:rFonts w:hint="eastAsia" w:ascii="仿宋" w:hAnsi="仿宋" w:eastAsia="仿宋" w:cs="仿宋"/>
                <w:bCs/>
                <w:sz w:val="24"/>
              </w:rPr>
              <w:t>周期：</w:t>
            </w:r>
            <w:r>
              <w:rPr>
                <w:rFonts w:hint="eastAsia" w:ascii="仿宋" w:hAnsi="仿宋" w:eastAsia="仿宋" w:cs="仿宋"/>
                <w:bCs/>
                <w:sz w:val="24"/>
                <w:woUserID w:val="1"/>
              </w:rPr>
              <w:t>自成交通知书发出之日起至广西财经学院中国-东盟统计学院二期项目</w:t>
            </w:r>
            <w:r>
              <w:rPr>
                <w:rFonts w:hint="eastAsia" w:ascii="仿宋" w:hAnsi="仿宋" w:eastAsia="仿宋" w:cs="仿宋"/>
                <w:bCs/>
                <w:sz w:val="24"/>
                <w:lang w:eastAsia="zh-CN"/>
                <w:woUserID w:val="1"/>
              </w:rPr>
              <w:t>学生宿舍</w:t>
            </w:r>
            <w:r>
              <w:rPr>
                <w:rFonts w:hint="eastAsia" w:ascii="仿宋" w:hAnsi="仿宋" w:eastAsia="仿宋" w:cs="仿宋"/>
                <w:bCs/>
                <w:sz w:val="24"/>
                <w:woUserID w:val="1"/>
              </w:rPr>
              <w:t>楼工程竣工验收合格之日止</w:t>
            </w:r>
            <w:r>
              <w:rPr>
                <w:rFonts w:hint="eastAsia" w:ascii="仿宋" w:hAnsi="仿宋" w:eastAsia="仿宋" w:cs="仿宋"/>
                <w:bCs/>
                <w:sz w:val="24"/>
              </w:rPr>
              <w:t>。</w:t>
            </w:r>
          </w:p>
          <w:p w14:paraId="447354F7">
            <w:pPr>
              <w:keepNext w:val="0"/>
              <w:keepLines w:val="0"/>
              <w:widowControl/>
              <w:suppressLineNumbers w:val="0"/>
              <w:spacing w:before="0" w:beforeAutospacing="0" w:after="0" w:afterAutospacing="0" w:line="560" w:lineRule="exact"/>
              <w:ind w:left="0" w:right="0" w:firstLine="480" w:firstLineChars="200"/>
              <w:jc w:val="left"/>
              <w:rPr>
                <w:rFonts w:hint="eastAsia" w:ascii="仿宋" w:hAnsi="仿宋" w:eastAsia="仿宋" w:cs="仿宋"/>
                <w:bCs/>
                <w:sz w:val="24"/>
                <w:lang w:eastAsia="zh-CN"/>
              </w:rPr>
            </w:pPr>
            <w:r>
              <w:rPr>
                <w:rFonts w:hint="eastAsia" w:ascii="仿宋" w:hAnsi="仿宋" w:eastAsia="仿宋" w:cs="仿宋"/>
                <w:bCs/>
                <w:sz w:val="24"/>
              </w:rPr>
              <w:t>（</w:t>
            </w:r>
            <w:r>
              <w:rPr>
                <w:rFonts w:hint="default" w:ascii="仿宋" w:hAnsi="仿宋" w:eastAsia="仿宋" w:cs="仿宋"/>
                <w:bCs/>
                <w:sz w:val="24"/>
              </w:rPr>
              <w:t>六</w:t>
            </w:r>
            <w:r>
              <w:rPr>
                <w:rFonts w:hint="eastAsia" w:ascii="仿宋" w:hAnsi="仿宋" w:eastAsia="仿宋" w:cs="仿宋"/>
                <w:bCs/>
                <w:sz w:val="24"/>
              </w:rPr>
              <w:t>）</w:t>
            </w:r>
            <w:r>
              <w:rPr>
                <w:rFonts w:hint="eastAsia" w:ascii="仿宋" w:hAnsi="仿宋" w:eastAsia="仿宋" w:cs="仿宋"/>
                <w:bCs/>
                <w:sz w:val="24"/>
                <w:lang w:eastAsia="zh-CN"/>
              </w:rPr>
              <w:t>成果</w:t>
            </w:r>
            <w:r>
              <w:rPr>
                <w:rFonts w:hint="eastAsia" w:ascii="仿宋" w:hAnsi="仿宋" w:eastAsia="仿宋" w:cs="仿宋"/>
                <w:bCs/>
                <w:sz w:val="24"/>
                <w:woUserID w:val="1"/>
              </w:rPr>
              <w:t>编制周期</w:t>
            </w:r>
            <w:r>
              <w:rPr>
                <w:rFonts w:hint="eastAsia" w:ascii="仿宋" w:hAnsi="仿宋" w:eastAsia="仿宋" w:cs="仿宋"/>
                <w:bCs/>
                <w:sz w:val="24"/>
                <w:lang w:eastAsia="zh-CN"/>
                <w:woUserID w:val="1"/>
              </w:rPr>
              <w:t>：1.自收到开始勘察通知之日起，8日历天内完成外业并提交中间报告；2.自收到开始勘察通知之日起，15日历天内提交用于报送施工图审查单位审查的勘察报告。</w:t>
            </w:r>
          </w:p>
          <w:p w14:paraId="6FE43241">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eastAsia" w:ascii="仿宋" w:hAnsi="仿宋" w:eastAsia="仿宋" w:cs="仿宋"/>
                <w:bCs/>
                <w:sz w:val="24"/>
                <w:lang w:eastAsia="zh-CN"/>
              </w:rPr>
              <w:t>（七）</w:t>
            </w:r>
            <w:r>
              <w:rPr>
                <w:rFonts w:hint="default" w:ascii="仿宋" w:hAnsi="仿宋" w:eastAsia="仿宋" w:cs="仿宋"/>
                <w:bCs/>
                <w:sz w:val="24"/>
              </w:rPr>
              <w:t>成果</w:t>
            </w:r>
            <w:r>
              <w:rPr>
                <w:rFonts w:hint="eastAsia" w:ascii="仿宋" w:hAnsi="仿宋" w:eastAsia="仿宋" w:cs="仿宋"/>
                <w:bCs/>
                <w:sz w:val="24"/>
              </w:rPr>
              <w:t>要求：</w:t>
            </w:r>
            <w:r>
              <w:rPr>
                <w:rFonts w:hint="eastAsia" w:ascii="仿宋" w:hAnsi="仿宋" w:eastAsia="仿宋" w:cs="仿宋"/>
                <w:bCs/>
                <w:sz w:val="24"/>
                <w:woUserID w:val="1"/>
              </w:rPr>
              <w:t>1.满足国家及地方有关法律法规、政策及规划，行业现行规范、规程及标准等要求，符合现行《岩土工程勘察规范》GB50021-2001、《广西壮族自治区岩土工程勘察规范》（DBJ/T45-002-2011）等相关规范规程要求。2.满足审批审查单位的相关规定，勘察成果必须通过施工图审查单位审查并在广西工程勘察设计行业监管平台完成备案。3.所有材料，纸质一式捌份，图纸（图片要求pdf格式、cad要求dwg格式）等电子文档刻成光盘一式贰份</w:t>
            </w:r>
            <w:r>
              <w:rPr>
                <w:rFonts w:hint="eastAsia" w:ascii="仿宋" w:hAnsi="仿宋" w:eastAsia="仿宋" w:cs="仿宋"/>
                <w:bCs/>
                <w:sz w:val="24"/>
              </w:rPr>
              <w:t>。</w:t>
            </w:r>
          </w:p>
          <w:p w14:paraId="081CA1F1">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eastAsia="zh-CN"/>
              </w:rPr>
              <w:t>八</w:t>
            </w:r>
            <w:r>
              <w:rPr>
                <w:rFonts w:hint="eastAsia" w:ascii="仿宋" w:hAnsi="仿宋" w:eastAsia="仿宋" w:cs="仿宋"/>
                <w:bCs/>
                <w:sz w:val="24"/>
              </w:rPr>
              <w:t>）</w:t>
            </w:r>
            <w:r>
              <w:rPr>
                <w:rFonts w:hint="default" w:ascii="仿宋" w:hAnsi="仿宋" w:eastAsia="仿宋" w:cs="仿宋"/>
                <w:bCs/>
                <w:sz w:val="24"/>
              </w:rPr>
              <w:t>其他要求</w:t>
            </w:r>
            <w:r>
              <w:rPr>
                <w:rFonts w:hint="eastAsia" w:ascii="仿宋" w:hAnsi="仿宋" w:eastAsia="仿宋" w:cs="仿宋"/>
                <w:bCs/>
                <w:sz w:val="24"/>
              </w:rPr>
              <w:t>：</w:t>
            </w:r>
            <w:r>
              <w:rPr>
                <w:rFonts w:hint="eastAsia" w:ascii="仿宋" w:hAnsi="仿宋" w:eastAsia="仿宋" w:cs="仿宋"/>
                <w:bCs/>
                <w:sz w:val="24"/>
                <w:woUserID w:val="1"/>
              </w:rPr>
              <w:t>1.配合办理勘察报告审查手续，勘察成果需通过施工图审查单位审查并在广西工程勘察设计行业监管平台完成备案。2.成交供应商必须根据审批审查单位、设计单位及业主的意见对布孔数量、位置及钻孔深度等勘察成果做修改补充，修改补充所产生的费用由成交供应商承担。3.审查通过前，因国家及地方有关政策、行业规范及标准变化引起的修改，修改补充所产生的费用由成交供应商承担</w:t>
            </w:r>
            <w:r>
              <w:rPr>
                <w:rFonts w:hint="eastAsia" w:ascii="仿宋" w:hAnsi="仿宋" w:eastAsia="仿宋" w:cs="仿宋"/>
                <w:bCs/>
                <w:sz w:val="24"/>
              </w:rPr>
              <w:t>。</w:t>
            </w:r>
          </w:p>
          <w:p w14:paraId="535F098E">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default" w:ascii="仿宋" w:hAnsi="仿宋" w:eastAsia="仿宋" w:cs="仿宋"/>
                <w:bCs/>
                <w:sz w:val="24"/>
              </w:rPr>
              <w:t>（</w:t>
            </w:r>
            <w:r>
              <w:rPr>
                <w:rFonts w:hint="eastAsia" w:ascii="仿宋" w:hAnsi="仿宋" w:eastAsia="仿宋" w:cs="仿宋"/>
                <w:bCs/>
                <w:sz w:val="24"/>
                <w:lang w:eastAsia="zh-CN"/>
              </w:rPr>
              <w:t>九</w:t>
            </w:r>
            <w:r>
              <w:rPr>
                <w:rFonts w:hint="default" w:ascii="仿宋" w:hAnsi="仿宋" w:eastAsia="仿宋" w:cs="仿宋"/>
                <w:bCs/>
                <w:sz w:val="24"/>
              </w:rPr>
              <w:t>）</w:t>
            </w:r>
            <w:r>
              <w:rPr>
                <w:rFonts w:hint="eastAsia" w:ascii="仿宋" w:hAnsi="仿宋" w:eastAsia="仿宋" w:cs="仿宋"/>
                <w:bCs/>
                <w:sz w:val="24"/>
              </w:rPr>
              <w:t>付</w:t>
            </w:r>
            <w:r>
              <w:rPr>
                <w:rFonts w:hint="default" w:ascii="仿宋" w:hAnsi="仿宋" w:eastAsia="仿宋" w:cs="仿宋"/>
                <w:bCs/>
                <w:sz w:val="24"/>
              </w:rPr>
              <w:t>款</w:t>
            </w:r>
            <w:r>
              <w:rPr>
                <w:rFonts w:hint="eastAsia" w:ascii="仿宋" w:hAnsi="仿宋" w:eastAsia="仿宋" w:cs="仿宋"/>
                <w:bCs/>
                <w:sz w:val="24"/>
              </w:rPr>
              <w:t>方式</w:t>
            </w:r>
            <w:r>
              <w:rPr>
                <w:rFonts w:hint="default" w:ascii="仿宋" w:hAnsi="仿宋" w:eastAsia="仿宋" w:cs="仿宋"/>
                <w:bCs/>
                <w:sz w:val="24"/>
              </w:rPr>
              <w:t>：</w:t>
            </w:r>
            <w:r>
              <w:rPr>
                <w:rFonts w:hint="default" w:ascii="仿宋" w:hAnsi="仿宋" w:eastAsia="仿宋" w:cs="仿宋"/>
                <w:bCs/>
                <w:sz w:val="24"/>
                <w:woUserID w:val="1"/>
              </w:rPr>
              <w:t>1.本工程详细勘察成果通过施工图审查单位审查并在广西工程勘察设计行业监管平台完成备案，成交供应商的请款申请经业主审核通过后，自收到成交供应商合格发票之日起14个工作日内支付成交金额的90%。2.本工程竣工验收合格，成交供应商的请款申请经业主审核通过后，自收到成交供应商合格发票之日起14个工作日内支付至成交金额的100%（含已支付的）</w:t>
            </w:r>
            <w:r>
              <w:rPr>
                <w:rFonts w:hint="eastAsia" w:ascii="仿宋" w:hAnsi="仿宋" w:eastAsia="仿宋" w:cs="仿宋"/>
                <w:bCs/>
                <w:sz w:val="24"/>
              </w:rPr>
              <w:t>。</w:t>
            </w:r>
          </w:p>
          <w:p w14:paraId="6DF94903">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default" w:ascii="仿宋" w:hAnsi="仿宋" w:eastAsia="仿宋" w:cs="仿宋"/>
                <w:bCs/>
                <w:sz w:val="24"/>
              </w:rPr>
              <w:t>（</w:t>
            </w:r>
            <w:r>
              <w:rPr>
                <w:rFonts w:hint="eastAsia" w:ascii="仿宋" w:hAnsi="仿宋" w:eastAsia="仿宋" w:cs="仿宋"/>
                <w:bCs/>
                <w:sz w:val="24"/>
                <w:lang w:eastAsia="zh-CN"/>
              </w:rPr>
              <w:t>十</w:t>
            </w:r>
            <w:r>
              <w:rPr>
                <w:rFonts w:hint="default" w:ascii="仿宋" w:hAnsi="仿宋" w:eastAsia="仿宋" w:cs="仿宋"/>
                <w:bCs/>
                <w:sz w:val="24"/>
              </w:rPr>
              <w:t>）</w:t>
            </w:r>
            <w:r>
              <w:rPr>
                <w:rFonts w:hint="eastAsia" w:ascii="仿宋" w:hAnsi="仿宋" w:eastAsia="仿宋" w:cs="仿宋"/>
                <w:bCs/>
                <w:sz w:val="24"/>
              </w:rPr>
              <w:t>承包方式</w:t>
            </w:r>
            <w:r>
              <w:rPr>
                <w:rFonts w:hint="default" w:ascii="仿宋" w:hAnsi="仿宋" w:eastAsia="仿宋" w:cs="仿宋"/>
                <w:bCs/>
                <w:sz w:val="24"/>
              </w:rPr>
              <w:t>：总价包干（</w:t>
            </w:r>
            <w:r>
              <w:rPr>
                <w:rFonts w:hint="default" w:ascii="仿宋" w:hAnsi="仿宋" w:eastAsia="仿宋" w:cs="仿宋"/>
                <w:bCs/>
                <w:sz w:val="24"/>
                <w:woUserID w:val="1"/>
              </w:rPr>
              <w:t>报价包括但不限于完成本项目所需的各项成本、人工费、材料费、管理费、专家评审费、开办费、税金及场地费、利润等所有费用</w:t>
            </w:r>
            <w:r>
              <w:rPr>
                <w:rFonts w:hint="default" w:ascii="仿宋" w:hAnsi="仿宋" w:eastAsia="仿宋" w:cs="仿宋"/>
                <w:bCs/>
                <w:sz w:val="24"/>
              </w:rPr>
              <w:t>）</w:t>
            </w:r>
            <w:r>
              <w:rPr>
                <w:rFonts w:hint="eastAsia" w:ascii="仿宋" w:hAnsi="仿宋" w:eastAsia="仿宋" w:cs="仿宋"/>
                <w:bCs/>
                <w:sz w:val="24"/>
              </w:rPr>
              <w:t>。</w:t>
            </w:r>
          </w:p>
          <w:p w14:paraId="36158D01">
            <w:pPr>
              <w:keepNext w:val="0"/>
              <w:keepLines w:val="0"/>
              <w:widowControl/>
              <w:suppressLineNumbers w:val="0"/>
              <w:spacing w:before="0" w:beforeAutospacing="0" w:after="0" w:afterAutospacing="0" w:line="560" w:lineRule="exact"/>
              <w:ind w:left="0" w:right="0" w:firstLine="480" w:firstLineChars="200"/>
              <w:jc w:val="left"/>
              <w:rPr>
                <w:rFonts w:hint="default" w:ascii="仿宋" w:hAnsi="仿宋" w:eastAsia="仿宋" w:cs="仿宋"/>
                <w:bCs/>
                <w:sz w:val="24"/>
              </w:rPr>
            </w:pPr>
            <w:r>
              <w:rPr>
                <w:rFonts w:hint="default" w:ascii="仿宋" w:hAnsi="仿宋" w:eastAsia="仿宋" w:cs="仿宋"/>
                <w:bCs/>
                <w:sz w:val="24"/>
              </w:rPr>
              <w:t>（十</w:t>
            </w:r>
            <w:r>
              <w:rPr>
                <w:rFonts w:hint="eastAsia" w:ascii="仿宋" w:hAnsi="仿宋" w:eastAsia="仿宋" w:cs="仿宋"/>
                <w:bCs/>
                <w:sz w:val="24"/>
                <w:lang w:eastAsia="zh-CN"/>
              </w:rPr>
              <w:t>一</w:t>
            </w:r>
            <w:r>
              <w:rPr>
                <w:rFonts w:hint="default" w:ascii="仿宋" w:hAnsi="仿宋" w:eastAsia="仿宋" w:cs="仿宋"/>
                <w:bCs/>
                <w:sz w:val="24"/>
              </w:rPr>
              <w:t>）履约保证金：1.成交供应商自收到成交通知书之日起7日历天内按成交金额的3%缴纳履约保证金（如为中小企业，则履约保证金比例为2%），否则将取消其成交资格。2.履约保证金的形式：支票、汇票、本票、保函等非现金方式。3.</w:t>
            </w:r>
            <w:r>
              <w:rPr>
                <w:rFonts w:hint="default" w:ascii="仿宋" w:hAnsi="仿宋" w:eastAsia="仿宋" w:cs="仿宋"/>
                <w:bCs/>
                <w:sz w:val="24"/>
                <w:highlight w:val="none"/>
                <w:woUserID w:val="1"/>
              </w:rPr>
              <w:t>履约保证金的有效期必须涵盖本工程竣工验收合格的时间段</w:t>
            </w:r>
            <w:r>
              <w:rPr>
                <w:rFonts w:hint="default" w:ascii="仿宋" w:hAnsi="仿宋" w:eastAsia="仿宋" w:cs="仿宋"/>
                <w:bCs/>
                <w:sz w:val="24"/>
                <w:highlight w:val="none"/>
              </w:rPr>
              <w:t>。4.</w:t>
            </w:r>
            <w:r>
              <w:rPr>
                <w:rFonts w:hint="default" w:ascii="仿宋" w:hAnsi="仿宋" w:eastAsia="仿宋" w:cs="仿宋"/>
                <w:bCs/>
                <w:sz w:val="24"/>
                <w:highlight w:val="none"/>
                <w:woUserID w:val="1"/>
              </w:rPr>
              <w:t>本工程竣工验收合格后，</w:t>
            </w:r>
            <w:r>
              <w:rPr>
                <w:rFonts w:hint="default" w:ascii="仿宋" w:hAnsi="仿宋" w:eastAsia="仿宋" w:cs="仿宋"/>
                <w:bCs/>
                <w:sz w:val="24"/>
                <w:woUserID w:val="1"/>
              </w:rPr>
              <w:t>自成交供应商提交返还申请材料之日起14个工作日内一次性返还履约保证金（无息），成交供应商在合同期限内不能履行合同义务或违约的，履约保证金不予退还</w:t>
            </w:r>
            <w:r>
              <w:rPr>
                <w:rFonts w:hint="default" w:ascii="仿宋" w:hAnsi="仿宋" w:eastAsia="仿宋" w:cs="仿宋"/>
                <w:bCs/>
                <w:sz w:val="24"/>
              </w:rPr>
              <w:t>。5.履约保证金指定账户：开户名称：广西财经学院；开户银行：中国银行南宁明秀西路支行；银行账号：611957485481。</w:t>
            </w:r>
          </w:p>
          <w:p w14:paraId="0A5BB267">
            <w:pPr>
              <w:keepNext w:val="0"/>
              <w:keepLines w:val="0"/>
              <w:suppressLineNumbers w:val="0"/>
              <w:spacing w:before="0" w:beforeAutospacing="0" w:after="0" w:afterAutospacing="0" w:line="560" w:lineRule="exact"/>
              <w:ind w:left="0" w:right="0" w:firstLine="480" w:firstLineChars="200"/>
              <w:rPr>
                <w:rFonts w:hint="default" w:ascii="仿宋" w:hAnsi="仿宋" w:eastAsia="仿宋" w:cs="仿宋"/>
                <w:bCs/>
                <w:sz w:val="24"/>
              </w:rPr>
            </w:pPr>
            <w:r>
              <w:rPr>
                <w:rFonts w:hint="default" w:ascii="仿宋" w:hAnsi="仿宋" w:eastAsia="仿宋" w:cs="仿宋"/>
                <w:bCs/>
                <w:sz w:val="24"/>
              </w:rPr>
              <w:t>（十</w:t>
            </w:r>
            <w:r>
              <w:rPr>
                <w:rFonts w:hint="eastAsia" w:ascii="仿宋" w:hAnsi="仿宋" w:eastAsia="仿宋" w:cs="仿宋"/>
                <w:bCs/>
                <w:sz w:val="24"/>
                <w:lang w:eastAsia="zh-CN"/>
              </w:rPr>
              <w:t>二</w:t>
            </w:r>
            <w:r>
              <w:rPr>
                <w:rFonts w:hint="default" w:ascii="仿宋" w:hAnsi="仿宋" w:eastAsia="仿宋" w:cs="仿宋"/>
                <w:bCs/>
                <w:sz w:val="24"/>
              </w:rPr>
              <w:t>）责任与义务：</w:t>
            </w:r>
            <w:r>
              <w:rPr>
                <w:rFonts w:hint="default" w:ascii="仿宋" w:hAnsi="仿宋" w:eastAsia="仿宋" w:cs="仿宋"/>
                <w:bCs/>
                <w:sz w:val="24"/>
                <w:woUserID w:val="1"/>
              </w:rPr>
              <w:t>1.因成交供应商原因，勘察成果未通过施工图审查单位审查，成交供应商不能以任何形式和方式向业主收取或追索任何费用。2.因成交供应商原因，未在规定期限内提交勘察成果的，从应完成日期的次日起计算，超过5日历天，业主有权解除合同，不退还成交供应商履约保证金。因业主原因，成交供应商未在规定期限内提交勘察成果的，勘察周期顺延，不增加费用。3.因成交供应商原因，逾期交付勘察成果的，视为违约，成交供应商每日按成交金额的千分之二支付违约金，违约金的上限不超过成交金额的百分之五。4.因成交供应商原因，成交供应商提交的勘察成果无法通过施工图审查单位审查的，业主有权解除合同，已完成的成果归业主所有，业主不退还成交供应商履约保证金</w:t>
            </w:r>
            <w:r>
              <w:rPr>
                <w:rFonts w:hint="default" w:ascii="仿宋" w:hAnsi="仿宋" w:eastAsia="仿宋" w:cs="仿宋"/>
                <w:bCs/>
                <w:sz w:val="24"/>
              </w:rPr>
              <w:t>。</w:t>
            </w:r>
          </w:p>
        </w:tc>
      </w:tr>
      <w:tr w14:paraId="7A80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000" w:type="pct"/>
            <w:gridSpan w:val="2"/>
            <w:shd w:val="clear" w:color="auto" w:fill="auto"/>
            <w:vAlign w:val="top"/>
          </w:tcPr>
          <w:p w14:paraId="1D234748">
            <w:pPr>
              <w:keepNext w:val="0"/>
              <w:keepLines w:val="0"/>
              <w:suppressLineNumbers w:val="0"/>
              <w:spacing w:before="0" w:beforeAutospacing="0" w:after="0" w:afterAutospacing="0"/>
              <w:ind w:left="0" w:right="0"/>
              <w:rPr>
                <w:rFonts w:hint="eastAsia" w:ascii="宋体" w:hAnsi="宋体"/>
                <w:b/>
                <w:sz w:val="24"/>
                <w:szCs w:val="32"/>
                <w:u w:val="single"/>
                <w:woUserID w:val="1"/>
              </w:rPr>
            </w:pPr>
            <w:r>
              <w:rPr>
                <w:rFonts w:hint="default" w:ascii="宋体" w:hAnsi="宋体"/>
                <w:b/>
                <w:sz w:val="24"/>
                <w:szCs w:val="32"/>
                <w:woUserID w:val="1"/>
              </w:rPr>
              <w:t>包干价（总价）</w:t>
            </w:r>
            <w:r>
              <w:rPr>
                <w:rFonts w:hint="eastAsia" w:ascii="宋体" w:hAnsi="宋体"/>
                <w:b/>
                <w:sz w:val="24"/>
                <w:szCs w:val="32"/>
                <w:woUserID w:val="1"/>
              </w:rPr>
              <w:t>：</w:t>
            </w:r>
            <w:r>
              <w:rPr>
                <w:rFonts w:hint="default" w:ascii="宋体" w:hAnsi="宋体"/>
                <w:b/>
                <w:sz w:val="24"/>
                <w:szCs w:val="32"/>
                <w:u w:val="single"/>
                <w:woUserID w:val="1"/>
              </w:rPr>
              <w:t>人民币</w:t>
            </w:r>
            <w:r>
              <w:rPr>
                <w:rFonts w:hint="default" w:ascii="宋体" w:hAnsi="宋体"/>
                <w:b/>
                <w:sz w:val="24"/>
                <w:szCs w:val="32"/>
                <w:woUserID w:val="1"/>
              </w:rPr>
              <w:t>（大写）</w:t>
            </w:r>
            <w:r>
              <w:rPr>
                <w:rFonts w:hint="eastAsia" w:ascii="宋体" w:hAnsi="宋体"/>
                <w:b/>
                <w:sz w:val="24"/>
                <w:szCs w:val="32"/>
                <w:woUserID w:val="1"/>
              </w:rPr>
              <w:t>：</w:t>
            </w:r>
            <w:r>
              <w:rPr>
                <w:rFonts w:hint="eastAsia" w:ascii="宋体" w:hAnsi="宋体"/>
                <w:b/>
                <w:sz w:val="24"/>
                <w:szCs w:val="32"/>
                <w:u w:val="single"/>
                <w:woUserID w:val="1"/>
              </w:rPr>
              <w:t xml:space="preserve">       </w:t>
            </w:r>
            <w:r>
              <w:rPr>
                <w:rFonts w:hint="default" w:ascii="宋体" w:hAnsi="宋体"/>
                <w:b/>
                <w:sz w:val="24"/>
                <w:szCs w:val="32"/>
                <w:u w:val="single"/>
                <w:woUserID w:val="1"/>
              </w:rPr>
              <w:t xml:space="preserve">  </w:t>
            </w:r>
            <w:r>
              <w:rPr>
                <w:rFonts w:hint="eastAsia" w:ascii="宋体" w:hAnsi="宋体"/>
                <w:b/>
                <w:sz w:val="24"/>
                <w:szCs w:val="32"/>
                <w:u w:val="single"/>
                <w:woUserID w:val="1"/>
              </w:rPr>
              <w:t xml:space="preserve">  </w:t>
            </w:r>
            <w:r>
              <w:rPr>
                <w:rFonts w:hint="eastAsia" w:ascii="宋体" w:hAnsi="宋体"/>
                <w:b/>
                <w:sz w:val="24"/>
                <w:szCs w:val="32"/>
                <w:woUserID w:val="1"/>
              </w:rPr>
              <w:t>（小写）:</w:t>
            </w:r>
            <w:r>
              <w:rPr>
                <w:rFonts w:hint="eastAsia" w:ascii="宋体" w:hAnsi="宋体"/>
                <w:b/>
                <w:sz w:val="24"/>
                <w:szCs w:val="32"/>
                <w:u w:val="single"/>
                <w:woUserID w:val="1"/>
              </w:rPr>
              <w:t xml:space="preserve">     </w:t>
            </w:r>
            <w:r>
              <w:rPr>
                <w:rFonts w:hint="default" w:ascii="宋体" w:hAnsi="宋体"/>
                <w:b/>
                <w:sz w:val="24"/>
                <w:szCs w:val="32"/>
                <w:u w:val="single"/>
                <w:woUserID w:val="1"/>
              </w:rPr>
              <w:t xml:space="preserve"> </w:t>
            </w:r>
            <w:r>
              <w:rPr>
                <w:rFonts w:hint="eastAsia" w:ascii="宋体" w:hAnsi="宋体"/>
                <w:b/>
                <w:sz w:val="24"/>
                <w:szCs w:val="32"/>
                <w:u w:val="single"/>
                <w:woUserID w:val="1"/>
              </w:rPr>
              <w:t xml:space="preserve">     </w:t>
            </w:r>
          </w:p>
          <w:p w14:paraId="16FA221E">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val="0"/>
                <w:kern w:val="2"/>
                <w:sz w:val="24"/>
                <w:szCs w:val="24"/>
                <w:u w:val="single"/>
                <w:lang w:val="en-US" w:eastAsia="zh-CN" w:bidi="ar"/>
                <w:woUserID w:val="1"/>
              </w:rPr>
            </w:pPr>
            <w:r>
              <w:rPr>
                <w:rFonts w:hint="eastAsia" w:ascii="仿宋_GB2312" w:hAnsi="仿宋_GB2312" w:eastAsia="仿宋_GB2312" w:cs="仿宋_GB2312"/>
                <w:b/>
                <w:bCs w:val="0"/>
                <w:kern w:val="2"/>
                <w:sz w:val="24"/>
                <w:szCs w:val="24"/>
                <w:u w:val="single"/>
                <w:lang w:eastAsia="zh-CN" w:bidi="ar"/>
                <w:woUserID w:val="1"/>
              </w:rPr>
              <w:t>报价</w:t>
            </w:r>
            <w:r>
              <w:rPr>
                <w:rFonts w:hint="eastAsia" w:ascii="仿宋_GB2312" w:hAnsi="仿宋_GB2312" w:eastAsia="仿宋_GB2312" w:cs="仿宋_GB2312"/>
                <w:b/>
                <w:bCs w:val="0"/>
                <w:kern w:val="2"/>
                <w:sz w:val="24"/>
                <w:szCs w:val="24"/>
                <w:u w:val="single"/>
                <w:lang w:val="en-US" w:eastAsia="zh-CN" w:bidi="ar"/>
                <w:woUserID w:val="1"/>
              </w:rPr>
              <w:t>明细表</w:t>
            </w:r>
          </w:p>
          <w:tbl>
            <w:tblPr>
              <w:tblStyle w:val="3"/>
              <w:tblW w:w="4791"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34"/>
              <w:gridCol w:w="2301"/>
              <w:gridCol w:w="2069"/>
              <w:gridCol w:w="2542"/>
            </w:tblGrid>
            <w:tr w14:paraId="123E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50" w:type="pct"/>
                  <w:tcBorders>
                    <w:top w:val="single" w:color="auto" w:sz="4" w:space="0"/>
                    <w:left w:val="single" w:color="auto" w:sz="4" w:space="0"/>
                    <w:bottom w:val="single" w:color="auto" w:sz="4" w:space="0"/>
                    <w:right w:val="single" w:color="auto" w:sz="4" w:space="0"/>
                  </w:tcBorders>
                  <w:shd w:val="clear" w:color="auto" w:fill="auto"/>
                  <w:vAlign w:val="top"/>
                </w:tcPr>
                <w:p w14:paraId="112ABA32">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b w:val="0"/>
                      <w:bCs w:val="0"/>
                      <w:kern w:val="2"/>
                      <w:sz w:val="24"/>
                      <w:szCs w:val="24"/>
                      <w:u w:val="single"/>
                      <w:woUserID w:val="1"/>
                    </w:rPr>
                  </w:pPr>
                  <w:r>
                    <w:rPr>
                      <w:rFonts w:hint="eastAsia" w:ascii="仿宋_GB2312" w:hAnsi="仿宋_GB2312" w:eastAsia="仿宋_GB2312" w:cs="仿宋_GB2312"/>
                      <w:b w:val="0"/>
                      <w:bCs w:val="0"/>
                      <w:kern w:val="2"/>
                      <w:sz w:val="24"/>
                      <w:szCs w:val="24"/>
                      <w:u w:val="single"/>
                      <w:lang w:val="en-US" w:eastAsia="zh-CN" w:bidi="ar"/>
                      <w:woUserID w:val="1"/>
                    </w:rPr>
                    <w:t>序号</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top"/>
                </w:tcPr>
                <w:p w14:paraId="5A50BECC">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b w:val="0"/>
                      <w:bCs w:val="0"/>
                      <w:kern w:val="2"/>
                      <w:sz w:val="24"/>
                      <w:szCs w:val="24"/>
                      <w:u w:val="single"/>
                      <w:woUserID w:val="1"/>
                    </w:rPr>
                  </w:pPr>
                  <w:r>
                    <w:rPr>
                      <w:rFonts w:hint="eastAsia" w:ascii="仿宋_GB2312" w:hAnsi="仿宋_GB2312" w:eastAsia="仿宋_GB2312" w:cs="仿宋_GB2312"/>
                      <w:b w:val="0"/>
                      <w:bCs w:val="0"/>
                      <w:kern w:val="2"/>
                      <w:sz w:val="24"/>
                      <w:szCs w:val="24"/>
                      <w:u w:val="single"/>
                      <w:lang w:val="en-US" w:eastAsia="zh-CN" w:bidi="ar"/>
                      <w:woUserID w:val="1"/>
                    </w:rPr>
                    <w:t>预计总进尺（米）</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top"/>
                </w:tcPr>
                <w:p w14:paraId="4873C629">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b w:val="0"/>
                      <w:bCs w:val="0"/>
                      <w:kern w:val="2"/>
                      <w:sz w:val="24"/>
                      <w:szCs w:val="24"/>
                      <w:u w:val="single"/>
                      <w:woUserID w:val="1"/>
                    </w:rPr>
                  </w:pPr>
                  <w:r>
                    <w:rPr>
                      <w:rFonts w:hint="default" w:ascii="仿宋_GB2312" w:hAnsi="仿宋_GB2312" w:eastAsia="仿宋_GB2312" w:cs="仿宋_GB2312"/>
                      <w:b w:val="0"/>
                      <w:bCs w:val="0"/>
                      <w:kern w:val="2"/>
                      <w:sz w:val="24"/>
                      <w:szCs w:val="24"/>
                      <w:u w:val="single"/>
                      <w:lang w:eastAsia="zh-CN" w:bidi="ar"/>
                      <w:woUserID w:val="1"/>
                    </w:rPr>
                    <w:t>综合</w:t>
                  </w:r>
                  <w:r>
                    <w:rPr>
                      <w:rFonts w:hint="eastAsia" w:ascii="仿宋_GB2312" w:hAnsi="仿宋_GB2312" w:eastAsia="仿宋_GB2312" w:cs="仿宋_GB2312"/>
                      <w:b w:val="0"/>
                      <w:bCs w:val="0"/>
                      <w:kern w:val="2"/>
                      <w:sz w:val="24"/>
                      <w:szCs w:val="24"/>
                      <w:u w:val="single"/>
                      <w:lang w:val="en-US" w:eastAsia="zh-CN" w:bidi="ar"/>
                      <w:woUserID w:val="1"/>
                    </w:rPr>
                    <w:t>单价（元）</w:t>
                  </w:r>
                </w:p>
              </w:tc>
              <w:tc>
                <w:tcPr>
                  <w:tcW w:w="1598" w:type="pct"/>
                  <w:tcBorders>
                    <w:top w:val="single" w:color="auto" w:sz="4" w:space="0"/>
                    <w:left w:val="single" w:color="auto" w:sz="4" w:space="0"/>
                    <w:bottom w:val="single" w:color="auto" w:sz="4" w:space="0"/>
                    <w:right w:val="single" w:color="auto" w:sz="4" w:space="0"/>
                  </w:tcBorders>
                  <w:shd w:val="clear" w:color="auto" w:fill="auto"/>
                  <w:vAlign w:val="top"/>
                </w:tcPr>
                <w:p w14:paraId="0BFC8784">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b w:val="0"/>
                      <w:bCs w:val="0"/>
                      <w:kern w:val="2"/>
                      <w:sz w:val="24"/>
                      <w:szCs w:val="24"/>
                      <w:u w:val="single"/>
                      <w:woUserID w:val="1"/>
                    </w:rPr>
                  </w:pPr>
                  <w:r>
                    <w:rPr>
                      <w:rFonts w:hint="eastAsia" w:ascii="仿宋_GB2312" w:hAnsi="仿宋_GB2312" w:eastAsia="仿宋_GB2312" w:cs="仿宋_GB2312"/>
                      <w:b w:val="0"/>
                      <w:bCs w:val="0"/>
                      <w:kern w:val="2"/>
                      <w:sz w:val="24"/>
                      <w:szCs w:val="24"/>
                      <w:u w:val="single"/>
                      <w:lang w:val="en-US" w:eastAsia="zh-CN" w:bidi="ar"/>
                      <w:woUserID w:val="1"/>
                    </w:rPr>
                    <w:t>总价（元）</w:t>
                  </w:r>
                </w:p>
              </w:tc>
            </w:tr>
            <w:tr w14:paraId="7236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pct"/>
                  <w:tcBorders>
                    <w:top w:val="single" w:color="auto" w:sz="4" w:space="0"/>
                    <w:left w:val="single" w:color="auto" w:sz="4" w:space="0"/>
                    <w:bottom w:val="single" w:color="auto" w:sz="4" w:space="0"/>
                    <w:right w:val="single" w:color="auto" w:sz="4" w:space="0"/>
                  </w:tcBorders>
                  <w:shd w:val="clear" w:color="auto" w:fill="auto"/>
                  <w:vAlign w:val="top"/>
                </w:tcPr>
                <w:p w14:paraId="4B51657A">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b w:val="0"/>
                      <w:bCs w:val="0"/>
                      <w:kern w:val="2"/>
                      <w:sz w:val="24"/>
                      <w:szCs w:val="24"/>
                      <w:u w:val="single"/>
                      <w:woUserID w:val="1"/>
                    </w:rPr>
                  </w:pPr>
                  <w:r>
                    <w:rPr>
                      <w:rFonts w:hint="eastAsia" w:ascii="仿宋_GB2312" w:hAnsi="仿宋_GB2312" w:eastAsia="仿宋_GB2312" w:cs="仿宋_GB2312"/>
                      <w:b w:val="0"/>
                      <w:bCs w:val="0"/>
                      <w:kern w:val="2"/>
                      <w:sz w:val="24"/>
                      <w:szCs w:val="24"/>
                      <w:u w:val="none"/>
                      <w:lang w:val="en-US" w:eastAsia="zh-CN" w:bidi="ar"/>
                      <w:woUserID w:val="1"/>
                    </w:rPr>
                    <w:t>1</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top"/>
                </w:tcPr>
                <w:p w14:paraId="016FB920">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b w:val="0"/>
                      <w:bCs w:val="0"/>
                      <w:kern w:val="2"/>
                      <w:sz w:val="24"/>
                      <w:szCs w:val="24"/>
                      <w:u w:val="single"/>
                      <w:woUserID w:val="1"/>
                    </w:rPr>
                  </w:pPr>
                  <w:r>
                    <w:rPr>
                      <w:rFonts w:hint="default" w:ascii="仿宋_GB2312" w:hAnsi="仿宋_GB2312" w:eastAsia="仿宋_GB2312" w:cs="仿宋_GB2312"/>
                      <w:b w:val="0"/>
                      <w:bCs w:val="0"/>
                      <w:kern w:val="2"/>
                      <w:sz w:val="24"/>
                      <w:szCs w:val="24"/>
                      <w:u w:val="none"/>
                      <w:lang w:eastAsia="zh-CN" w:bidi="ar"/>
                      <w:woUserID w:val="1"/>
                    </w:rPr>
                    <w:t>6</w:t>
                  </w:r>
                  <w:r>
                    <w:rPr>
                      <w:rFonts w:hint="eastAsia" w:ascii="仿宋_GB2312" w:hAnsi="仿宋_GB2312" w:eastAsia="仿宋_GB2312" w:cs="仿宋_GB2312"/>
                      <w:b w:val="0"/>
                      <w:bCs w:val="0"/>
                      <w:kern w:val="2"/>
                      <w:sz w:val="24"/>
                      <w:szCs w:val="24"/>
                      <w:u w:val="none"/>
                      <w:lang w:val="en-US" w:eastAsia="zh-CN" w:bidi="ar"/>
                      <w:woUserID w:val="1"/>
                    </w:rPr>
                    <w:t>1</w:t>
                  </w:r>
                  <w:r>
                    <w:rPr>
                      <w:rFonts w:hint="default" w:ascii="仿宋_GB2312" w:hAnsi="仿宋_GB2312" w:eastAsia="仿宋_GB2312" w:cs="仿宋_GB2312"/>
                      <w:b w:val="0"/>
                      <w:bCs w:val="0"/>
                      <w:kern w:val="2"/>
                      <w:sz w:val="24"/>
                      <w:szCs w:val="24"/>
                      <w:u w:val="none"/>
                      <w:lang w:eastAsia="zh-CN" w:bidi="ar"/>
                      <w:woUserID w:val="1"/>
                    </w:rPr>
                    <w:t>0</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top"/>
                </w:tcPr>
                <w:p w14:paraId="2CB56F17">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u w:val="single"/>
                      <w:woUserID w:val="1"/>
                    </w:rPr>
                  </w:pPr>
                </w:p>
              </w:tc>
              <w:tc>
                <w:tcPr>
                  <w:tcW w:w="1598" w:type="pct"/>
                  <w:tcBorders>
                    <w:top w:val="single" w:color="auto" w:sz="4" w:space="0"/>
                    <w:left w:val="single" w:color="auto" w:sz="4" w:space="0"/>
                    <w:bottom w:val="single" w:color="auto" w:sz="4" w:space="0"/>
                    <w:right w:val="single" w:color="auto" w:sz="4" w:space="0"/>
                  </w:tcBorders>
                  <w:shd w:val="clear" w:color="auto" w:fill="auto"/>
                  <w:vAlign w:val="top"/>
                </w:tcPr>
                <w:p w14:paraId="6F404123">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u w:val="single"/>
                      <w:woUserID w:val="1"/>
                    </w:rPr>
                  </w:pPr>
                </w:p>
              </w:tc>
            </w:tr>
          </w:tbl>
          <w:p w14:paraId="39DCBF0B">
            <w:pPr>
              <w:keepNext w:val="0"/>
              <w:keepLines w:val="0"/>
              <w:suppressLineNumbers w:val="0"/>
              <w:spacing w:before="0" w:beforeAutospacing="0" w:after="0" w:afterAutospacing="0"/>
              <w:ind w:left="0" w:leftChars="0" w:right="0" w:rightChars="0"/>
              <w:rPr>
                <w:rFonts w:hint="default" w:ascii="宋体" w:hAnsi="宋体" w:eastAsia="宋体" w:cs="Times New Roman"/>
                <w:b/>
                <w:kern w:val="2"/>
                <w:sz w:val="24"/>
                <w:szCs w:val="32"/>
                <w:u w:val="single"/>
                <w:lang w:val="en-US" w:eastAsia="zh-CN" w:bidi="ar-SA"/>
              </w:rPr>
            </w:pPr>
          </w:p>
        </w:tc>
      </w:tr>
      <w:tr w14:paraId="1868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000" w:type="pct"/>
            <w:gridSpan w:val="2"/>
          </w:tcPr>
          <w:p w14:paraId="001785C4">
            <w:pPr>
              <w:keepNext w:val="0"/>
              <w:keepLines w:val="0"/>
              <w:numPr>
                <w:ilvl w:val="-1"/>
                <w:numId w:val="0"/>
              </w:numPr>
              <w:suppressLineNumbers w:val="0"/>
              <w:spacing w:before="0" w:beforeAutospacing="0" w:after="0" w:afterAutospacing="0"/>
              <w:ind w:left="0" w:right="0"/>
              <w:rPr>
                <w:rFonts w:hint="default" w:ascii="宋体" w:hAnsi="宋体"/>
                <w:bCs/>
                <w:sz w:val="24"/>
              </w:rPr>
            </w:pPr>
            <w:r>
              <w:rPr>
                <w:rFonts w:hint="eastAsia" w:ascii="宋体" w:hAnsi="宋体"/>
                <w:bCs/>
                <w:sz w:val="24"/>
              </w:rPr>
              <w:t>备注：</w:t>
            </w:r>
          </w:p>
          <w:p w14:paraId="67D5D815">
            <w:pPr>
              <w:keepNext w:val="0"/>
              <w:keepLines w:val="0"/>
              <w:widowControl w:val="0"/>
              <w:numPr>
                <w:ilvl w:val="0"/>
                <w:numId w:val="1"/>
              </w:numPr>
              <w:suppressLineNumbers w:val="0"/>
              <w:spacing w:before="0" w:beforeAutospacing="0" w:after="0" w:afterAutospacing="0"/>
              <w:ind w:left="0" w:right="0"/>
              <w:jc w:val="both"/>
              <w:rPr>
                <w:rFonts w:hint="default" w:ascii="宋体" w:hAnsi="宋体"/>
                <w:bCs/>
                <w:sz w:val="24"/>
              </w:rPr>
            </w:pPr>
            <w:r>
              <w:rPr>
                <w:rFonts w:hint="eastAsia" w:ascii="宋体" w:hAnsi="宋体"/>
                <w:bCs/>
                <w:sz w:val="24"/>
              </w:rPr>
              <w:t>报价人对服务内容已经完全知晓，本次</w:t>
            </w:r>
            <w:r>
              <w:rPr>
                <w:rFonts w:hint="eastAsia" w:ascii="宋体" w:hAnsi="宋体"/>
                <w:bCs/>
                <w:sz w:val="24"/>
                <w:woUserID w:val="1"/>
              </w:rPr>
              <w:t>报价包括但不限于完成本项目所需的各项成本、人工费、材料费、管理费、专家评审费、开办费、税金及场地费、利润等所有费用</w:t>
            </w:r>
            <w:r>
              <w:rPr>
                <w:rFonts w:hint="eastAsia" w:ascii="宋体" w:hAnsi="宋体"/>
                <w:bCs/>
                <w:sz w:val="24"/>
              </w:rPr>
              <w:t>。</w:t>
            </w:r>
          </w:p>
          <w:p w14:paraId="3699B2C9">
            <w:pPr>
              <w:keepNext w:val="0"/>
              <w:keepLines w:val="0"/>
              <w:numPr>
                <w:ilvl w:val="0"/>
                <w:numId w:val="1"/>
              </w:numPr>
              <w:suppressLineNumbers w:val="0"/>
              <w:spacing w:before="0" w:beforeAutospacing="0" w:after="0" w:afterAutospacing="0"/>
              <w:ind w:left="0" w:right="0"/>
              <w:rPr>
                <w:rFonts w:hint="eastAsia" w:ascii="宋体" w:hAnsi="宋体"/>
                <w:bCs/>
                <w:sz w:val="24"/>
              </w:rPr>
            </w:pPr>
            <w:r>
              <w:rPr>
                <w:rFonts w:hint="eastAsia" w:ascii="宋体" w:hAnsi="宋体"/>
                <w:bCs/>
                <w:sz w:val="24"/>
              </w:rPr>
              <w:t>本次报价为</w:t>
            </w:r>
            <w:r>
              <w:rPr>
                <w:rFonts w:hint="default" w:ascii="宋体" w:hAnsi="宋体"/>
                <w:bCs/>
                <w:sz w:val="24"/>
                <w:woUserID w:val="1"/>
              </w:rPr>
              <w:t>总价</w:t>
            </w:r>
            <w:r>
              <w:rPr>
                <w:rFonts w:hint="eastAsia" w:ascii="宋体" w:hAnsi="宋体"/>
                <w:bCs/>
                <w:sz w:val="24"/>
              </w:rPr>
              <w:t>包干报价，期间不做任何价格调整。</w:t>
            </w:r>
          </w:p>
          <w:p w14:paraId="035FC8D8">
            <w:pPr>
              <w:keepNext w:val="0"/>
              <w:keepLines w:val="0"/>
              <w:numPr>
                <w:ilvl w:val="0"/>
                <w:numId w:val="1"/>
              </w:numPr>
              <w:suppressLineNumbers w:val="0"/>
              <w:spacing w:before="0" w:beforeAutospacing="0" w:after="0" w:afterAutospacing="0"/>
              <w:ind w:left="0" w:right="0"/>
              <w:rPr>
                <w:rFonts w:hint="eastAsia" w:ascii="宋体" w:hAnsi="宋体"/>
                <w:bCs/>
                <w:sz w:val="24"/>
              </w:rPr>
            </w:pPr>
            <w:r>
              <w:rPr>
                <w:rFonts w:hint="default" w:ascii="宋体" w:hAnsi="宋体"/>
                <w:bCs/>
                <w:sz w:val="24"/>
                <w:woUserID w:val="1"/>
              </w:rPr>
              <w:t>总价应等于综合单价×预计总进尺，否则视为无效报价。</w:t>
            </w:r>
          </w:p>
        </w:tc>
      </w:tr>
    </w:tbl>
    <w:p w14:paraId="7E2CEC09">
      <w:pPr>
        <w:rPr>
          <w:rFonts w:ascii="宋体" w:hAnsi="宋体"/>
          <w:b/>
          <w:sz w:val="28"/>
          <w:szCs w:val="36"/>
        </w:rPr>
      </w:pPr>
      <w:r>
        <w:rPr>
          <w:rFonts w:hint="eastAsia" w:ascii="宋体" w:hAnsi="宋体"/>
          <w:b/>
          <w:sz w:val="28"/>
          <w:szCs w:val="36"/>
        </w:rPr>
        <w:t xml:space="preserve">法定代表人（或委托代理人）签字：            </w:t>
      </w:r>
    </w:p>
    <w:p w14:paraId="37095304">
      <w:pPr>
        <w:rPr>
          <w:rFonts w:ascii="宋体" w:hAnsi="宋体"/>
          <w:b/>
          <w:sz w:val="28"/>
          <w:szCs w:val="36"/>
        </w:rPr>
      </w:pPr>
    </w:p>
    <w:p w14:paraId="6C640043">
      <w:pPr>
        <w:rPr>
          <w:rFonts w:ascii="宋体" w:hAnsi="宋体"/>
          <w:b/>
          <w:sz w:val="28"/>
          <w:szCs w:val="36"/>
        </w:rPr>
      </w:pPr>
      <w:r>
        <w:rPr>
          <w:rFonts w:hint="eastAsia" w:ascii="宋体" w:hAnsi="宋体"/>
          <w:b/>
          <w:sz w:val="28"/>
          <w:szCs w:val="36"/>
        </w:rPr>
        <w:t>单位名称（</w:t>
      </w:r>
      <w:r>
        <w:rPr>
          <w:rFonts w:ascii="宋体" w:hAnsi="宋体"/>
          <w:b/>
          <w:sz w:val="28"/>
          <w:szCs w:val="36"/>
        </w:rPr>
        <w:t>盖</w:t>
      </w:r>
      <w:r>
        <w:rPr>
          <w:rFonts w:hint="eastAsia" w:ascii="宋体" w:hAnsi="宋体"/>
          <w:b/>
          <w:sz w:val="28"/>
          <w:szCs w:val="36"/>
        </w:rPr>
        <w:t>章）：</w:t>
      </w:r>
    </w:p>
    <w:p w14:paraId="57CEBB77">
      <w:pPr>
        <w:rPr>
          <w:rFonts w:ascii="宋体" w:hAnsi="宋体"/>
          <w:b/>
          <w:sz w:val="28"/>
          <w:szCs w:val="36"/>
        </w:rPr>
      </w:pPr>
    </w:p>
    <w:p w14:paraId="6ED5B2E0">
      <w:pPr>
        <w:jc w:val="left"/>
        <w:rPr>
          <w:rFonts w:ascii="宋体" w:hAnsi="宋体"/>
          <w:b/>
          <w:sz w:val="28"/>
          <w:szCs w:val="36"/>
        </w:rPr>
      </w:pPr>
      <w:r>
        <w:rPr>
          <w:rFonts w:hint="eastAsia" w:ascii="宋体" w:hAnsi="宋体"/>
          <w:b/>
          <w:sz w:val="28"/>
          <w:szCs w:val="36"/>
        </w:rPr>
        <w:t>联系人及电话：</w:t>
      </w:r>
    </w:p>
    <w:p w14:paraId="4E72C08D">
      <w:pPr>
        <w:jc w:val="left"/>
        <w:rPr>
          <w:rFonts w:ascii="宋体" w:hAnsi="宋体"/>
          <w:b/>
          <w:sz w:val="28"/>
          <w:szCs w:val="36"/>
        </w:rPr>
      </w:pPr>
    </w:p>
    <w:p w14:paraId="1B24A429">
      <w:pPr>
        <w:jc w:val="left"/>
        <w:rPr>
          <w:rFonts w:hint="eastAsia" w:ascii="宋体" w:hAnsi="宋体"/>
          <w:sz w:val="28"/>
          <w:szCs w:val="28"/>
        </w:rPr>
      </w:pPr>
      <w:r>
        <w:rPr>
          <w:rFonts w:ascii="宋体" w:hAnsi="宋体"/>
          <w:b/>
          <w:sz w:val="28"/>
          <w:szCs w:val="36"/>
        </w:rPr>
        <w:t>日期：</w:t>
      </w:r>
      <w:bookmarkStart w:id="0" w:name="_Toc254970729"/>
      <w:bookmarkEnd w:id="0"/>
      <w:bookmarkStart w:id="1" w:name="_Toc254970732"/>
      <w:bookmarkEnd w:id="1"/>
      <w:bookmarkStart w:id="2" w:name="_Toc173211904"/>
      <w:bookmarkEnd w:id="2"/>
    </w:p>
    <w:p w14:paraId="6709DE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22B99"/>
    <w:multiLevelType w:val="singleLevel"/>
    <w:tmpl w:val="5AB22B9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821E2"/>
    <w:rsid w:val="3328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2025-01-06T05:29:00Z</dcterms:created>
  <dc:creator>陈霄</dc:creator>
  <cp:lastModifiedBy>陈霄</cp:lastModifiedBy>
  <dcterms:modified xsi:type="dcterms:W3CDTF">2025-01-06T05:31:37Z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D0753D1BF55F4F7489F79599BD91D635_11</vt:lpwstr>
  </property>
  <property fmtid="{D5CDD505-2E9C-101B-9397-08002B2CF9AE}" pid="4" name="KSOTemplateDocerSaveRecord">
    <vt:lpwstr>eyJoZGlkIjoiMzg0YWExNzI4MzYxNmEzYzE4Mjk0ZDA0ODBkNzRhOTAiLCJ1c2VySWQiOiIyMTIzNjM4NTIifQ==</vt:lpwstr>
  </property>
</Properties>
</file>