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81A592">
      <w:pPr>
        <w:jc w:val="center"/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年广西财经学院</w:t>
      </w: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lang w:val="en-US" w:eastAsia="zh-CN"/>
        </w:rPr>
        <w:t>武鸣校区大学生活动中心317室匹克球馆器材采购项目</w:t>
      </w: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</w:rPr>
        <w:t>报价表</w:t>
      </w:r>
    </w:p>
    <w:p w14:paraId="0FB9A117">
      <w:pPr>
        <w:jc w:val="left"/>
        <w:rPr>
          <w:rFonts w:ascii="仿宋_GB2312" w:hAnsi="仿宋"/>
          <w:b/>
          <w:sz w:val="24"/>
          <w:szCs w:val="36"/>
        </w:rPr>
      </w:pPr>
    </w:p>
    <w:p w14:paraId="367FEC8F">
      <w:pPr>
        <w:jc w:val="left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项目名称：202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年广西财经学院武鸣校区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 xml:space="preserve">大学生活动中心317室匹克球馆器材采购项目     </w:t>
      </w:r>
    </w:p>
    <w:p w14:paraId="5CC50D47">
      <w:pPr>
        <w:jc w:val="left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本项目上限控制价：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47100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.00元</w:t>
      </w:r>
    </w:p>
    <w:p w14:paraId="24D1767E">
      <w:pPr>
        <w:jc w:val="center"/>
        <w:rPr>
          <w:rFonts w:hint="eastAsia"/>
          <w:b w:val="0"/>
          <w:bCs w:val="0"/>
          <w:sz w:val="60"/>
          <w:szCs w:val="60"/>
          <w:lang w:val="en-US" w:eastAsia="zh-CN"/>
        </w:rPr>
      </w:pPr>
    </w:p>
    <w:tbl>
      <w:tblPr>
        <w:tblStyle w:val="2"/>
        <w:tblW w:w="1392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336"/>
        <w:gridCol w:w="1069"/>
        <w:gridCol w:w="806"/>
        <w:gridCol w:w="6986"/>
        <w:gridCol w:w="986"/>
        <w:gridCol w:w="991"/>
        <w:gridCol w:w="14"/>
        <w:gridCol w:w="1039"/>
      </w:tblGrid>
      <w:tr w14:paraId="1D591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54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09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名称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9D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单位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4D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数量</w:t>
            </w:r>
          </w:p>
        </w:tc>
        <w:tc>
          <w:tcPr>
            <w:tcW w:w="6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2C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技术参数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6FF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单价（元）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C89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金额（元）</w:t>
            </w:r>
          </w:p>
        </w:tc>
        <w:tc>
          <w:tcPr>
            <w:tcW w:w="105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5E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是否响应</w:t>
            </w:r>
          </w:p>
        </w:tc>
      </w:tr>
      <w:tr w14:paraId="6A79D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15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D3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铝合金球场休息椅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DA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0F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6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C4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使用铝合金型材制作，器材表面经防锈处理，表面光滑光亮、色泽均匀、无起皮脱落现象；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座椅椅脚底部使用黑色胶套，防止滑动及对地面产生磨损；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产品尺寸（允许偏差为±20mm）：长1800×宽445×高420mm；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配置：1张休息椅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颜色：墨绿色/白色/木纹色。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★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休息椅中所用的管材：管材符合GB/T 9286-2021《色漆和清漆划格试验》标准，通过附着力达到0级（2a-间距1mm），提供第三方检测中心出具的具有CMA、CNAS标志的检测报告复印件加盖制造商公章。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★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休息椅中所用的管材：管材符合GB/T 6742-2007《色漆和清漆 弯曲试验(圆柱轴)》，通过耐弯曲性≤2mm测试，提供第三方检测中心出具的具有CMA、CNAS标志的检测报告复印件加盖制造商公章。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★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休息椅中所用的管材：管材符合GB/T 9279.1-2015《色漆和清漆耐划痕性的测定第1部分：负荷恒定法》标准，通过耐划痕性（500g）测试，提供第三方检测中心出具的具有CMA、CNAS标志的检测报告复印件加盖制造商公章。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B7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78F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5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DF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4ABF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50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31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匹克球网架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B3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B3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6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ADE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材质：全铝合金型材+型钢连接芯精制而成，可完全回收利用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工艺：表面经超耐候聚酯粉末喷涂，颜色十年不脱落，全天候环境使用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设计：外观新颖可分拆组合设计，结构稳固，内置收线拉网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规格：组合型尺寸：长6840mm×宽458mm×高914mm；安装后实物尺寸允差±20mm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标配：匹克球柱（1对）、匹克球网（1张）、钢丝绳、中心索带、中心索带预埋件、主柱摇把。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★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匹克球柱中所用的管材：管材涂层符合《GB/T9276-1996》标准，通过自然气候暴露试验（测试周期不低于12个月）的检测，样品老化前后颜色变化程度用灰卡进行评级，灰卡等级≥5级，无变色、无粉化、无开裂、无起泡、无剥落，提供第三方检测中心出具的具有CMA、CNAS标志的检测报告复印件加盖制造商公章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★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匹克球柱中所用的管材：管材符合《GB/T14522-2008》标准，通过耐紫外老化试验≥168h，并达到色牢度（灰卡等级）5级。提供第三方检测中心出具的具有CMA、CNAS标志的检测报告复印件加盖制造商公章。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★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匹克球柱中所用的管材：管材符合《GB/T5470-2008》标准，通过低温脆化温度(-40℃)测试，且热变形温度70℃测试合格，提供第三方检测中心出具的具有CMA、CNAS标志的检测报告复印件加盖制造商公章。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82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0A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5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506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61467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A8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97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匹克球拍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72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支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A5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50</w:t>
            </w:r>
          </w:p>
        </w:tc>
        <w:tc>
          <w:tcPr>
            <w:tcW w:w="6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A49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训练级单拍【玻纤+PP】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由表面玻璃纤维，夹层为塑料PP蜂窝粘结压制而成此系列球拍适用于初学者或入门级人群，球拍具有较好的回弹力，是新手练习的好产品。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32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CA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5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2B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5F5CC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A2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38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匹克球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84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8E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300</w:t>
            </w:r>
          </w:p>
        </w:tc>
        <w:tc>
          <w:tcPr>
            <w:tcW w:w="6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09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PE材质，滚塑工艺，室外球40孔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EE0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DC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5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DD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5CE3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0C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B5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匹克球框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9C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A0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6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9C7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折叠式装球车，装球容量：180粒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特点：车架可折叠，秒开秒和，轻巧易随车携带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材质：车架采用铝合金，轻便耐用不生锈；PVC静音防滑制动脚轮，双刹双不刹；球蓝采用优良涤纶材质，经久耐用，方便清洗；球蓝跟车身可独立拆分，拆装方便易携带；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整体规格：长410×宽410×高900mm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球包规格：长410×宽410×高450mm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重量：3.9KG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颜色：车架原铝色，球蓝黑色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EC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8C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07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D7AF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82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BD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匹克球收球器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C7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E0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6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B2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尺寸：手柄可调节范围：54-95CM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收球框：25*25*25CM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C4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B1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C5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6488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07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52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匹克球挡板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DB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片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38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120</w:t>
            </w:r>
          </w:p>
        </w:tc>
        <w:tc>
          <w:tcPr>
            <w:tcW w:w="69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9B63B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架子材质：加厚镀锌管+ABS链接件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布料材质：牛津布/加厚彩印布，热转印技术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尺寸：71*140CM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DA24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0642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E66B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D90F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392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03B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合    计：（小写）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u w:val="single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（大</w:t>
            </w:r>
            <w:r>
              <w:rPr>
                <w:rFonts w:ascii="宋体" w:hAnsi="宋体" w:eastAsia="宋体" w:cs="宋体"/>
                <w:color w:val="auto"/>
                <w:sz w:val="22"/>
                <w:szCs w:val="22"/>
              </w:rPr>
              <w:t>写）</w:t>
            </w:r>
          </w:p>
        </w:tc>
      </w:tr>
    </w:tbl>
    <w:p w14:paraId="2AA86A6F">
      <w:pPr>
        <w:rPr>
          <w:rFonts w:hint="eastAsia"/>
          <w:lang w:val="en-US" w:eastAsia="zh-CN"/>
        </w:rPr>
      </w:pPr>
    </w:p>
    <w:tbl>
      <w:tblPr>
        <w:tblStyle w:val="2"/>
        <w:tblpPr w:leftFromText="180" w:rightFromText="180" w:vertAnchor="text" w:tblpXSpec="center" w:tblpY="167"/>
        <w:tblW w:w="13104" w:type="dxa"/>
        <w:tblInd w:w="-1543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104"/>
      </w:tblGrid>
      <w:tr w14:paraId="170B26A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4" w:hRule="atLeast"/>
        </w:trPr>
        <w:tc>
          <w:tcPr>
            <w:tcW w:w="13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106FA9">
            <w:pPr>
              <w:jc w:val="center"/>
              <w:rPr>
                <w:rFonts w:hint="eastAsia" w:ascii="宋体" w:hAnsi="宋体" w:eastAsia="宋体" w:cs="仿宋_GB2312"/>
                <w:b/>
                <w:color w:val="auto"/>
                <w:szCs w:val="23"/>
              </w:rPr>
            </w:pPr>
            <w:r>
              <w:rPr>
                <w:rFonts w:hint="eastAsia" w:ascii="宋体" w:hAnsi="宋体" w:eastAsia="宋体" w:cs="仿宋_GB2312"/>
                <w:b/>
                <w:color w:val="auto"/>
                <w:szCs w:val="23"/>
              </w:rPr>
              <w:t>商务要求</w:t>
            </w:r>
          </w:p>
        </w:tc>
      </w:tr>
      <w:tr w14:paraId="60A01E7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4" w:hRule="atLeast"/>
        </w:trPr>
        <w:tc>
          <w:tcPr>
            <w:tcW w:w="13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542B1E">
            <w:pPr>
              <w:pStyle w:val="4"/>
              <w:jc w:val="left"/>
              <w:rPr>
                <w:rFonts w:ascii="宋体" w:hAnsi="宋体" w:eastAsia="宋体" w:cs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仿宋_GB2312"/>
                <w:color w:val="auto"/>
                <w:sz w:val="24"/>
                <w:szCs w:val="24"/>
              </w:rPr>
              <w:t>1.报价含</w:t>
            </w:r>
            <w:r>
              <w:rPr>
                <w:rFonts w:hint="eastAsia" w:ascii="宋体" w:hAnsi="宋体" w:eastAsia="宋体" w:cs="仿宋_GB2312"/>
                <w:color w:val="auto"/>
                <w:sz w:val="24"/>
                <w:szCs w:val="24"/>
                <w:lang w:val="en-US" w:eastAsia="zh-CN"/>
              </w:rPr>
              <w:t>包装、装卸、</w:t>
            </w:r>
            <w:r>
              <w:rPr>
                <w:rFonts w:hint="eastAsia" w:ascii="宋体" w:hAnsi="宋体" w:eastAsia="宋体" w:cs="仿宋_GB2312"/>
                <w:color w:val="auto"/>
                <w:sz w:val="24"/>
                <w:szCs w:val="24"/>
              </w:rPr>
              <w:t>运输、</w:t>
            </w:r>
            <w:r>
              <w:rPr>
                <w:rFonts w:hint="eastAsia" w:ascii="宋体" w:hAnsi="宋体" w:eastAsia="宋体" w:cs="仿宋_GB2312"/>
                <w:color w:val="auto"/>
                <w:sz w:val="24"/>
                <w:szCs w:val="24"/>
                <w:lang w:val="en-US" w:eastAsia="zh-CN"/>
              </w:rPr>
              <w:t>调换、利润、税金、保险、协调、售后服务费、相关文件规定及合同包含的所有风险、责任等各项应有费用。</w:t>
            </w:r>
            <w:r>
              <w:rPr>
                <w:rFonts w:hint="eastAsia" w:ascii="宋体" w:hAnsi="宋体" w:eastAsia="宋体" w:cs="仿宋_GB2312"/>
                <w:color w:val="auto"/>
                <w:sz w:val="24"/>
                <w:szCs w:val="24"/>
              </w:rPr>
              <w:t>报价超过本项目预算价作无效报价处理。</w:t>
            </w:r>
          </w:p>
          <w:p w14:paraId="37245F14">
            <w:pPr>
              <w:widowControl/>
              <w:jc w:val="left"/>
              <w:rPr>
                <w:rFonts w:ascii="宋体" w:hAnsi="宋体" w:eastAsia="宋体" w:cs="仿宋_GB2312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仿宋_GB2312"/>
                <w:color w:val="auto"/>
                <w:sz w:val="24"/>
                <w:szCs w:val="24"/>
              </w:rPr>
              <w:t>2.</w:t>
            </w:r>
            <w:r>
              <w:rPr>
                <w:rFonts w:hint="eastAsia" w:ascii="宋体" w:hAnsi="宋体" w:eastAsia="宋体" w:cs="仿宋_GB2312"/>
                <w:color w:val="auto"/>
                <w:sz w:val="24"/>
                <w:szCs w:val="24"/>
              </w:rPr>
              <w:t>供货</w:t>
            </w:r>
            <w:r>
              <w:rPr>
                <w:rFonts w:ascii="宋体" w:hAnsi="宋体" w:eastAsia="宋体" w:cs="仿宋_GB2312"/>
                <w:color w:val="auto"/>
                <w:sz w:val="24"/>
                <w:szCs w:val="24"/>
              </w:rPr>
              <w:t>时间：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自合同签订后，接到采购人通知之日起 10日内交付货物。</w:t>
            </w:r>
          </w:p>
          <w:p w14:paraId="238C5669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仿宋_GB2312"/>
                <w:color w:val="auto"/>
                <w:sz w:val="24"/>
                <w:szCs w:val="24"/>
              </w:rPr>
              <w:t>3.质保期：</w:t>
            </w:r>
          </w:p>
          <w:p w14:paraId="7D29773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设备必须是全新原厂正品。</w:t>
            </w:r>
          </w:p>
          <w:p w14:paraId="364236C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  <w14:ligatures w14:val="none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  <w14:ligatures w14:val="none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质保要求按国家有关产品“三包”规定执行“三包”政策，质保期以通过项目最终验收的验收报告签字日开始计算。</w:t>
            </w:r>
          </w:p>
          <w:p w14:paraId="574E7AC6">
            <w:pPr>
              <w:pStyle w:val="4"/>
              <w:tabs>
                <w:tab w:val="left" w:pos="6723"/>
              </w:tabs>
              <w:jc w:val="left"/>
              <w:rPr>
                <w:rFonts w:ascii="宋体" w:hAnsi="宋体" w:eastAsia="宋体" w:cs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  <w14:ligatures w14:val="none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  <w14:ligatures w14:val="none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质保期内由于质量问题导致设备损坏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  <w14:ligatures w14:val="none"/>
              </w:rPr>
              <w:t>的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成交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供应商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必须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提供保修、人工及更换备件的上门服务，并提供终身维护。质保期内采购人不再支付任何费用。</w:t>
            </w:r>
          </w:p>
          <w:p w14:paraId="0733D1B7">
            <w:pPr>
              <w:pStyle w:val="4"/>
              <w:jc w:val="left"/>
              <w:rPr>
                <w:rFonts w:ascii="宋体" w:hAnsi="宋体" w:eastAsia="宋体" w:cs="仿宋_GB2312"/>
                <w:color w:val="auto"/>
                <w:szCs w:val="23"/>
              </w:rPr>
            </w:pPr>
            <w:r>
              <w:rPr>
                <w:rFonts w:hint="eastAsia" w:ascii="宋体" w:hAnsi="宋体" w:eastAsia="宋体" w:cs="仿宋_GB2312"/>
                <w:color w:val="auto"/>
                <w:szCs w:val="23"/>
              </w:rPr>
              <w:t>4</w:t>
            </w:r>
            <w:r>
              <w:rPr>
                <w:rFonts w:ascii="宋体" w:hAnsi="宋体" w:eastAsia="宋体" w:cs="仿宋_GB2312"/>
                <w:color w:val="auto"/>
                <w:szCs w:val="23"/>
              </w:rPr>
              <w:t>.</w:t>
            </w:r>
            <w:r>
              <w:rPr>
                <w:rFonts w:hint="eastAsia" w:ascii="宋体" w:hAnsi="宋体" w:eastAsia="宋体" w:cs="仿宋_GB2312"/>
                <w:color w:val="auto"/>
                <w:szCs w:val="23"/>
              </w:rPr>
              <w:t>供货方式：现场交货（成交人必须当面交货）。</w:t>
            </w:r>
          </w:p>
          <w:p w14:paraId="6A011CEA">
            <w:pPr>
              <w:pStyle w:val="4"/>
              <w:jc w:val="left"/>
              <w:rPr>
                <w:rFonts w:ascii="宋体" w:hAnsi="宋体" w:eastAsia="宋体" w:cs="仿宋_GB2312"/>
                <w:color w:val="auto"/>
                <w:szCs w:val="23"/>
              </w:rPr>
            </w:pPr>
            <w:r>
              <w:rPr>
                <w:rFonts w:hint="eastAsia" w:ascii="宋体" w:hAnsi="宋体" w:eastAsia="宋体" w:cs="仿宋_GB2312"/>
                <w:color w:val="auto"/>
                <w:szCs w:val="23"/>
              </w:rPr>
              <w:t>5</w:t>
            </w:r>
            <w:r>
              <w:rPr>
                <w:rFonts w:ascii="宋体" w:hAnsi="宋体" w:eastAsia="宋体" w:cs="仿宋_GB2312"/>
                <w:color w:val="auto"/>
                <w:szCs w:val="23"/>
              </w:rPr>
              <w:t>.</w:t>
            </w:r>
            <w:r>
              <w:rPr>
                <w:rFonts w:hint="eastAsia" w:ascii="宋体" w:hAnsi="宋体" w:eastAsia="宋体" w:cs="仿宋_GB2312"/>
                <w:color w:val="auto"/>
                <w:szCs w:val="23"/>
              </w:rPr>
              <w:t>供货</w:t>
            </w:r>
            <w:r>
              <w:rPr>
                <w:rFonts w:ascii="宋体" w:hAnsi="宋体" w:eastAsia="宋体" w:cs="仿宋_GB2312"/>
                <w:color w:val="auto"/>
                <w:szCs w:val="23"/>
              </w:rPr>
              <w:t>地点：</w:t>
            </w:r>
            <w:r>
              <w:rPr>
                <w:rFonts w:hint="eastAsia" w:ascii="宋体" w:hAnsi="宋体" w:eastAsia="宋体" w:cs="仿宋_GB2312"/>
                <w:color w:val="auto"/>
                <w:szCs w:val="23"/>
              </w:rPr>
              <w:t>具体地点由采购</w:t>
            </w:r>
            <w:r>
              <w:rPr>
                <w:rFonts w:ascii="宋体" w:hAnsi="宋体" w:eastAsia="宋体" w:cs="仿宋_GB2312"/>
                <w:color w:val="auto"/>
                <w:szCs w:val="23"/>
              </w:rPr>
              <w:t>方指定</w:t>
            </w:r>
            <w:r>
              <w:rPr>
                <w:rFonts w:hint="eastAsia" w:ascii="宋体" w:hAnsi="宋体" w:eastAsia="宋体" w:cs="仿宋_GB2312"/>
                <w:color w:val="auto"/>
                <w:szCs w:val="23"/>
              </w:rPr>
              <w:t>（广西财经学院</w:t>
            </w:r>
            <w:r>
              <w:rPr>
                <w:rFonts w:hint="eastAsia" w:ascii="宋体" w:hAnsi="宋体" w:eastAsia="宋体" w:cs="仿宋_GB2312"/>
                <w:color w:val="auto"/>
                <w:szCs w:val="23"/>
                <w:lang w:val="en-US" w:eastAsia="zh-CN"/>
              </w:rPr>
              <w:t>武鸣</w:t>
            </w:r>
            <w:r>
              <w:rPr>
                <w:rFonts w:hint="eastAsia" w:ascii="宋体" w:hAnsi="宋体" w:eastAsia="宋体" w:cs="仿宋_GB2312"/>
                <w:color w:val="auto"/>
                <w:szCs w:val="23"/>
              </w:rPr>
              <w:t>校区）。</w:t>
            </w:r>
          </w:p>
          <w:p w14:paraId="47BF2921">
            <w:pPr>
              <w:jc w:val="left"/>
              <w:rPr>
                <w:rFonts w:hint="eastAsia" w:ascii="宋体" w:hAnsi="宋体" w:eastAsia="宋体" w:cs="仿宋_GB2312"/>
                <w:color w:val="auto"/>
                <w:sz w:val="24"/>
                <w:szCs w:val="23"/>
              </w:rPr>
            </w:pPr>
            <w:r>
              <w:rPr>
                <w:rFonts w:hint="eastAsia" w:ascii="宋体" w:hAnsi="宋体" w:eastAsia="宋体" w:cs="仿宋_GB2312"/>
                <w:color w:val="auto"/>
                <w:sz w:val="24"/>
                <w:szCs w:val="23"/>
              </w:rPr>
              <w:t>6.付款</w:t>
            </w:r>
            <w:r>
              <w:rPr>
                <w:rFonts w:hint="eastAsia" w:ascii="宋体" w:hAnsi="宋体" w:eastAsia="宋体" w:cs="仿宋_GB2312"/>
                <w:color w:val="auto"/>
                <w:sz w:val="24"/>
                <w:szCs w:val="23"/>
                <w:lang w:val="en-US" w:eastAsia="zh-CN"/>
              </w:rPr>
              <w:t>方式</w:t>
            </w:r>
            <w:r>
              <w:rPr>
                <w:rFonts w:hint="eastAsia" w:ascii="宋体" w:hAnsi="宋体" w:eastAsia="宋体" w:cs="仿宋_GB2312"/>
                <w:color w:val="auto"/>
                <w:sz w:val="24"/>
                <w:szCs w:val="23"/>
              </w:rPr>
              <w:t>：如货物存在质量问题或与采</w:t>
            </w:r>
            <w:bookmarkStart w:id="0" w:name="_GoBack"/>
            <w:bookmarkEnd w:id="0"/>
            <w:r>
              <w:rPr>
                <w:rFonts w:hint="eastAsia" w:ascii="宋体" w:hAnsi="宋体" w:eastAsia="宋体" w:cs="仿宋_GB2312"/>
                <w:color w:val="auto"/>
                <w:sz w:val="24"/>
                <w:szCs w:val="23"/>
              </w:rPr>
              <w:t>购规格不一致，供应商须在2个工作日内完成更换。验收通过，采购人自收到成交人发票之日起二十个工作日内，由采购人一次性付清成交人合同总金额100%的款项（无预付款）。</w:t>
            </w:r>
          </w:p>
          <w:p w14:paraId="12F4E0ED">
            <w:pPr>
              <w:jc w:val="left"/>
              <w:rPr>
                <w:rFonts w:hint="eastAsia" w:ascii="宋体" w:hAnsi="宋体" w:eastAsia="宋体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color w:val="auto"/>
                <w:sz w:val="24"/>
                <w:szCs w:val="24"/>
                <w:lang w:val="en-US" w:eastAsia="zh-CN"/>
              </w:rPr>
              <w:t>7.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  <w14:ligatures w14:val="none"/>
              </w:rPr>
              <w:t>标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  <w:lang w:eastAsia="zh-CN"/>
                <w14:ligatures w14:val="none"/>
              </w:rPr>
              <w:t>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  <w:lang w:eastAsia="zh-CN"/>
                <w14:ligatures w14:val="none"/>
              </w:rPr>
              <w:t>”的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  <w14:ligatures w14:val="none"/>
              </w:rPr>
              <w:t>参数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14:ligatures w14:val="none"/>
              </w:rPr>
              <w:t>为必须满足的实质性参数，若不满足作无效报价处理。其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  <w:t>它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14:ligatures w14:val="none"/>
              </w:rPr>
              <w:t>参数负偏离累计不得超过五项。</w:t>
            </w:r>
          </w:p>
        </w:tc>
      </w:tr>
    </w:tbl>
    <w:p w14:paraId="22BF9F94">
      <w:pPr>
        <w:spacing w:line="320" w:lineRule="exact"/>
        <w:ind w:firstLine="480" w:firstLineChars="200"/>
        <w:rPr>
          <w:rFonts w:ascii="仿宋_GB2312" w:hAnsi="Calibri"/>
          <w:sz w:val="24"/>
          <w:szCs w:val="24"/>
        </w:rPr>
      </w:pPr>
      <w:r>
        <w:rPr>
          <w:rFonts w:hint="eastAsia" w:ascii="仿宋_GB2312" w:hAnsi="Calibri"/>
          <w:sz w:val="24"/>
          <w:szCs w:val="24"/>
        </w:rPr>
        <w:t xml:space="preserve"> </w:t>
      </w:r>
    </w:p>
    <w:p w14:paraId="68F83829">
      <w:pPr>
        <w:spacing w:line="560" w:lineRule="exact"/>
        <w:rPr>
          <w:rFonts w:hint="eastAsia" w:ascii="仿宋_GB2312" w:hAnsi="宋体" w:cs="宋体"/>
        </w:rPr>
      </w:pPr>
    </w:p>
    <w:p w14:paraId="6D030217">
      <w:pPr>
        <w:spacing w:line="560" w:lineRule="exact"/>
        <w:rPr>
          <w:rFonts w:hint="eastAsia" w:ascii="仿宋_GB2312" w:hAnsi="宋体" w:cs="宋体"/>
        </w:rPr>
      </w:pPr>
    </w:p>
    <w:p w14:paraId="2383BF62">
      <w:pPr>
        <w:spacing w:line="560" w:lineRule="exact"/>
        <w:rPr>
          <w:rFonts w:hint="eastAsia" w:ascii="仿宋_GB2312" w:hAnsi="宋体" w:cs="宋体"/>
        </w:rPr>
      </w:pPr>
    </w:p>
    <w:p w14:paraId="70E76C20">
      <w:pPr>
        <w:spacing w:line="560" w:lineRule="exact"/>
        <w:rPr>
          <w:rFonts w:hint="eastAsia" w:ascii="仿宋_GB2312" w:hAnsi="宋体" w:cs="宋体"/>
        </w:rPr>
      </w:pPr>
    </w:p>
    <w:p w14:paraId="46AC103A">
      <w:pPr>
        <w:spacing w:line="560" w:lineRule="exact"/>
        <w:rPr>
          <w:rFonts w:hint="eastAsia" w:ascii="仿宋_GB2312" w:hAnsi="宋体" w:cs="宋体"/>
        </w:rPr>
      </w:pPr>
    </w:p>
    <w:p w14:paraId="2238E28C">
      <w:pPr>
        <w:spacing w:line="560" w:lineRule="exact"/>
        <w:rPr>
          <w:rFonts w:hint="eastAsia" w:ascii="仿宋_GB2312" w:hAnsi="宋体" w:cs="宋体"/>
        </w:rPr>
      </w:pPr>
    </w:p>
    <w:p w14:paraId="184650D4">
      <w:pPr>
        <w:spacing w:line="560" w:lineRule="exact"/>
        <w:rPr>
          <w:rFonts w:hint="eastAsia" w:ascii="仿宋_GB2312" w:hAnsi="宋体" w:cs="宋体"/>
        </w:rPr>
      </w:pPr>
    </w:p>
    <w:p w14:paraId="720D4C89">
      <w:pPr>
        <w:spacing w:line="560" w:lineRule="exact"/>
        <w:rPr>
          <w:rFonts w:hint="eastAsia" w:ascii="仿宋_GB2312" w:hAnsi="宋体" w:cs="宋体"/>
        </w:rPr>
      </w:pPr>
    </w:p>
    <w:p w14:paraId="63F3ABC5">
      <w:pPr>
        <w:spacing w:line="560" w:lineRule="exact"/>
        <w:rPr>
          <w:rFonts w:hint="eastAsia" w:ascii="仿宋_GB2312" w:hAnsi="宋体" w:cs="宋体"/>
        </w:rPr>
      </w:pPr>
    </w:p>
    <w:p w14:paraId="047C265A">
      <w:pPr>
        <w:spacing w:line="560" w:lineRule="exact"/>
        <w:rPr>
          <w:rFonts w:hint="eastAsia" w:ascii="仿宋_GB2312" w:hAnsi="宋体" w:cs="宋体"/>
        </w:rPr>
      </w:pPr>
    </w:p>
    <w:p w14:paraId="067812BB">
      <w:pPr>
        <w:spacing w:line="560" w:lineRule="exact"/>
        <w:rPr>
          <w:rFonts w:hint="eastAsia" w:ascii="仿宋_GB2312" w:hAnsi="宋体" w:cs="宋体"/>
        </w:rPr>
      </w:pPr>
    </w:p>
    <w:p w14:paraId="2C59A751">
      <w:pPr>
        <w:spacing w:line="560" w:lineRule="exact"/>
        <w:rPr>
          <w:rFonts w:ascii="仿宋_GB2312" w:hAnsi="宋体" w:cs="宋体"/>
        </w:rPr>
      </w:pPr>
      <w:r>
        <w:rPr>
          <w:rFonts w:hint="eastAsia" w:ascii="仿宋_GB2312" w:hAnsi="宋体" w:cs="宋体"/>
        </w:rPr>
        <w:t xml:space="preserve">报价公司（盖公章）：      </w:t>
      </w:r>
      <w:r>
        <w:rPr>
          <w:rFonts w:ascii="仿宋_GB2312" w:hAnsi="宋体" w:cs="宋体"/>
        </w:rPr>
        <w:t xml:space="preserve">     </w:t>
      </w:r>
      <w:r>
        <w:rPr>
          <w:rFonts w:hint="eastAsia" w:ascii="仿宋_GB2312" w:hAnsi="宋体" w:cs="宋体"/>
          <w:lang w:val="en-US" w:eastAsia="zh-CN"/>
        </w:rPr>
        <w:t xml:space="preserve">                                                     </w:t>
      </w:r>
      <w:r>
        <w:rPr>
          <w:rFonts w:hint="eastAsia" w:ascii="仿宋_GB2312" w:hAnsi="宋体" w:cs="宋体"/>
        </w:rPr>
        <w:t xml:space="preserve">法定代表人签字： </w:t>
      </w:r>
      <w:r>
        <w:rPr>
          <w:rFonts w:ascii="仿宋_GB2312" w:hAnsi="宋体" w:cs="宋体"/>
        </w:rPr>
        <w:t xml:space="preserve">  </w:t>
      </w:r>
      <w:r>
        <w:rPr>
          <w:rFonts w:hint="eastAsia" w:ascii="仿宋_GB2312" w:hAnsi="宋体" w:cs="宋体"/>
        </w:rPr>
        <w:t xml:space="preserve">    </w:t>
      </w:r>
    </w:p>
    <w:p w14:paraId="7695C7F3">
      <w:pPr>
        <w:rPr>
          <w:rFonts w:hint="default"/>
          <w:lang w:val="en-US" w:eastAsia="zh-CN"/>
        </w:rPr>
      </w:pPr>
      <w:r>
        <w:rPr>
          <w:rFonts w:hint="eastAsia" w:ascii="仿宋_GB2312" w:hAnsi="宋体" w:cs="宋体"/>
        </w:rPr>
        <w:t xml:space="preserve">报价时间： </w:t>
      </w:r>
      <w:r>
        <w:rPr>
          <w:rFonts w:ascii="仿宋_GB2312" w:hAnsi="宋体" w:cs="宋体"/>
        </w:rPr>
        <w:t xml:space="preserve">    </w:t>
      </w:r>
      <w:r>
        <w:rPr>
          <w:rFonts w:hint="eastAsia" w:ascii="仿宋_GB2312" w:hAnsi="宋体" w:cs="宋体"/>
        </w:rPr>
        <w:t xml:space="preserve">年 </w:t>
      </w:r>
      <w:r>
        <w:rPr>
          <w:rFonts w:ascii="仿宋_GB2312" w:hAnsi="宋体" w:cs="宋体"/>
        </w:rPr>
        <w:t xml:space="preserve"> </w:t>
      </w:r>
      <w:r>
        <w:rPr>
          <w:rFonts w:hint="eastAsia" w:ascii="仿宋_GB2312" w:hAnsi="宋体" w:cs="宋体"/>
        </w:rPr>
        <w:t xml:space="preserve">月 </w:t>
      </w:r>
      <w:r>
        <w:rPr>
          <w:rFonts w:ascii="仿宋_GB2312" w:hAnsi="宋体" w:cs="宋体"/>
        </w:rPr>
        <w:t xml:space="preserve"> </w:t>
      </w:r>
      <w:r>
        <w:rPr>
          <w:rFonts w:hint="eastAsia" w:ascii="仿宋_GB2312" w:hAnsi="宋体" w:cs="宋体"/>
        </w:rPr>
        <w:t xml:space="preserve">日 </w:t>
      </w:r>
      <w:r>
        <w:rPr>
          <w:rFonts w:ascii="仿宋_GB2312" w:hAnsi="宋体" w:cs="宋体"/>
        </w:rPr>
        <w:t xml:space="preserve">     </w:t>
      </w:r>
      <w:r>
        <w:rPr>
          <w:rFonts w:hint="eastAsia" w:ascii="仿宋_GB2312" w:hAnsi="宋体" w:cs="宋体"/>
          <w:lang w:val="en-US" w:eastAsia="zh-CN"/>
        </w:rPr>
        <w:t xml:space="preserve">                                                       </w:t>
      </w:r>
      <w:r>
        <w:rPr>
          <w:rFonts w:hint="eastAsia" w:ascii="仿宋_GB2312" w:hAnsi="宋体" w:cs="宋体"/>
        </w:rPr>
        <w:t>联系人及电话：</w:t>
      </w:r>
    </w:p>
    <w:sectPr>
      <w:pgSz w:w="16838" w:h="11906" w:orient="landscape"/>
      <w:pgMar w:top="1689" w:right="1440" w:bottom="151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9456DC"/>
    <w:rsid w:val="1FFD59D5"/>
    <w:rsid w:val="52BA657A"/>
    <w:rsid w:val="6DB2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方正小标宋简体" w:eastAsia="方正小标宋简体" w:cs="方正小标宋简体" w:hAnsiTheme="minorHAns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1272</Words>
  <Characters>1516</Characters>
  <Paragraphs>66</Paragraphs>
  <TotalTime>4</TotalTime>
  <ScaleCrop>false</ScaleCrop>
  <LinksUpToDate>false</LinksUpToDate>
  <CharactersWithSpaces>1520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2026-04-15T09:29:00Z</dcterms:created>
  <dc:creator>中冠</dc:creator>
  <cp:lastModifiedBy>东喜</cp:lastModifiedBy>
  <dcterms:modified xsi:type="dcterms:W3CDTF">2026-05-11T09:10:01Z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eyJoZGlkIjoiZmEzNDA4YzVhZWUxMzkxYWY4ZTg2Y2FmY2ZiYjUwZjEiLCJ1c2VySWQiOiI5NTUzMzc3NzkifQ==</vt:lpwstr>
  </property>
  <property fmtid="{D5CDD505-2E9C-101B-9397-08002B2CF9AE}" pid="4" name="ICV">
    <vt:lpwstr>15ebe9587eee49fa8a35f74787e933c2_23</vt:lpwstr>
  </property>
</Properties>
</file>