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F566D">
      <w:pPr>
        <w:spacing w:line="400" w:lineRule="exact"/>
        <w:rPr>
          <w:rFonts w:ascii="方正小标宋简体" w:hAnsi="方正小标宋简体" w:eastAsia="方正小标宋简体" w:cs="方正小标宋简体"/>
          <w:bCs/>
          <w:color w:val="000000" w:themeColor="text1"/>
          <w:sz w:val="36"/>
          <w:szCs w:val="36"/>
        </w:rPr>
      </w:pPr>
      <w:r>
        <w:rPr>
          <w:rFonts w:hint="eastAsia" w:ascii="仿宋" w:hAnsi="仿宋" w:eastAsia="仿宋" w:cs="仿宋"/>
          <w:bCs/>
          <w:color w:val="000000" w:themeColor="text1"/>
          <w:sz w:val="28"/>
          <w:szCs w:val="28"/>
        </w:rPr>
        <w:t>附件1</w:t>
      </w:r>
    </w:p>
    <w:p w14:paraId="18FD9EA7">
      <w:pPr>
        <w:spacing w:line="400" w:lineRule="exact"/>
        <w:jc w:val="center"/>
        <w:rPr>
          <w:rFonts w:hint="eastAsia" w:ascii="方正小标宋简体" w:hAnsi="方正小标宋简体" w:eastAsia="方正小标宋简体" w:cs="方正小标宋简体"/>
          <w:b/>
          <w:bCs w:val="0"/>
          <w:color w:val="000000" w:themeColor="text1"/>
          <w:sz w:val="36"/>
          <w:szCs w:val="36"/>
        </w:rPr>
      </w:pPr>
      <w:r>
        <w:rPr>
          <w:rFonts w:hint="eastAsia" w:ascii="方正小标宋简体" w:hAnsi="方正小标宋简体" w:eastAsia="方正小标宋简体" w:cs="方正小标宋简体"/>
          <w:b/>
          <w:bCs w:val="0"/>
          <w:color w:val="000000" w:themeColor="text1"/>
          <w:sz w:val="36"/>
          <w:szCs w:val="36"/>
          <w:lang w:eastAsia="zh-CN"/>
        </w:rPr>
        <w:t>广西财经学院2025年</w:t>
      </w:r>
      <w:r>
        <w:rPr>
          <w:rFonts w:hint="eastAsia" w:ascii="方正小标宋简体" w:hAnsi="方正小标宋简体" w:eastAsia="方正小标宋简体" w:cs="方正小标宋简体"/>
          <w:b/>
          <w:bCs w:val="0"/>
          <w:color w:val="000000" w:themeColor="text1"/>
          <w:sz w:val="36"/>
          <w:szCs w:val="36"/>
        </w:rPr>
        <w:t>图书馆中文图书采购报价表</w:t>
      </w:r>
    </w:p>
    <w:p w14:paraId="720CB510">
      <w:pPr>
        <w:keepNext w:val="0"/>
        <w:keepLines w:val="0"/>
        <w:pageBreakBefore w:val="0"/>
        <w:widowControl w:val="0"/>
        <w:kinsoku/>
        <w:wordWrap/>
        <w:overflowPunct/>
        <w:topLinePunct w:val="0"/>
        <w:bidi w:val="0"/>
        <w:snapToGrid/>
        <w:spacing w:line="400" w:lineRule="exact"/>
        <w:jc w:val="left"/>
        <w:textAlignment w:val="auto"/>
        <w:rPr>
          <w:rFonts w:hint="eastAsia" w:ascii="宋体" w:hAnsi="宋体" w:cs="宋体"/>
          <w:b/>
          <w:bCs/>
          <w:color w:val="000000" w:themeColor="text1"/>
          <w:kern w:val="0"/>
          <w:sz w:val="24"/>
          <w:szCs w:val="24"/>
        </w:rPr>
      </w:pPr>
    </w:p>
    <w:p w14:paraId="58F3375E">
      <w:pPr>
        <w:keepNext w:val="0"/>
        <w:keepLines w:val="0"/>
        <w:pageBreakBefore w:val="0"/>
        <w:widowControl w:val="0"/>
        <w:kinsoku/>
        <w:wordWrap/>
        <w:overflowPunct/>
        <w:topLinePunct w:val="0"/>
        <w:bidi w:val="0"/>
        <w:snapToGrid/>
        <w:spacing w:line="360" w:lineRule="exact"/>
        <w:jc w:val="left"/>
        <w:textAlignment w:val="auto"/>
        <w:rPr>
          <w:rFonts w:ascii="宋体" w:hAnsi="宋体" w:cs="宋体"/>
          <w:b/>
          <w:bCs/>
          <w:color w:val="000000" w:themeColor="text1"/>
          <w:kern w:val="0"/>
          <w:sz w:val="24"/>
          <w:szCs w:val="24"/>
        </w:rPr>
      </w:pPr>
      <w:r>
        <w:rPr>
          <w:rFonts w:hint="eastAsia" w:ascii="宋体" w:hAnsi="宋体" w:cs="宋体"/>
          <w:b/>
          <w:bCs/>
          <w:color w:val="000000" w:themeColor="text1"/>
          <w:kern w:val="0"/>
          <w:sz w:val="24"/>
          <w:szCs w:val="24"/>
        </w:rPr>
        <w:t>项目名称：</w:t>
      </w:r>
      <w:r>
        <w:rPr>
          <w:rFonts w:hint="eastAsia" w:ascii="宋体" w:hAnsi="宋体" w:cs="宋体"/>
          <w:b/>
          <w:bCs/>
          <w:color w:val="000000" w:themeColor="text1"/>
          <w:kern w:val="0"/>
          <w:sz w:val="24"/>
          <w:szCs w:val="24"/>
          <w:lang w:eastAsia="zh-CN"/>
        </w:rPr>
        <w:t>广西财经学院2025年</w:t>
      </w:r>
      <w:r>
        <w:rPr>
          <w:rFonts w:hint="eastAsia" w:ascii="宋体" w:hAnsi="宋体" w:cs="宋体"/>
          <w:b/>
          <w:bCs/>
          <w:color w:val="000000" w:themeColor="text1"/>
          <w:kern w:val="0"/>
          <w:sz w:val="24"/>
          <w:szCs w:val="24"/>
        </w:rPr>
        <w:t>图书馆中文图书采购项目</w:t>
      </w:r>
      <w:bookmarkStart w:id="4" w:name="_GoBack"/>
      <w:bookmarkEnd w:id="4"/>
    </w:p>
    <w:p w14:paraId="3BDF2D4A">
      <w:pPr>
        <w:keepNext w:val="0"/>
        <w:keepLines w:val="0"/>
        <w:pageBreakBefore w:val="0"/>
        <w:widowControl w:val="0"/>
        <w:kinsoku/>
        <w:wordWrap/>
        <w:overflowPunct/>
        <w:topLinePunct w:val="0"/>
        <w:bidi w:val="0"/>
        <w:snapToGrid/>
        <w:spacing w:line="360" w:lineRule="exact"/>
        <w:jc w:val="left"/>
        <w:textAlignment w:val="auto"/>
        <w:rPr>
          <w:rFonts w:ascii="宋体" w:hAnsi="宋体"/>
          <w:b/>
          <w:color w:val="000000" w:themeColor="text1"/>
          <w:sz w:val="24"/>
        </w:rPr>
      </w:pPr>
      <w:r>
        <w:rPr>
          <w:rFonts w:hint="eastAsia" w:ascii="宋体" w:hAnsi="宋体" w:cs="宋体"/>
          <w:b/>
          <w:bCs/>
          <w:color w:val="000000" w:themeColor="text1"/>
          <w:kern w:val="0"/>
          <w:sz w:val="24"/>
          <w:szCs w:val="24"/>
        </w:rPr>
        <w:t>该项目按实洋采购，上限控制价：295000.00元</w:t>
      </w:r>
    </w:p>
    <w:p w14:paraId="069886B1">
      <w:pPr>
        <w:keepNext w:val="0"/>
        <w:keepLines w:val="0"/>
        <w:pageBreakBefore w:val="0"/>
        <w:widowControl w:val="0"/>
        <w:kinsoku/>
        <w:wordWrap/>
        <w:overflowPunct/>
        <w:topLinePunct w:val="0"/>
        <w:bidi w:val="0"/>
        <w:snapToGrid/>
        <w:spacing w:line="360" w:lineRule="exact"/>
        <w:textAlignment w:val="auto"/>
        <w:rPr>
          <w:rFonts w:ascii="宋体" w:hAnsi="宋体"/>
          <w:b/>
          <w:color w:val="000000" w:themeColor="text1"/>
          <w:sz w:val="24"/>
        </w:rPr>
      </w:pPr>
      <w:r>
        <w:rPr>
          <w:rFonts w:hint="eastAsia" w:ascii="宋体" w:hAnsi="宋体"/>
          <w:b/>
          <w:color w:val="000000" w:themeColor="text1"/>
          <w:sz w:val="24"/>
        </w:rPr>
        <w:t>说明：</w:t>
      </w:r>
    </w:p>
    <w:p w14:paraId="6A8DCFB7">
      <w:pPr>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jc w:val="left"/>
        <w:textAlignment w:val="auto"/>
        <w:rPr>
          <w:rFonts w:ascii="宋体" w:hAnsi="宋体"/>
          <w:b/>
          <w:color w:val="000000" w:themeColor="text1"/>
          <w:sz w:val="24"/>
        </w:rPr>
      </w:pPr>
      <w:r>
        <w:rPr>
          <w:rFonts w:hint="eastAsia" w:ascii="宋体" w:hAnsi="宋体"/>
          <w:b/>
          <w:color w:val="000000" w:themeColor="text1"/>
          <w:sz w:val="24"/>
        </w:rPr>
        <w:t>1.</w:t>
      </w:r>
      <w:r>
        <w:rPr>
          <w:rFonts w:hint="eastAsia" w:ascii="宋体" w:hAnsi="宋体"/>
          <w:b/>
          <w:color w:val="000000" w:themeColor="text1"/>
          <w:sz w:val="24"/>
          <w:lang w:eastAsia="zh-CN"/>
        </w:rPr>
        <w:t>供应商</w:t>
      </w:r>
      <w:r>
        <w:rPr>
          <w:rFonts w:hint="eastAsia" w:ascii="宋体" w:hAnsi="宋体"/>
          <w:b/>
          <w:color w:val="000000" w:themeColor="text1"/>
          <w:sz w:val="24"/>
        </w:rPr>
        <w:t>须根据“技术要求、物流与图书配送要求、加工要求、商务要求及其他要求提供一一对应的技术响应，不满足响应的则作无效处理。</w:t>
      </w:r>
    </w:p>
    <w:p w14:paraId="48AA428D">
      <w:pPr>
        <w:keepNext w:val="0"/>
        <w:keepLines w:val="0"/>
        <w:pageBreakBefore w:val="0"/>
        <w:widowControl w:val="0"/>
        <w:kinsoku/>
        <w:wordWrap/>
        <w:overflowPunct/>
        <w:topLinePunct w:val="0"/>
        <w:bidi w:val="0"/>
        <w:snapToGrid/>
        <w:spacing w:line="360" w:lineRule="exact"/>
        <w:ind w:firstLine="482" w:firstLineChars="200"/>
        <w:textAlignment w:val="auto"/>
        <w:rPr>
          <w:rFonts w:hint="eastAsia" w:ascii="宋体" w:hAnsi="宋体"/>
          <w:b/>
          <w:color w:val="000000" w:themeColor="text1"/>
          <w:sz w:val="24"/>
        </w:rPr>
      </w:pPr>
      <w:r>
        <w:rPr>
          <w:rFonts w:hint="eastAsia" w:ascii="宋体" w:hAnsi="宋体"/>
          <w:b/>
          <w:color w:val="000000" w:themeColor="text1"/>
          <w:sz w:val="24"/>
        </w:rPr>
        <w:t>2.</w:t>
      </w:r>
      <w:r>
        <w:rPr>
          <w:rFonts w:hint="eastAsia" w:ascii="宋体" w:hAnsi="宋体"/>
          <w:b/>
          <w:color w:val="000000" w:themeColor="text1"/>
          <w:sz w:val="24"/>
          <w:lang w:eastAsia="zh-CN"/>
        </w:rPr>
        <w:t>表成交</w:t>
      </w:r>
      <w:r>
        <w:rPr>
          <w:rFonts w:hint="eastAsia" w:ascii="宋体" w:hAnsi="宋体"/>
          <w:b/>
          <w:color w:val="000000" w:themeColor="text1"/>
          <w:sz w:val="24"/>
        </w:rPr>
        <w:t>注“</w:t>
      </w:r>
      <w:r>
        <w:rPr>
          <w:rFonts w:hint="eastAsia"/>
          <w:color w:val="000000" w:themeColor="text1"/>
        </w:rPr>
        <w:t>★</w:t>
      </w:r>
      <w:r>
        <w:rPr>
          <w:rFonts w:hint="eastAsia" w:ascii="宋体" w:hAnsi="宋体"/>
          <w:b/>
          <w:color w:val="000000" w:themeColor="text1"/>
          <w:sz w:val="24"/>
        </w:rPr>
        <w:t>”的内容为实质性技术参数和要求，</w:t>
      </w:r>
      <w:r>
        <w:rPr>
          <w:rFonts w:hint="eastAsia" w:ascii="宋体" w:hAnsi="宋体"/>
          <w:b/>
          <w:color w:val="000000" w:themeColor="text1"/>
          <w:sz w:val="24"/>
          <w:lang w:eastAsia="zh-CN"/>
        </w:rPr>
        <w:t>响应</w:t>
      </w:r>
      <w:r>
        <w:rPr>
          <w:rFonts w:hint="eastAsia" w:ascii="宋体" w:hAnsi="宋体"/>
          <w:b/>
          <w:color w:val="000000" w:themeColor="text1"/>
          <w:sz w:val="24"/>
        </w:rPr>
        <w:t>时必须满足或优于，否则作无效处理。</w:t>
      </w:r>
    </w:p>
    <w:p w14:paraId="6D2C41B5">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b/>
          <w:color w:val="000000" w:themeColor="text1"/>
          <w:sz w:val="24"/>
        </w:rPr>
      </w:pPr>
    </w:p>
    <w:tbl>
      <w:tblPr>
        <w:tblStyle w:val="8"/>
        <w:tblW w:w="98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4"/>
        <w:gridCol w:w="185"/>
        <w:gridCol w:w="648"/>
        <w:gridCol w:w="360"/>
        <w:gridCol w:w="396"/>
        <w:gridCol w:w="4975"/>
        <w:gridCol w:w="1272"/>
        <w:gridCol w:w="480"/>
        <w:gridCol w:w="564"/>
        <w:gridCol w:w="454"/>
      </w:tblGrid>
      <w:tr w14:paraId="79B8B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48" w:type="dxa"/>
            <w:gridSpan w:val="10"/>
            <w:tcBorders>
              <w:top w:val="single" w:color="auto" w:sz="4" w:space="0"/>
              <w:left w:val="single" w:color="auto" w:sz="4" w:space="0"/>
              <w:bottom w:val="single" w:color="auto" w:sz="4" w:space="0"/>
              <w:right w:val="single" w:color="auto" w:sz="4" w:space="0"/>
            </w:tcBorders>
            <w:vAlign w:val="center"/>
          </w:tcPr>
          <w:p w14:paraId="1B0EC25C">
            <w:pPr>
              <w:spacing w:line="360" w:lineRule="auto"/>
              <w:jc w:val="left"/>
              <w:rPr>
                <w:rFonts w:ascii="宋体" w:hAnsi="宋体"/>
                <w:b/>
                <w:color w:val="000000" w:themeColor="text1"/>
                <w:szCs w:val="21"/>
              </w:rPr>
            </w:pPr>
            <w:r>
              <w:rPr>
                <w:rFonts w:hint="eastAsia" w:ascii="宋体" w:hAnsi="宋体"/>
                <w:b/>
                <w:bCs/>
                <w:color w:val="000000" w:themeColor="text1"/>
                <w:szCs w:val="21"/>
              </w:rPr>
              <w:t>一、项目</w:t>
            </w:r>
            <w:r>
              <w:rPr>
                <w:rFonts w:hint="eastAsia" w:ascii="宋体" w:hAnsi="宋体"/>
                <w:b/>
                <w:color w:val="000000" w:themeColor="text1"/>
                <w:szCs w:val="21"/>
              </w:rPr>
              <w:t>技术参数需求</w:t>
            </w:r>
            <w:r>
              <w:rPr>
                <w:rFonts w:hint="eastAsia" w:ascii="宋体" w:hAnsi="宋体"/>
                <w:b/>
                <w:bCs/>
                <w:color w:val="000000" w:themeColor="text1"/>
                <w:szCs w:val="21"/>
              </w:rPr>
              <w:t>：</w:t>
            </w:r>
          </w:p>
        </w:tc>
      </w:tr>
      <w:tr w14:paraId="18BAE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14:paraId="1E483401">
            <w:pPr>
              <w:autoSpaceDE w:val="0"/>
              <w:autoSpaceDN w:val="0"/>
              <w:adjustRightInd w:val="0"/>
              <w:spacing w:line="240" w:lineRule="exact"/>
              <w:jc w:val="left"/>
              <w:rPr>
                <w:rFonts w:ascii="宋体" w:hAnsi="宋体" w:cs="宋体"/>
                <w:b/>
                <w:bCs/>
                <w:color w:val="000000" w:themeColor="text1"/>
                <w:kern w:val="0"/>
                <w:szCs w:val="21"/>
              </w:rPr>
            </w:pPr>
            <w:r>
              <w:rPr>
                <w:rFonts w:hint="eastAsia" w:ascii="宋体" w:hAnsi="宋体" w:cs="宋体"/>
                <w:b/>
                <w:bCs/>
                <w:color w:val="000000" w:themeColor="text1"/>
                <w:kern w:val="0"/>
                <w:szCs w:val="21"/>
              </w:rPr>
              <w:t>序号</w:t>
            </w:r>
          </w:p>
        </w:tc>
        <w:tc>
          <w:tcPr>
            <w:tcW w:w="833" w:type="dxa"/>
            <w:gridSpan w:val="2"/>
            <w:tcBorders>
              <w:top w:val="single" w:color="auto" w:sz="4" w:space="0"/>
              <w:left w:val="single" w:color="auto" w:sz="4" w:space="0"/>
              <w:bottom w:val="single" w:color="auto" w:sz="4" w:space="0"/>
              <w:right w:val="single" w:color="auto" w:sz="4" w:space="0"/>
            </w:tcBorders>
            <w:vAlign w:val="center"/>
          </w:tcPr>
          <w:p w14:paraId="55A8BE0B">
            <w:pPr>
              <w:autoSpaceDE w:val="0"/>
              <w:autoSpaceDN w:val="0"/>
              <w:adjustRightInd w:val="0"/>
              <w:spacing w:line="240" w:lineRule="exact"/>
              <w:jc w:val="left"/>
              <w:rPr>
                <w:rFonts w:ascii="宋体" w:hAnsi="宋体" w:cs="宋体"/>
                <w:b/>
                <w:bCs/>
                <w:color w:val="000000" w:themeColor="text1"/>
                <w:kern w:val="0"/>
                <w:szCs w:val="21"/>
              </w:rPr>
            </w:pPr>
            <w:r>
              <w:rPr>
                <w:rFonts w:hint="eastAsia" w:ascii="宋体" w:hAnsi="宋体" w:cs="宋体"/>
                <w:b/>
                <w:bCs/>
                <w:color w:val="000000" w:themeColor="text1"/>
                <w:kern w:val="0"/>
                <w:szCs w:val="21"/>
              </w:rPr>
              <w:t>采购项目名称</w:t>
            </w:r>
          </w:p>
        </w:tc>
        <w:tc>
          <w:tcPr>
            <w:tcW w:w="360" w:type="dxa"/>
            <w:tcBorders>
              <w:top w:val="single" w:color="auto" w:sz="4" w:space="0"/>
              <w:left w:val="single" w:color="auto" w:sz="4" w:space="0"/>
              <w:bottom w:val="single" w:color="auto" w:sz="4" w:space="0"/>
              <w:right w:val="single" w:color="auto" w:sz="4" w:space="0"/>
            </w:tcBorders>
            <w:vAlign w:val="center"/>
          </w:tcPr>
          <w:p w14:paraId="7DDDA80B">
            <w:pPr>
              <w:autoSpaceDE w:val="0"/>
              <w:autoSpaceDN w:val="0"/>
              <w:adjustRightInd w:val="0"/>
              <w:spacing w:line="240" w:lineRule="exact"/>
              <w:jc w:val="left"/>
              <w:rPr>
                <w:rFonts w:ascii="宋体" w:hAnsi="宋体" w:cs="宋体"/>
                <w:b/>
                <w:bCs/>
                <w:color w:val="000000" w:themeColor="text1"/>
                <w:kern w:val="0"/>
                <w:szCs w:val="21"/>
              </w:rPr>
            </w:pPr>
            <w:r>
              <w:rPr>
                <w:rFonts w:hint="eastAsia" w:ascii="宋体" w:hAnsi="宋体" w:cs="宋体"/>
                <w:b/>
                <w:bCs/>
                <w:color w:val="000000" w:themeColor="text1"/>
                <w:kern w:val="0"/>
                <w:szCs w:val="21"/>
              </w:rPr>
              <w:t>数量</w:t>
            </w:r>
          </w:p>
        </w:tc>
        <w:tc>
          <w:tcPr>
            <w:tcW w:w="396" w:type="dxa"/>
            <w:tcBorders>
              <w:top w:val="single" w:color="auto" w:sz="4" w:space="0"/>
              <w:left w:val="single" w:color="auto" w:sz="4" w:space="0"/>
              <w:bottom w:val="single" w:color="auto" w:sz="4" w:space="0"/>
              <w:right w:val="single" w:color="auto" w:sz="4" w:space="0"/>
            </w:tcBorders>
            <w:vAlign w:val="center"/>
          </w:tcPr>
          <w:p w14:paraId="24242C16">
            <w:pPr>
              <w:autoSpaceDE w:val="0"/>
              <w:autoSpaceDN w:val="0"/>
              <w:adjustRightInd w:val="0"/>
              <w:spacing w:line="240" w:lineRule="exact"/>
              <w:jc w:val="left"/>
              <w:rPr>
                <w:rFonts w:ascii="宋体" w:hAnsi="宋体" w:cs="宋体"/>
                <w:b/>
                <w:bCs/>
                <w:color w:val="000000" w:themeColor="text1"/>
                <w:kern w:val="0"/>
                <w:szCs w:val="21"/>
              </w:rPr>
            </w:pPr>
            <w:r>
              <w:rPr>
                <w:rFonts w:hint="eastAsia" w:ascii="宋体" w:hAnsi="宋体" w:cs="宋体"/>
                <w:b/>
                <w:bCs/>
                <w:color w:val="000000" w:themeColor="text1"/>
                <w:kern w:val="0"/>
                <w:szCs w:val="21"/>
              </w:rPr>
              <w:t>单位</w:t>
            </w:r>
          </w:p>
        </w:tc>
        <w:tc>
          <w:tcPr>
            <w:tcW w:w="4975" w:type="dxa"/>
            <w:tcBorders>
              <w:top w:val="single" w:color="auto" w:sz="4" w:space="0"/>
              <w:left w:val="single" w:color="auto" w:sz="4" w:space="0"/>
              <w:bottom w:val="single" w:color="auto" w:sz="4" w:space="0"/>
              <w:right w:val="single" w:color="auto" w:sz="4" w:space="0"/>
            </w:tcBorders>
            <w:vAlign w:val="center"/>
          </w:tcPr>
          <w:p w14:paraId="239F0FFE">
            <w:pPr>
              <w:autoSpaceDE w:val="0"/>
              <w:autoSpaceDN w:val="0"/>
              <w:adjustRightInd w:val="0"/>
              <w:spacing w:line="240" w:lineRule="exact"/>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项目要求及技术参数需求</w:t>
            </w:r>
          </w:p>
        </w:tc>
        <w:tc>
          <w:tcPr>
            <w:tcW w:w="1272" w:type="dxa"/>
            <w:tcBorders>
              <w:top w:val="single" w:color="auto" w:sz="4" w:space="0"/>
              <w:left w:val="single" w:color="auto" w:sz="4" w:space="0"/>
              <w:bottom w:val="single" w:color="auto" w:sz="4" w:space="0"/>
              <w:right w:val="single" w:color="auto" w:sz="4" w:space="0"/>
            </w:tcBorders>
            <w:vAlign w:val="center"/>
          </w:tcPr>
          <w:p w14:paraId="5AECF757">
            <w:pPr>
              <w:autoSpaceDE w:val="0"/>
              <w:autoSpaceDN w:val="0"/>
              <w:adjustRightInd w:val="0"/>
              <w:spacing w:line="240" w:lineRule="exact"/>
              <w:jc w:val="left"/>
              <w:rPr>
                <w:rFonts w:ascii="宋体" w:hAnsi="宋体" w:cs="宋体"/>
                <w:b/>
                <w:bCs/>
                <w:color w:val="000000" w:themeColor="text1"/>
                <w:kern w:val="0"/>
                <w:szCs w:val="21"/>
              </w:rPr>
            </w:pPr>
          </w:p>
          <w:p w14:paraId="54AE3DF4">
            <w:pPr>
              <w:autoSpaceDE w:val="0"/>
              <w:autoSpaceDN w:val="0"/>
              <w:adjustRightInd w:val="0"/>
              <w:spacing w:line="240" w:lineRule="exact"/>
              <w:jc w:val="left"/>
              <w:rPr>
                <w:rFonts w:ascii="宋体" w:hAnsi="宋体" w:cs="宋体"/>
                <w:b/>
                <w:bCs/>
                <w:color w:val="000000" w:themeColor="text1"/>
                <w:kern w:val="0"/>
                <w:szCs w:val="21"/>
              </w:rPr>
            </w:pPr>
            <w:r>
              <w:rPr>
                <w:rFonts w:hint="eastAsia" w:ascii="宋体" w:hAnsi="宋体" w:cs="宋体"/>
                <w:b/>
                <w:bCs/>
                <w:color w:val="000000" w:themeColor="text1"/>
                <w:kern w:val="0"/>
                <w:szCs w:val="21"/>
              </w:rPr>
              <w:t>总实洋（元）</w:t>
            </w:r>
          </w:p>
          <w:p w14:paraId="436F513F">
            <w:pPr>
              <w:autoSpaceDE w:val="0"/>
              <w:autoSpaceDN w:val="0"/>
              <w:adjustRightInd w:val="0"/>
              <w:spacing w:line="240" w:lineRule="exact"/>
              <w:jc w:val="left"/>
              <w:rPr>
                <w:rFonts w:ascii="宋体" w:hAnsi="宋体" w:cs="宋体"/>
                <w:b/>
                <w:bCs/>
                <w:color w:val="000000" w:themeColor="text1"/>
                <w:kern w:val="0"/>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0C48AF45">
            <w:pPr>
              <w:autoSpaceDE w:val="0"/>
              <w:autoSpaceDN w:val="0"/>
              <w:adjustRightInd w:val="0"/>
              <w:spacing w:line="240" w:lineRule="exact"/>
              <w:jc w:val="left"/>
              <w:rPr>
                <w:rFonts w:ascii="宋体" w:hAnsi="宋体" w:cs="宋体"/>
                <w:b/>
                <w:bCs/>
                <w:color w:val="000000" w:themeColor="text1"/>
                <w:kern w:val="0"/>
                <w:szCs w:val="21"/>
              </w:rPr>
            </w:pPr>
            <w:r>
              <w:rPr>
                <w:rFonts w:hint="eastAsia" w:ascii="宋体" w:hAnsi="宋体" w:cs="宋体"/>
                <w:b/>
                <w:bCs/>
                <w:color w:val="000000" w:themeColor="text1"/>
                <w:kern w:val="0"/>
                <w:szCs w:val="21"/>
              </w:rPr>
              <w:t>折扣率</w:t>
            </w:r>
          </w:p>
        </w:tc>
        <w:tc>
          <w:tcPr>
            <w:tcW w:w="564" w:type="dxa"/>
            <w:tcBorders>
              <w:top w:val="single" w:color="auto" w:sz="4" w:space="0"/>
              <w:left w:val="single" w:color="auto" w:sz="4" w:space="0"/>
              <w:bottom w:val="single" w:color="auto" w:sz="4" w:space="0"/>
              <w:right w:val="single" w:color="auto" w:sz="4" w:space="0"/>
            </w:tcBorders>
            <w:vAlign w:val="center"/>
          </w:tcPr>
          <w:p w14:paraId="508A7F27">
            <w:pPr>
              <w:autoSpaceDE w:val="0"/>
              <w:autoSpaceDN w:val="0"/>
              <w:adjustRightInd w:val="0"/>
              <w:spacing w:line="240" w:lineRule="exact"/>
              <w:jc w:val="left"/>
              <w:rPr>
                <w:rFonts w:ascii="宋体" w:hAnsi="宋体" w:cs="宋体"/>
                <w:b/>
                <w:bCs/>
                <w:color w:val="000000" w:themeColor="text1"/>
                <w:kern w:val="0"/>
                <w:szCs w:val="21"/>
              </w:rPr>
            </w:pPr>
            <w:r>
              <w:rPr>
                <w:rFonts w:hint="eastAsia" w:ascii="宋体" w:hAnsi="宋体" w:cs="宋体"/>
                <w:b/>
                <w:bCs/>
                <w:color w:val="000000" w:themeColor="text1"/>
                <w:kern w:val="0"/>
                <w:szCs w:val="21"/>
              </w:rPr>
              <w:t>是否</w:t>
            </w:r>
          </w:p>
          <w:p w14:paraId="6A2D00C4">
            <w:pPr>
              <w:autoSpaceDE w:val="0"/>
              <w:autoSpaceDN w:val="0"/>
              <w:adjustRightInd w:val="0"/>
              <w:spacing w:line="240" w:lineRule="exact"/>
              <w:jc w:val="left"/>
              <w:rPr>
                <w:rFonts w:ascii="宋体" w:hAnsi="宋体" w:cs="宋体"/>
                <w:b/>
                <w:bCs/>
                <w:color w:val="000000" w:themeColor="text1"/>
                <w:kern w:val="0"/>
                <w:szCs w:val="21"/>
              </w:rPr>
            </w:pPr>
            <w:r>
              <w:rPr>
                <w:rFonts w:hint="eastAsia" w:ascii="宋体" w:hAnsi="宋体" w:cs="宋体"/>
                <w:b/>
                <w:bCs/>
                <w:color w:val="000000" w:themeColor="text1"/>
                <w:kern w:val="0"/>
                <w:szCs w:val="21"/>
              </w:rPr>
              <w:t>响应</w:t>
            </w:r>
          </w:p>
        </w:tc>
        <w:tc>
          <w:tcPr>
            <w:tcW w:w="454" w:type="dxa"/>
            <w:tcBorders>
              <w:top w:val="single" w:color="auto" w:sz="4" w:space="0"/>
              <w:left w:val="single" w:color="auto" w:sz="4" w:space="0"/>
              <w:bottom w:val="single" w:color="auto" w:sz="4" w:space="0"/>
              <w:right w:val="single" w:color="auto" w:sz="4" w:space="0"/>
            </w:tcBorders>
            <w:vAlign w:val="center"/>
          </w:tcPr>
          <w:p w14:paraId="3727CE8D">
            <w:pPr>
              <w:spacing w:line="360" w:lineRule="auto"/>
              <w:jc w:val="center"/>
              <w:rPr>
                <w:rFonts w:ascii="宋体" w:hAnsi="宋体"/>
                <w:b/>
                <w:color w:val="000000" w:themeColor="text1"/>
                <w:szCs w:val="21"/>
              </w:rPr>
            </w:pPr>
            <w:r>
              <w:rPr>
                <w:rFonts w:hint="eastAsia" w:ascii="宋体" w:hAnsi="宋体"/>
                <w:b/>
                <w:color w:val="000000" w:themeColor="text1"/>
                <w:szCs w:val="21"/>
              </w:rPr>
              <w:t>备注</w:t>
            </w:r>
          </w:p>
        </w:tc>
      </w:tr>
      <w:tr w14:paraId="4B267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14:paraId="3EC870B7">
            <w:pPr>
              <w:spacing w:line="360" w:lineRule="auto"/>
              <w:jc w:val="center"/>
              <w:rPr>
                <w:rFonts w:ascii="宋体" w:hAnsi="宋体"/>
                <w:color w:val="000000" w:themeColor="text1"/>
                <w:szCs w:val="21"/>
              </w:rPr>
            </w:pPr>
            <w:r>
              <w:rPr>
                <w:rFonts w:hint="eastAsia" w:ascii="宋体" w:hAnsi="宋体"/>
                <w:color w:val="000000" w:themeColor="text1"/>
                <w:szCs w:val="21"/>
              </w:rPr>
              <w:t>1</w:t>
            </w:r>
          </w:p>
        </w:tc>
        <w:tc>
          <w:tcPr>
            <w:tcW w:w="833" w:type="dxa"/>
            <w:gridSpan w:val="2"/>
            <w:tcBorders>
              <w:top w:val="single" w:color="auto" w:sz="4" w:space="0"/>
              <w:left w:val="single" w:color="auto" w:sz="4" w:space="0"/>
              <w:bottom w:val="single" w:color="auto" w:sz="4" w:space="0"/>
              <w:right w:val="single" w:color="auto" w:sz="4" w:space="0"/>
            </w:tcBorders>
            <w:vAlign w:val="center"/>
          </w:tcPr>
          <w:p w14:paraId="555855CE">
            <w:pPr>
              <w:autoSpaceDE w:val="0"/>
              <w:autoSpaceDN w:val="0"/>
              <w:adjustRightInd w:val="0"/>
              <w:spacing w:line="360" w:lineRule="auto"/>
              <w:jc w:val="center"/>
              <w:rPr>
                <w:rFonts w:ascii="宋体" w:hAnsi="宋体" w:cs="宋体"/>
                <w:color w:val="000000" w:themeColor="text1"/>
                <w:kern w:val="0"/>
                <w:szCs w:val="21"/>
              </w:rPr>
            </w:pPr>
            <w:r>
              <w:rPr>
                <w:rFonts w:hint="eastAsia" w:ascii="宋体" w:hAnsi="宋体" w:cs="宋体"/>
                <w:color w:val="000000" w:themeColor="text1"/>
                <w:szCs w:val="21"/>
                <w:lang w:eastAsia="zh-CN"/>
              </w:rPr>
              <w:t>广西财经学院2025年</w:t>
            </w:r>
            <w:r>
              <w:rPr>
                <w:rFonts w:hint="eastAsia" w:ascii="宋体" w:hAnsi="宋体" w:cs="宋体"/>
                <w:color w:val="000000" w:themeColor="text1"/>
                <w:szCs w:val="21"/>
              </w:rPr>
              <w:t>图书馆中文图书采购项目</w:t>
            </w:r>
          </w:p>
        </w:tc>
        <w:tc>
          <w:tcPr>
            <w:tcW w:w="360" w:type="dxa"/>
            <w:tcBorders>
              <w:top w:val="single" w:color="auto" w:sz="4" w:space="0"/>
              <w:left w:val="single" w:color="auto" w:sz="4" w:space="0"/>
              <w:bottom w:val="single" w:color="auto" w:sz="4" w:space="0"/>
              <w:right w:val="single" w:color="auto" w:sz="4" w:space="0"/>
            </w:tcBorders>
            <w:vAlign w:val="center"/>
          </w:tcPr>
          <w:p w14:paraId="3694D24F">
            <w:pPr>
              <w:spacing w:line="360" w:lineRule="auto"/>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不少于5900册</w:t>
            </w:r>
          </w:p>
        </w:tc>
        <w:tc>
          <w:tcPr>
            <w:tcW w:w="396" w:type="dxa"/>
            <w:tcBorders>
              <w:top w:val="single" w:color="auto" w:sz="4" w:space="0"/>
              <w:left w:val="single" w:color="auto" w:sz="4" w:space="0"/>
              <w:bottom w:val="single" w:color="auto" w:sz="4" w:space="0"/>
              <w:right w:val="single" w:color="auto" w:sz="4" w:space="0"/>
            </w:tcBorders>
            <w:vAlign w:val="center"/>
          </w:tcPr>
          <w:p w14:paraId="13E7BFF7">
            <w:pPr>
              <w:spacing w:line="360" w:lineRule="auto"/>
              <w:jc w:val="center"/>
              <w:rPr>
                <w:rFonts w:hint="eastAsia" w:ascii="宋体" w:hAnsi="宋体" w:eastAsia="宋体" w:cs="宋体"/>
                <w:color w:val="000000" w:themeColor="text1"/>
                <w:szCs w:val="21"/>
                <w:lang w:eastAsia="zh-CN"/>
              </w:rPr>
            </w:pPr>
            <w:r>
              <w:rPr>
                <w:rFonts w:hint="eastAsia" w:ascii="宋体" w:hAnsi="宋体" w:cs="宋体"/>
                <w:color w:val="000000" w:themeColor="text1"/>
                <w:szCs w:val="21"/>
                <w:lang w:eastAsia="zh-CN"/>
              </w:rPr>
              <w:t>册</w:t>
            </w:r>
          </w:p>
        </w:tc>
        <w:tc>
          <w:tcPr>
            <w:tcW w:w="4975" w:type="dxa"/>
            <w:tcBorders>
              <w:top w:val="single" w:color="auto" w:sz="4" w:space="0"/>
              <w:left w:val="single" w:color="auto" w:sz="4" w:space="0"/>
              <w:bottom w:val="single" w:color="auto" w:sz="4" w:space="0"/>
              <w:right w:val="single" w:color="auto" w:sz="4" w:space="0"/>
            </w:tcBorders>
            <w:vAlign w:val="center"/>
          </w:tcPr>
          <w:p w14:paraId="20974907">
            <w:pPr>
              <w:spacing w:line="300" w:lineRule="exact"/>
              <w:rPr>
                <w:color w:val="000000" w:themeColor="text1"/>
                <w:szCs w:val="21"/>
              </w:rPr>
            </w:pPr>
            <w:r>
              <w:rPr>
                <w:rFonts w:hint="eastAsia"/>
                <w:color w:val="000000" w:themeColor="text1"/>
                <w:szCs w:val="21"/>
              </w:rPr>
              <w:t>★</w:t>
            </w:r>
            <w:r>
              <w:rPr>
                <w:rFonts w:hint="eastAsia" w:ascii="宋体" w:hAnsi="宋体" w:cs="宋体"/>
                <w:b/>
                <w:bCs/>
                <w:color w:val="000000" w:themeColor="text1"/>
                <w:szCs w:val="21"/>
              </w:rPr>
              <w:t>一、主要内容</w:t>
            </w:r>
          </w:p>
          <w:p w14:paraId="1F6B2541">
            <w:pPr>
              <w:spacing w:line="300" w:lineRule="exact"/>
              <w:ind w:firstLine="420" w:firstLineChars="200"/>
              <w:rPr>
                <w:color w:val="000000" w:themeColor="text1"/>
                <w:szCs w:val="21"/>
              </w:rPr>
            </w:pPr>
            <w:r>
              <w:rPr>
                <w:rFonts w:hint="eastAsia"/>
                <w:color w:val="000000" w:themeColor="text1"/>
                <w:szCs w:val="21"/>
              </w:rPr>
              <w:t>1.</w:t>
            </w:r>
            <w:r>
              <w:rPr>
                <w:rFonts w:hint="eastAsia" w:ascii="宋体" w:hAnsi="宋体" w:cs="宋体"/>
                <w:szCs w:val="21"/>
                <w:lang w:eastAsia="zh-CN"/>
              </w:rPr>
              <w:t>供应商</w:t>
            </w:r>
            <w:r>
              <w:rPr>
                <w:rFonts w:hint="eastAsia" w:ascii="宋体" w:hAnsi="宋体" w:cs="宋体"/>
                <w:szCs w:val="21"/>
              </w:rPr>
              <w:t>所供纸质图书采购范围主要应为2020-2025年出版的正版中文纸质图书（教师学生推荐的教学用书不限年代），其中以2024-2025年出版的</w:t>
            </w:r>
            <w:r>
              <w:rPr>
                <w:rFonts w:hint="eastAsia" w:ascii="宋体" w:hAnsi="宋体" w:cs="宋体"/>
                <w:b w:val="0"/>
                <w:bCs w:val="0"/>
                <w:szCs w:val="21"/>
              </w:rPr>
              <w:t>正版</w:t>
            </w:r>
            <w:r>
              <w:rPr>
                <w:rFonts w:hint="eastAsia"/>
                <w:b w:val="0"/>
                <w:bCs w:val="0"/>
                <w:color w:val="000000" w:themeColor="text1"/>
                <w:szCs w:val="21"/>
              </w:rPr>
              <w:t>经典、畅销</w:t>
            </w:r>
            <w:r>
              <w:rPr>
                <w:rFonts w:hint="eastAsia" w:ascii="宋体" w:hAnsi="宋体" w:cs="宋体"/>
                <w:szCs w:val="21"/>
              </w:rPr>
              <w:t>图书为主，2020-2023年份出版的图书根据采购方图书馆的馆藏结构做为补充，补充范围不超过20%。整体供货要求以</w:t>
            </w:r>
            <w:bookmarkStart w:id="0" w:name="OLE_LINK1"/>
            <w:bookmarkStart w:id="1" w:name="OLE_LINK2"/>
            <w:r>
              <w:rPr>
                <w:rFonts w:hint="eastAsia"/>
                <w:color w:val="000000" w:themeColor="text1"/>
                <w:szCs w:val="21"/>
              </w:rPr>
              <w:t>经济、管理、区域国别、文学、其他等类图书为主。</w:t>
            </w:r>
            <w:bookmarkEnd w:id="0"/>
            <w:bookmarkEnd w:id="1"/>
          </w:p>
          <w:p w14:paraId="109D79D8">
            <w:pPr>
              <w:pStyle w:val="3"/>
              <w:spacing w:line="300" w:lineRule="exact"/>
              <w:ind w:firstLine="420" w:firstLineChars="200"/>
              <w:rPr>
                <w:rFonts w:ascii="宋体" w:hAnsi="宋体" w:cs="宋体"/>
                <w:szCs w:val="21"/>
              </w:rPr>
            </w:pPr>
            <w:r>
              <w:rPr>
                <w:rFonts w:hint="eastAsia" w:ascii="宋体" w:hAnsi="宋体" w:cs="宋体"/>
                <w:szCs w:val="21"/>
              </w:rPr>
              <w:t>2.提供的目录均须与本馆原有馆藏图书品种进行查重，不得与原馆藏书目重复；不得因为供货折扣原因屏蔽任何图书品种，每期书目信息不得重复。</w:t>
            </w:r>
          </w:p>
          <w:p w14:paraId="60FCD70A">
            <w:pPr>
              <w:pStyle w:val="3"/>
              <w:spacing w:line="30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eastAsia="zh-CN"/>
              </w:rPr>
              <w:t>供应商</w:t>
            </w:r>
            <w:r>
              <w:rPr>
                <w:rFonts w:hint="eastAsia" w:ascii="宋体" w:hAnsi="宋体" w:cs="宋体"/>
                <w:szCs w:val="21"/>
              </w:rPr>
              <w:t>提供的采访数据应包含书名、作者、ISBN号、出版社、价格、版次、出版时间、页码、装帧、开本大小、内容简介、适应读者范围等字段项目。提供的所有采访数据都能在采购人图书馆管理系统无障碍的使用。</w:t>
            </w:r>
          </w:p>
          <w:p w14:paraId="1C085C1F">
            <w:pPr>
              <w:spacing w:line="30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eastAsia="zh-CN"/>
              </w:rPr>
              <w:t>成交商</w:t>
            </w:r>
            <w:r>
              <w:rPr>
                <w:rFonts w:hint="eastAsia" w:ascii="宋体" w:hAnsi="宋体" w:cs="宋体"/>
                <w:szCs w:val="21"/>
              </w:rPr>
              <w:t>提供的图书必须是正规出版机构的正式出版图书，凡是</w:t>
            </w:r>
            <w:r>
              <w:rPr>
                <w:rFonts w:hint="eastAsia" w:ascii="宋体" w:hAnsi="宋体" w:cs="宋体"/>
                <w:szCs w:val="21"/>
                <w:lang w:eastAsia="zh-CN"/>
              </w:rPr>
              <w:t>成交商</w:t>
            </w:r>
            <w:r>
              <w:rPr>
                <w:rFonts w:hint="eastAsia" w:ascii="宋体" w:hAnsi="宋体" w:cs="宋体"/>
                <w:szCs w:val="21"/>
              </w:rPr>
              <w:t>提供的图书与新闻出版署的数据不相符的、存在意识形态问题的、盗版图书，或者图书有污损、图文不清、缺页、倒页、缺附件等质量不合格的，以及与订购单不符（含重发）的，采购人一律予以退货，且由此产生的损失由相关</w:t>
            </w:r>
            <w:r>
              <w:rPr>
                <w:rFonts w:hint="eastAsia" w:ascii="宋体" w:hAnsi="宋体" w:cs="宋体"/>
                <w:szCs w:val="21"/>
                <w:lang w:eastAsia="zh-CN"/>
              </w:rPr>
              <w:t>成交商</w:t>
            </w:r>
            <w:r>
              <w:rPr>
                <w:rFonts w:hint="eastAsia" w:ascii="宋体" w:hAnsi="宋体" w:cs="宋体"/>
                <w:szCs w:val="21"/>
              </w:rPr>
              <w:t>全部承担。</w:t>
            </w:r>
          </w:p>
          <w:p w14:paraId="535952AD">
            <w:pPr>
              <w:spacing w:line="300" w:lineRule="exact"/>
              <w:ind w:firstLine="420" w:firstLineChars="200"/>
              <w:rPr>
                <w:rFonts w:hint="eastAsia" w:ascii="PingFang-SC-Regular" w:hAnsi="PingFang-SC-Regular" w:cs="宋体"/>
                <w:color w:val="000000" w:themeColor="text1"/>
                <w:kern w:val="0"/>
                <w:szCs w:val="21"/>
              </w:rPr>
            </w:pPr>
            <w:r>
              <w:rPr>
                <w:rFonts w:hint="eastAsia" w:ascii="宋体" w:hAnsi="宋体" w:cs="宋体"/>
                <w:szCs w:val="21"/>
              </w:rPr>
              <w:t>5.</w:t>
            </w:r>
            <w:r>
              <w:rPr>
                <w:rFonts w:ascii="PingFang-SC-Regular" w:hAnsi="PingFang-SC-Regular" w:cs="宋体"/>
                <w:color w:val="000000" w:themeColor="text1"/>
                <w:kern w:val="0"/>
                <w:szCs w:val="21"/>
              </w:rPr>
              <w:t>所提供</w:t>
            </w:r>
            <w:r>
              <w:rPr>
                <w:rFonts w:hint="eastAsia" w:ascii="Segoe UI" w:hAnsi="Segoe UI" w:cs="Segoe UI"/>
                <w:bCs/>
                <w:color w:val="000000" w:themeColor="text1"/>
                <w:kern w:val="0"/>
                <w:szCs w:val="21"/>
              </w:rPr>
              <w:t>经典、</w:t>
            </w:r>
            <w:r>
              <w:rPr>
                <w:rFonts w:ascii="Segoe UI" w:hAnsi="Segoe UI" w:cs="Segoe UI"/>
                <w:bCs/>
                <w:color w:val="000000" w:themeColor="text1"/>
                <w:kern w:val="0"/>
                <w:szCs w:val="21"/>
              </w:rPr>
              <w:t>畅销书目</w:t>
            </w:r>
            <w:r>
              <w:rPr>
                <w:rFonts w:hint="eastAsia" w:ascii="Segoe UI" w:hAnsi="Segoe UI" w:cs="Segoe UI"/>
                <w:bCs/>
                <w:color w:val="000000" w:themeColor="text1"/>
                <w:kern w:val="0"/>
                <w:szCs w:val="21"/>
              </w:rPr>
              <w:t>中主要</w:t>
            </w:r>
            <w:r>
              <w:rPr>
                <w:rFonts w:ascii="Segoe UI" w:hAnsi="Segoe UI" w:cs="Segoe UI"/>
                <w:bCs/>
                <w:color w:val="000000" w:themeColor="text1"/>
                <w:kern w:val="0"/>
                <w:szCs w:val="21"/>
              </w:rPr>
              <w:t>来源</w:t>
            </w:r>
            <w:r>
              <w:rPr>
                <w:rFonts w:ascii="PingFang-SC-Regular" w:hAnsi="PingFang-SC-Regular" w:cs="宋体"/>
                <w:color w:val="000000" w:themeColor="text1"/>
                <w:kern w:val="0"/>
                <w:szCs w:val="21"/>
              </w:rPr>
              <w:t>：亚马逊、京东、当当、新华书店网、中图网等知名网站，北京大学、清华大学等国内知名大学年度借阅排行榜</w:t>
            </w:r>
            <w:r>
              <w:rPr>
                <w:rFonts w:hint="eastAsia" w:ascii="PingFang-SC-Regular" w:hAnsi="PingFang-SC-Regular" w:cs="宋体"/>
                <w:color w:val="000000" w:themeColor="text1"/>
                <w:kern w:val="0"/>
                <w:szCs w:val="21"/>
              </w:rPr>
              <w:t>，</w:t>
            </w:r>
            <w:r>
              <w:rPr>
                <w:rFonts w:ascii="PingFang-SC-Regular" w:hAnsi="PingFang-SC-Regular" w:cs="宋体"/>
                <w:color w:val="000000" w:themeColor="text1"/>
                <w:kern w:val="0"/>
                <w:szCs w:val="21"/>
              </w:rPr>
              <w:t>以及</w:t>
            </w:r>
            <w:r>
              <w:rPr>
                <w:rStyle w:val="10"/>
                <w:rFonts w:ascii="Segoe UI" w:hAnsi="Segoe UI" w:cs="Segoe UI"/>
                <w:b w:val="0"/>
                <w:color w:val="000000" w:themeColor="text1"/>
                <w:szCs w:val="21"/>
                <w:shd w:val="clear" w:color="auto" w:fill="FDFDFE"/>
              </w:rPr>
              <w:t>诺贝尔文学奖</w:t>
            </w:r>
            <w:r>
              <w:rPr>
                <w:rStyle w:val="10"/>
                <w:rFonts w:hint="eastAsia" w:ascii="Segoe UI" w:hAnsi="Segoe UI" w:cs="Segoe UI"/>
                <w:b w:val="0"/>
                <w:color w:val="000000" w:themeColor="text1"/>
                <w:szCs w:val="21"/>
                <w:shd w:val="clear" w:color="auto" w:fill="FDFDFE"/>
              </w:rPr>
              <w:t>、</w:t>
            </w:r>
            <w:r>
              <w:rPr>
                <w:rStyle w:val="10"/>
                <w:rFonts w:ascii="Segoe UI" w:hAnsi="Segoe UI" w:cs="Segoe UI"/>
                <w:b w:val="0"/>
                <w:color w:val="000000" w:themeColor="text1"/>
                <w:szCs w:val="21"/>
                <w:shd w:val="clear" w:color="auto" w:fill="FDFDFE"/>
              </w:rPr>
              <w:t>茅盾文学奖</w:t>
            </w:r>
            <w:r>
              <w:rPr>
                <w:rStyle w:val="10"/>
                <w:rFonts w:hint="eastAsia" w:ascii="Segoe UI" w:hAnsi="Segoe UI" w:cs="Segoe UI"/>
                <w:b w:val="0"/>
                <w:color w:val="000000" w:themeColor="text1"/>
                <w:szCs w:val="21"/>
                <w:shd w:val="clear" w:color="auto" w:fill="FDFDFE"/>
              </w:rPr>
              <w:t>、</w:t>
            </w:r>
            <w:r>
              <w:rPr>
                <w:rStyle w:val="10"/>
                <w:rFonts w:ascii="Segoe UI" w:hAnsi="Segoe UI" w:cs="Segoe UI"/>
                <w:b w:val="0"/>
                <w:color w:val="000000" w:themeColor="text1"/>
                <w:szCs w:val="21"/>
                <w:shd w:val="clear" w:color="auto" w:fill="FDFDFE"/>
              </w:rPr>
              <w:t>鲁迅文学奖</w:t>
            </w:r>
            <w:r>
              <w:rPr>
                <w:rStyle w:val="10"/>
                <w:rFonts w:hint="eastAsia" w:ascii="Segoe UI" w:hAnsi="Segoe UI" w:cs="Segoe UI"/>
                <w:b w:val="0"/>
                <w:color w:val="000000" w:themeColor="text1"/>
                <w:szCs w:val="21"/>
                <w:shd w:val="clear" w:color="auto" w:fill="FDFDFE"/>
                <w:lang w:eastAsia="zh-CN"/>
              </w:rPr>
              <w:t>、</w:t>
            </w:r>
            <w:r>
              <w:rPr>
                <w:rStyle w:val="10"/>
                <w:rFonts w:ascii="Segoe UI" w:hAnsi="Segoe UI" w:cs="Segoe UI"/>
                <w:b w:val="0"/>
                <w:color w:val="000000" w:themeColor="text1"/>
                <w:szCs w:val="21"/>
                <w:shd w:val="clear" w:color="auto" w:fill="FDFDFE"/>
              </w:rPr>
              <w:t>老舍文学奖</w:t>
            </w:r>
            <w:r>
              <w:rPr>
                <w:rStyle w:val="10"/>
                <w:rFonts w:hint="eastAsia" w:ascii="Segoe UI" w:hAnsi="Segoe UI" w:cs="Segoe UI"/>
                <w:b w:val="0"/>
                <w:color w:val="000000" w:themeColor="text1"/>
                <w:szCs w:val="21"/>
                <w:shd w:val="clear" w:color="auto" w:fill="FDFDFE"/>
              </w:rPr>
              <w:t>等</w:t>
            </w:r>
            <w:r>
              <w:rPr>
                <w:rFonts w:ascii="PingFang-SC-Regular" w:hAnsi="PingFang-SC-Regular" w:cs="宋体"/>
                <w:color w:val="000000" w:themeColor="text1"/>
                <w:kern w:val="0"/>
                <w:szCs w:val="21"/>
              </w:rPr>
              <w:t>组成书单。</w:t>
            </w:r>
            <w:r>
              <w:rPr>
                <w:rFonts w:hint="eastAsia" w:ascii="PingFang-SC-Regular" w:hAnsi="PingFang-SC-Regular" w:cs="宋体"/>
                <w:color w:val="000000" w:themeColor="text1"/>
                <w:kern w:val="0"/>
                <w:szCs w:val="21"/>
                <w:lang w:eastAsia="zh-CN"/>
              </w:rPr>
              <w:t>供应商</w:t>
            </w:r>
            <w:r>
              <w:rPr>
                <w:rFonts w:ascii="PingFang-SC-Regular" w:hAnsi="PingFang-SC-Regular" w:cs="宋体"/>
                <w:color w:val="000000" w:themeColor="text1"/>
                <w:kern w:val="0"/>
                <w:szCs w:val="21"/>
              </w:rPr>
              <w:t>需详细标注每本图书的来源渠道，以便图书馆进行核实与评估。</w:t>
            </w:r>
          </w:p>
          <w:p w14:paraId="0E6DB22E">
            <w:pPr>
              <w:pStyle w:val="3"/>
              <w:spacing w:line="300" w:lineRule="exact"/>
              <w:rPr>
                <w:rFonts w:ascii="宋体" w:hAnsi="宋体" w:cs="宋体"/>
                <w:b/>
                <w:szCs w:val="21"/>
              </w:rPr>
            </w:pPr>
            <w:r>
              <w:rPr>
                <w:rFonts w:hint="eastAsia"/>
                <w:color w:val="000000" w:themeColor="text1"/>
                <w:szCs w:val="21"/>
              </w:rPr>
              <w:t>★</w:t>
            </w:r>
            <w:r>
              <w:rPr>
                <w:rFonts w:hint="eastAsia" w:ascii="宋体" w:hAnsi="宋体" w:cs="宋体"/>
                <w:b/>
                <w:szCs w:val="21"/>
              </w:rPr>
              <w:t>二、服务要求</w:t>
            </w:r>
          </w:p>
          <w:p w14:paraId="4F8DE5C3">
            <w:pPr>
              <w:tabs>
                <w:tab w:val="left" w:pos="849"/>
              </w:tabs>
              <w:spacing w:line="300" w:lineRule="exact"/>
              <w:ind w:right="93"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eastAsia="zh-CN"/>
              </w:rPr>
              <w:t>供应商</w:t>
            </w:r>
            <w:r>
              <w:rPr>
                <w:rFonts w:hint="eastAsia" w:ascii="宋体" w:hAnsi="宋体" w:cs="宋体"/>
                <w:szCs w:val="21"/>
              </w:rPr>
              <w:t>通过互联网提供规范的新书征订书目数据和机读预编目数据（数据要求参见《中国机读目录格式使用手册》《CALIS联机合作编目手册》），并且数据需完全符合采购人的图书馆图书集成管理系统的格式及运行需求，提供的所有数据都能在采购人的图书馆系统无障碍的使用。</w:t>
            </w:r>
          </w:p>
          <w:p w14:paraId="54D79915">
            <w:pPr>
              <w:tabs>
                <w:tab w:val="left" w:pos="849"/>
              </w:tabs>
              <w:spacing w:line="300" w:lineRule="exact"/>
              <w:ind w:right="93"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eastAsia="zh-CN"/>
              </w:rPr>
              <w:t>供应商</w:t>
            </w:r>
            <w:r>
              <w:rPr>
                <w:rFonts w:hint="eastAsia" w:ascii="宋体" w:hAnsi="宋体" w:cs="宋体"/>
                <w:szCs w:val="21"/>
              </w:rPr>
              <w:t>应与国内重要图书出版单位有固定合作供货关系，图书渠道来源广泛，确保为采购人提供品种丰富、优质的正版图书。</w:t>
            </w:r>
          </w:p>
          <w:p w14:paraId="1A531B2E">
            <w:pPr>
              <w:spacing w:line="300" w:lineRule="exact"/>
              <w:ind w:firstLine="420" w:firstLineChars="200"/>
              <w:rPr>
                <w:rFonts w:hint="eastAsia" w:ascii="宋体" w:hAnsi="宋体" w:cs="宋体"/>
                <w:szCs w:val="21"/>
              </w:rPr>
            </w:pPr>
            <w:r>
              <w:rPr>
                <w:rFonts w:hint="eastAsia" w:ascii="宋体" w:hAnsi="宋体" w:cs="宋体"/>
                <w:szCs w:val="21"/>
              </w:rPr>
              <w:t>3.</w:t>
            </w:r>
            <w:bookmarkStart w:id="2" w:name="OLE_LINK4"/>
            <w:bookmarkStart w:id="3" w:name="OLE_LINK3"/>
            <w:r>
              <w:rPr>
                <w:rFonts w:hint="eastAsia" w:ascii="宋体" w:hAnsi="宋体" w:cs="宋体"/>
                <w:szCs w:val="21"/>
                <w:lang w:val="zh-CN"/>
              </w:rPr>
              <w:t>供应商需详尽提供本公司电子商务平台的访问信息，涵盖网站网址、登录用户名及对应密码。该电子商务平台应具备图书线上零散采购与个性化荐购功能，同时需承诺能实现与采购人图书馆系统的无缝集成与流畅交互，确保读者能够通过手机或PC端便捷登录，轻松完成图书的在线选购。</w:t>
            </w:r>
            <w:bookmarkEnd w:id="2"/>
            <w:bookmarkEnd w:id="3"/>
          </w:p>
          <w:p w14:paraId="7881DCE7">
            <w:pPr>
              <w:spacing w:line="300" w:lineRule="exact"/>
              <w:ind w:firstLine="420" w:firstLineChars="200"/>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订单中如含有非采购人的图书馆选订原则的图书（如高职高专、中专、少儿、中小学用书；非国民教育的，如成教、自考用书、面向青少年的科普读物、图多字少的图书、磁带、活页，挂图，乐谱，袋装书等不符合本校办学层次的图书），</w:t>
            </w:r>
            <w:r>
              <w:rPr>
                <w:rFonts w:hint="eastAsia" w:ascii="宋体" w:hAnsi="宋体" w:cs="宋体"/>
                <w:szCs w:val="21"/>
                <w:lang w:eastAsia="zh-CN"/>
              </w:rPr>
              <w:t>成交商</w:t>
            </w:r>
            <w:r>
              <w:rPr>
                <w:rFonts w:hint="eastAsia" w:ascii="宋体" w:hAnsi="宋体" w:cs="宋体"/>
                <w:szCs w:val="21"/>
              </w:rPr>
              <w:t>在加工前应先选择淘汰，并将淘汰图书目录发给采购人的图书馆采访人员确认。对不符合图书馆内容及装帧要求的图书，即使进行了前期加工，图书馆也有权退货，由此造成的损失由</w:t>
            </w:r>
            <w:r>
              <w:rPr>
                <w:rFonts w:hint="eastAsia" w:ascii="宋体" w:hAnsi="宋体" w:cs="宋体"/>
                <w:szCs w:val="21"/>
                <w:lang w:eastAsia="zh-CN"/>
              </w:rPr>
              <w:t>成交商</w:t>
            </w:r>
            <w:r>
              <w:rPr>
                <w:rFonts w:hint="eastAsia" w:ascii="宋体" w:hAnsi="宋体" w:cs="宋体"/>
                <w:szCs w:val="21"/>
              </w:rPr>
              <w:t>自负。</w:t>
            </w:r>
          </w:p>
          <w:p w14:paraId="4E32E537">
            <w:pPr>
              <w:tabs>
                <w:tab w:val="left" w:pos="849"/>
              </w:tabs>
              <w:spacing w:line="300" w:lineRule="exact"/>
              <w:ind w:right="93" w:firstLine="420" w:firstLineChars="200"/>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.所有图书订购的品种、复本均由采购人决定，</w:t>
            </w:r>
            <w:r>
              <w:rPr>
                <w:rFonts w:hint="eastAsia" w:ascii="宋体" w:hAnsi="宋体" w:cs="宋体"/>
                <w:szCs w:val="21"/>
                <w:lang w:eastAsia="zh-CN"/>
              </w:rPr>
              <w:t>成交供应商</w:t>
            </w:r>
            <w:r>
              <w:rPr>
                <w:rFonts w:hint="eastAsia" w:ascii="宋体" w:hAnsi="宋体" w:cs="宋体"/>
                <w:szCs w:val="21"/>
              </w:rPr>
              <w:t>不得自行搭配和追加非采购人确认订购的品种、复本数量的图书。如验收发现与订单不符，</w:t>
            </w:r>
            <w:r>
              <w:rPr>
                <w:rFonts w:hint="eastAsia" w:ascii="宋体" w:hAnsi="宋体" w:cs="宋体"/>
                <w:szCs w:val="21"/>
                <w:lang w:eastAsia="zh-CN"/>
              </w:rPr>
              <w:t>成交商</w:t>
            </w:r>
            <w:r>
              <w:rPr>
                <w:rFonts w:hint="eastAsia" w:ascii="宋体" w:hAnsi="宋体" w:cs="宋体"/>
                <w:szCs w:val="21"/>
              </w:rPr>
              <w:t>应无条件接受图书馆退货，无论图书是否经过前期加工；</w:t>
            </w:r>
            <w:r>
              <w:rPr>
                <w:rFonts w:hint="eastAsia" w:ascii="宋体" w:hAnsi="宋体" w:cs="宋体"/>
                <w:szCs w:val="21"/>
                <w:lang w:eastAsia="zh-CN"/>
              </w:rPr>
              <w:t>成交供应商</w:t>
            </w:r>
            <w:r>
              <w:rPr>
                <w:rFonts w:hint="eastAsia" w:ascii="宋体" w:hAnsi="宋体" w:cs="宋体"/>
                <w:szCs w:val="21"/>
              </w:rPr>
              <w:t>提供的每批图书的品种、册数、金额等必须与采购人订购的清单相符，如发现同一批次图书出现3%或以上的图书品种与采购人订购清单不符，被采购人有效投诉2次或以上的，采购人有权单方面终止合同，期间所产生的一切损失均由</w:t>
            </w:r>
            <w:r>
              <w:rPr>
                <w:rFonts w:hint="eastAsia" w:ascii="宋体" w:hAnsi="宋体" w:cs="宋体"/>
                <w:szCs w:val="21"/>
                <w:lang w:eastAsia="zh-CN"/>
              </w:rPr>
              <w:t>成交供应商</w:t>
            </w:r>
            <w:r>
              <w:rPr>
                <w:rFonts w:hint="eastAsia" w:ascii="宋体" w:hAnsi="宋体" w:cs="宋体"/>
                <w:szCs w:val="21"/>
              </w:rPr>
              <w:t>负责。</w:t>
            </w:r>
          </w:p>
          <w:p w14:paraId="001107CC">
            <w:pPr>
              <w:tabs>
                <w:tab w:val="left" w:pos="849"/>
              </w:tabs>
              <w:spacing w:line="300" w:lineRule="exact"/>
              <w:ind w:right="93" w:firstLine="420" w:firstLineChars="200"/>
              <w:rPr>
                <w:rFonts w:ascii="宋体" w:hAnsi="宋体" w:cs="宋体"/>
                <w:szCs w:val="21"/>
              </w:rPr>
            </w:pPr>
            <w:r>
              <w:rPr>
                <w:rFonts w:hint="eastAsia" w:ascii="宋体" w:hAnsi="宋体" w:cs="宋体"/>
                <w:szCs w:val="21"/>
                <w:lang w:val="en-US" w:eastAsia="zh-CN"/>
              </w:rPr>
              <w:t>6.</w:t>
            </w:r>
            <w:r>
              <w:rPr>
                <w:rFonts w:hint="eastAsia" w:ascii="宋体" w:hAnsi="宋体" w:cs="宋体"/>
                <w:szCs w:val="21"/>
                <w:lang w:eastAsia="zh-CN"/>
              </w:rPr>
              <w:t>成交商</w:t>
            </w:r>
            <w:r>
              <w:rPr>
                <w:rFonts w:hint="eastAsia" w:ascii="宋体" w:hAnsi="宋体" w:cs="宋体"/>
                <w:szCs w:val="21"/>
              </w:rPr>
              <w:t>应根据采购单位的实际运行程序，采取有力措施提供高效、优质的服务。包括：(1)新书调配应尽可能以最快的速度，一般以图书出版后十五日内供货，</w:t>
            </w:r>
            <w:r>
              <w:rPr>
                <w:rFonts w:hint="eastAsia" w:ascii="宋体" w:hAnsi="宋体" w:cs="宋体"/>
                <w:szCs w:val="21"/>
                <w:lang w:eastAsia="zh-CN"/>
              </w:rPr>
              <w:t>供应商</w:t>
            </w:r>
            <w:r>
              <w:rPr>
                <w:rFonts w:hint="eastAsia" w:ascii="宋体" w:hAnsi="宋体" w:cs="宋体"/>
                <w:szCs w:val="21"/>
              </w:rPr>
              <w:t>应按图书馆求购书目及发货包装要求，在图书订单发出之日起2个月内送到指定地点（订购图书不能按期出版等特殊情况除外），采购单位选购的所有各类图书，必须保证按订购数量及时供应，到书率要求达到95%，现采书到书率达98%。超过订单数5%不能供货的，视为不具备供货条件，采购单位可随时提出终止供货要求。(2)</w:t>
            </w:r>
            <w:r>
              <w:rPr>
                <w:rFonts w:hint="eastAsia" w:ascii="宋体" w:hAnsi="宋体" w:cs="宋体"/>
                <w:szCs w:val="21"/>
                <w:lang w:eastAsia="zh-CN"/>
              </w:rPr>
              <w:t>供应商</w:t>
            </w:r>
            <w:r>
              <w:rPr>
                <w:rFonts w:hint="eastAsia" w:ascii="宋体" w:hAnsi="宋体" w:cs="宋体"/>
                <w:szCs w:val="21"/>
              </w:rPr>
              <w:t>必须全部送货上门，所有退货由</w:t>
            </w:r>
            <w:r>
              <w:rPr>
                <w:rFonts w:hint="eastAsia" w:ascii="宋体" w:hAnsi="宋体" w:cs="宋体"/>
                <w:szCs w:val="21"/>
                <w:lang w:eastAsia="zh-CN"/>
              </w:rPr>
              <w:t>供应商</w:t>
            </w:r>
            <w:r>
              <w:rPr>
                <w:rFonts w:hint="eastAsia" w:ascii="宋体" w:hAnsi="宋体" w:cs="宋体"/>
                <w:szCs w:val="21"/>
              </w:rPr>
              <w:t>负责处理，并承担送货、退货的一切费用。</w:t>
            </w:r>
          </w:p>
          <w:p w14:paraId="7D5789DA">
            <w:pPr>
              <w:tabs>
                <w:tab w:val="left" w:pos="849"/>
              </w:tabs>
              <w:spacing w:line="300" w:lineRule="exact"/>
              <w:ind w:right="93" w:firstLine="420" w:firstLineChars="200"/>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eastAsia="zh-CN"/>
              </w:rPr>
              <w:t>成交商</w:t>
            </w:r>
            <w:r>
              <w:rPr>
                <w:rFonts w:hint="eastAsia" w:ascii="宋体" w:hAnsi="宋体" w:cs="宋体"/>
                <w:szCs w:val="21"/>
              </w:rPr>
              <w:t>提供的图书纸质、规格、印刷质量、错漏率、字体、符号、页面、装订等质量须严格按照中华人民共和国国标GB/T18359、印刷行业相关质量标准执行。</w:t>
            </w:r>
          </w:p>
          <w:p w14:paraId="58FDFFC5">
            <w:pPr>
              <w:tabs>
                <w:tab w:val="left" w:pos="849"/>
              </w:tabs>
              <w:spacing w:line="300" w:lineRule="exact"/>
              <w:ind w:right="93" w:firstLine="420" w:firstLineChars="200"/>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eastAsia="zh-CN"/>
              </w:rPr>
              <w:t>成交商</w:t>
            </w:r>
            <w:r>
              <w:rPr>
                <w:rFonts w:hint="eastAsia" w:ascii="宋体" w:hAnsi="宋体" w:cs="宋体"/>
                <w:szCs w:val="21"/>
              </w:rPr>
              <w:t>能提供配套服务，加盖馆藏章、贴条码、夹防盗磁条等。加工流程与具体要求，详见《附件二》。</w:t>
            </w:r>
            <w:r>
              <w:rPr>
                <w:rFonts w:hint="eastAsia" w:ascii="宋体" w:hAnsi="宋体" w:cs="宋体"/>
                <w:szCs w:val="21"/>
                <w:lang w:eastAsia="zh-CN"/>
              </w:rPr>
              <w:t>供应商</w:t>
            </w:r>
            <w:r>
              <w:rPr>
                <w:rFonts w:hint="eastAsia" w:ascii="宋体" w:hAnsi="宋体" w:cs="宋体"/>
                <w:szCs w:val="21"/>
              </w:rPr>
              <w:t>负责承担所供应图书的全套加工服务的相应耗材，包括条形码、超高频RFID无源标签、防盗磁条等费用。</w:t>
            </w:r>
          </w:p>
          <w:p w14:paraId="4E39259E">
            <w:pPr>
              <w:tabs>
                <w:tab w:val="left" w:pos="849"/>
              </w:tabs>
              <w:spacing w:line="300" w:lineRule="exact"/>
              <w:ind w:right="93" w:firstLine="420" w:firstLineChars="200"/>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eastAsia="zh-CN"/>
              </w:rPr>
              <w:t>成交商</w:t>
            </w:r>
            <w:r>
              <w:rPr>
                <w:rFonts w:hint="eastAsia" w:ascii="宋体" w:hAnsi="宋体" w:cs="宋体"/>
                <w:szCs w:val="21"/>
              </w:rPr>
              <w:t>应组织参加每年度的全国书市或大学书市现采活动每次1-2人，提供采集器及对馆藏数据的导入导出服务，提供协助人员，保证现采顺利进行，全部费用由</w:t>
            </w:r>
            <w:r>
              <w:rPr>
                <w:rFonts w:hint="eastAsia" w:ascii="宋体" w:hAnsi="宋体" w:cs="宋体"/>
                <w:szCs w:val="21"/>
                <w:lang w:eastAsia="zh-CN"/>
              </w:rPr>
              <w:t>成交商</w:t>
            </w:r>
            <w:r>
              <w:rPr>
                <w:rFonts w:hint="eastAsia" w:ascii="宋体" w:hAnsi="宋体" w:cs="宋体"/>
                <w:szCs w:val="21"/>
              </w:rPr>
              <w:t>负责。</w:t>
            </w:r>
          </w:p>
          <w:p w14:paraId="3CB9EFCC">
            <w:pPr>
              <w:tabs>
                <w:tab w:val="left" w:pos="849"/>
              </w:tabs>
              <w:spacing w:line="300" w:lineRule="exact"/>
              <w:ind w:right="93" w:firstLine="420" w:firstLineChars="200"/>
              <w:rPr>
                <w:rFonts w:ascii="宋体" w:hAnsi="宋体" w:cs="宋体"/>
                <w:szCs w:val="21"/>
              </w:rPr>
            </w:pP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eastAsia="zh-CN"/>
              </w:rPr>
              <w:t>成交商</w:t>
            </w:r>
            <w:r>
              <w:rPr>
                <w:rFonts w:hint="eastAsia" w:ascii="宋体" w:hAnsi="宋体" w:cs="宋体"/>
                <w:szCs w:val="21"/>
              </w:rPr>
              <w:t>应在图书发运前对其进行满足于运输距离、防潮、防霉、防破损装卸要求以及按采购人的图书馆要求包装，以保证图书安全快捷到达图书馆指定地点，现场验收。随书应提供该批图书数量、品种、价格相符的详细的送书清单一式两份，同时提供电子版发货记录。</w:t>
            </w:r>
          </w:p>
          <w:p w14:paraId="684D7C9F">
            <w:pPr>
              <w:tabs>
                <w:tab w:val="left" w:pos="849"/>
              </w:tabs>
              <w:spacing w:line="300" w:lineRule="exact"/>
              <w:ind w:right="93"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.提供图书保质期内流通出现破损、脱页等装帧质量问题，</w:t>
            </w:r>
            <w:r>
              <w:rPr>
                <w:rFonts w:hint="eastAsia" w:ascii="宋体" w:hAnsi="宋体" w:cs="宋体"/>
                <w:szCs w:val="21"/>
                <w:lang w:eastAsia="zh-CN"/>
              </w:rPr>
              <w:t>成交商</w:t>
            </w:r>
            <w:r>
              <w:rPr>
                <w:rFonts w:hint="eastAsia" w:ascii="宋体" w:hAnsi="宋体" w:cs="宋体"/>
                <w:szCs w:val="21"/>
              </w:rPr>
              <w:t>负责及时补书或提供补书费用。</w:t>
            </w:r>
          </w:p>
          <w:p w14:paraId="283C7B98">
            <w:pPr>
              <w:tabs>
                <w:tab w:val="left" w:pos="849"/>
              </w:tabs>
              <w:spacing w:line="300" w:lineRule="exact"/>
              <w:ind w:right="93"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.经验收发现图书与发货单不相符的，采购人的图书馆应及时通知</w:t>
            </w:r>
            <w:r>
              <w:rPr>
                <w:rFonts w:hint="eastAsia" w:ascii="宋体" w:hAnsi="宋体" w:cs="宋体"/>
                <w:szCs w:val="21"/>
                <w:lang w:eastAsia="zh-CN"/>
              </w:rPr>
              <w:t>供应商</w:t>
            </w:r>
            <w:r>
              <w:rPr>
                <w:rFonts w:hint="eastAsia" w:ascii="宋体" w:hAnsi="宋体" w:cs="宋体"/>
                <w:szCs w:val="21"/>
              </w:rPr>
              <w:t>派员到验收地核实，</w:t>
            </w:r>
            <w:r>
              <w:rPr>
                <w:rFonts w:hint="eastAsia" w:ascii="宋体" w:hAnsi="宋体" w:cs="宋体"/>
                <w:szCs w:val="21"/>
                <w:lang w:eastAsia="zh-CN"/>
              </w:rPr>
              <w:t>成交商</w:t>
            </w:r>
            <w:r>
              <w:rPr>
                <w:rFonts w:hint="eastAsia" w:ascii="宋体" w:hAnsi="宋体" w:cs="宋体"/>
                <w:szCs w:val="21"/>
              </w:rPr>
              <w:t>应于10个工作日内核对，如不能在此期间确认核实的，以采购人的图书馆验收的实际数额码洋乘以折扣率计算书款金额。</w:t>
            </w:r>
          </w:p>
          <w:p w14:paraId="683C6337">
            <w:pPr>
              <w:tabs>
                <w:tab w:val="left" w:pos="849"/>
              </w:tabs>
              <w:spacing w:line="300" w:lineRule="exact"/>
              <w:ind w:right="93"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eastAsia="zh-CN"/>
              </w:rPr>
              <w:t>成交商</w:t>
            </w:r>
            <w:r>
              <w:rPr>
                <w:rFonts w:hint="eastAsia" w:ascii="宋体" w:hAnsi="宋体" w:cs="宋体"/>
                <w:szCs w:val="21"/>
              </w:rPr>
              <w:t>故意隐藏图书出版信息或不提供可获得的图书，采购人有权终止合同，如采购人的图书馆直接从出版社获得相应的图书，</w:t>
            </w:r>
            <w:r>
              <w:rPr>
                <w:rFonts w:hint="eastAsia" w:ascii="宋体" w:hAnsi="宋体" w:cs="宋体"/>
                <w:szCs w:val="21"/>
                <w:lang w:eastAsia="zh-CN"/>
              </w:rPr>
              <w:t>成交商</w:t>
            </w:r>
            <w:r>
              <w:rPr>
                <w:rFonts w:hint="eastAsia" w:ascii="宋体" w:hAnsi="宋体" w:cs="宋体"/>
                <w:szCs w:val="21"/>
              </w:rPr>
              <w:t>需赔付图书价格五倍的书款。</w:t>
            </w:r>
          </w:p>
          <w:p w14:paraId="683175B0">
            <w:pPr>
              <w:tabs>
                <w:tab w:val="left" w:pos="849"/>
              </w:tabs>
              <w:spacing w:line="300" w:lineRule="exact"/>
              <w:ind w:right="93"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.采购图书符合国家意识形态工作要求,禁止有任何国家法规明令禁止出版发行的图书，已到馆的此类图书须给予退货。</w:t>
            </w:r>
          </w:p>
          <w:p w14:paraId="7E8B2F37">
            <w:pPr>
              <w:tabs>
                <w:tab w:val="left" w:pos="849"/>
              </w:tabs>
              <w:spacing w:line="300" w:lineRule="exact"/>
              <w:ind w:right="93"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eastAsia="zh-CN"/>
              </w:rPr>
              <w:t>成交商</w:t>
            </w:r>
            <w:r>
              <w:rPr>
                <w:rFonts w:hint="eastAsia" w:ascii="宋体" w:hAnsi="宋体" w:cs="宋体"/>
                <w:szCs w:val="21"/>
              </w:rPr>
              <w:t>须承担现货选购图书查重和图书预订查重工作，承诺为采购人做图书馆馆藏数据分析。</w:t>
            </w:r>
          </w:p>
          <w:p w14:paraId="69D345DE">
            <w:pPr>
              <w:tabs>
                <w:tab w:val="left" w:pos="849"/>
              </w:tabs>
              <w:spacing w:line="300" w:lineRule="exact"/>
              <w:ind w:right="93"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eastAsia="zh-CN"/>
              </w:rPr>
              <w:t>成交商</w:t>
            </w:r>
            <w:r>
              <w:rPr>
                <w:rFonts w:hint="eastAsia" w:ascii="宋体" w:hAnsi="宋体" w:cs="宋体"/>
                <w:szCs w:val="21"/>
              </w:rPr>
              <w:t>为采购人提供优质服务，提供优化服务方案。</w:t>
            </w:r>
          </w:p>
          <w:p w14:paraId="166AB0E6">
            <w:pPr>
              <w:tabs>
                <w:tab w:val="left" w:pos="849"/>
              </w:tabs>
              <w:spacing w:line="300" w:lineRule="exact"/>
              <w:ind w:right="93"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eastAsia="zh-CN"/>
              </w:rPr>
              <w:t>成交商</w:t>
            </w:r>
            <w:r>
              <w:rPr>
                <w:rFonts w:hint="eastAsia" w:ascii="宋体" w:hAnsi="宋体" w:cs="宋体"/>
                <w:szCs w:val="21"/>
              </w:rPr>
              <w:t>应具有在学校加工的团队和业务。</w:t>
            </w:r>
          </w:p>
          <w:p w14:paraId="18F52844">
            <w:pPr>
              <w:tabs>
                <w:tab w:val="left" w:pos="849"/>
              </w:tabs>
              <w:spacing w:line="300" w:lineRule="exact"/>
              <w:ind w:right="93" w:firstLine="420" w:firstLineChars="200"/>
              <w:rPr>
                <w:rFonts w:ascii="宋体" w:hAnsi="宋体" w:cs="宋体"/>
                <w:szCs w:val="21"/>
              </w:rPr>
            </w:pPr>
          </w:p>
          <w:p w14:paraId="742FF95B">
            <w:pPr>
              <w:spacing w:line="300" w:lineRule="exact"/>
              <w:rPr>
                <w:b/>
                <w:bCs/>
                <w:color w:val="000000" w:themeColor="text1"/>
                <w:szCs w:val="21"/>
              </w:rPr>
            </w:pPr>
            <w:r>
              <w:rPr>
                <w:rFonts w:hint="eastAsia"/>
                <w:color w:val="000000" w:themeColor="text1"/>
              </w:rPr>
              <w:t>★</w:t>
            </w:r>
            <w:r>
              <w:rPr>
                <w:rFonts w:hint="eastAsia" w:ascii="宋体" w:hAnsi="宋体" w:cs="宋体"/>
                <w:b/>
                <w:kern w:val="0"/>
                <w:szCs w:val="21"/>
                <w:lang w:val="zh-CN" w:bidi="zh-CN"/>
              </w:rPr>
              <w:t>附件一：</w:t>
            </w:r>
            <w:r>
              <w:rPr>
                <w:rFonts w:hint="eastAsia"/>
                <w:b/>
                <w:bCs/>
                <w:color w:val="000000" w:themeColor="text1"/>
                <w:szCs w:val="21"/>
              </w:rPr>
              <w:t>图书加工要求</w:t>
            </w:r>
          </w:p>
          <w:p w14:paraId="7F7D59C4">
            <w:pPr>
              <w:spacing w:line="300" w:lineRule="exact"/>
              <w:rPr>
                <w:color w:val="000000" w:themeColor="text1"/>
                <w:szCs w:val="21"/>
              </w:rPr>
            </w:pPr>
            <w:r>
              <w:rPr>
                <w:rFonts w:hint="eastAsia"/>
                <w:color w:val="000000" w:themeColor="text1"/>
                <w:szCs w:val="21"/>
                <w:lang w:eastAsia="zh-CN"/>
              </w:rPr>
              <w:t>供应商</w:t>
            </w:r>
            <w:r>
              <w:rPr>
                <w:rFonts w:hint="eastAsia"/>
                <w:color w:val="000000" w:themeColor="text1"/>
                <w:szCs w:val="21"/>
              </w:rPr>
              <w:t>必须免费提供图书加工等服务。图书到馆前、后期加工所需的加工费、材料费由</w:t>
            </w:r>
            <w:r>
              <w:rPr>
                <w:rFonts w:hint="eastAsia"/>
                <w:color w:val="000000" w:themeColor="text1"/>
                <w:szCs w:val="21"/>
                <w:lang w:eastAsia="zh-CN"/>
              </w:rPr>
              <w:t>供应商</w:t>
            </w:r>
            <w:r>
              <w:rPr>
                <w:rFonts w:hint="eastAsia"/>
                <w:color w:val="000000" w:themeColor="text1"/>
                <w:szCs w:val="21"/>
              </w:rPr>
              <w:t>承担。图书加工的具体要求：</w:t>
            </w:r>
          </w:p>
          <w:p w14:paraId="403721F6">
            <w:pPr>
              <w:spacing w:line="300" w:lineRule="exact"/>
              <w:ind w:firstLine="420" w:firstLineChars="200"/>
              <w:rPr>
                <w:color w:val="000000" w:themeColor="text1"/>
                <w:szCs w:val="21"/>
              </w:rPr>
            </w:pPr>
            <w:r>
              <w:rPr>
                <w:rFonts w:hint="eastAsia"/>
                <w:color w:val="000000" w:themeColor="text1"/>
                <w:szCs w:val="21"/>
              </w:rPr>
              <w:t>1.图书到馆前</w:t>
            </w:r>
            <w:r>
              <w:rPr>
                <w:rFonts w:hint="eastAsia"/>
                <w:color w:val="000000" w:themeColor="text1"/>
                <w:szCs w:val="21"/>
                <w:lang w:eastAsia="zh-CN"/>
              </w:rPr>
              <w:t>供应商</w:t>
            </w:r>
            <w:r>
              <w:rPr>
                <w:rFonts w:hint="eastAsia"/>
                <w:color w:val="000000" w:themeColor="text1"/>
                <w:szCs w:val="21"/>
              </w:rPr>
              <w:t>必须完成的加工要求：</w:t>
            </w:r>
          </w:p>
          <w:p w14:paraId="7AB16444">
            <w:pPr>
              <w:spacing w:line="300" w:lineRule="exact"/>
              <w:ind w:firstLine="210" w:firstLineChars="100"/>
              <w:rPr>
                <w:color w:val="000000" w:themeColor="text1"/>
                <w:szCs w:val="21"/>
              </w:rPr>
            </w:pPr>
            <w:r>
              <w:rPr>
                <w:rFonts w:hint="eastAsia"/>
                <w:color w:val="000000" w:themeColor="text1"/>
                <w:szCs w:val="21"/>
              </w:rPr>
              <w:t>（1）每册图书加盖采购人馆藏章三个：第一个盖书名页，第二个盖书中第20页，第三个盖书口，不能覆盖文字内容；</w:t>
            </w:r>
          </w:p>
          <w:p w14:paraId="09FCB97E">
            <w:pPr>
              <w:spacing w:line="300" w:lineRule="exact"/>
              <w:ind w:firstLine="210" w:firstLineChars="100"/>
              <w:rPr>
                <w:color w:val="000000" w:themeColor="text1"/>
                <w:szCs w:val="21"/>
              </w:rPr>
            </w:pPr>
            <w:r>
              <w:rPr>
                <w:rFonts w:hint="eastAsia"/>
                <w:color w:val="000000" w:themeColor="text1"/>
                <w:szCs w:val="21"/>
              </w:rPr>
              <w:t>（2）每册图书粘贴不干胶条形码（耐磨、抗刮），条形码一号两张,第一张贴在书名页的藏书章下面；第二张若版权页在书的后面，则贴在版权页的空白处，若版权页不在书的后面，则贴在最后一页的空白处。同一种书的条形码号一定要连续，并在清单上注明条形码的起止号。条形码的样式及起止段由采购人提供。</w:t>
            </w:r>
          </w:p>
          <w:p w14:paraId="7BFD7B6E">
            <w:pPr>
              <w:spacing w:line="300" w:lineRule="exact"/>
              <w:ind w:firstLine="210" w:firstLineChars="100"/>
              <w:rPr>
                <w:color w:val="000000" w:themeColor="text1"/>
                <w:szCs w:val="21"/>
              </w:rPr>
            </w:pPr>
            <w:r>
              <w:rPr>
                <w:rFonts w:hint="eastAsia"/>
                <w:color w:val="000000" w:themeColor="text1"/>
                <w:szCs w:val="21"/>
              </w:rPr>
              <w:t>（3）使用粘合性好、长16cm的钴基不干胶可充消磁条。粘合以不易被发现为要求，具体如下：</w:t>
            </w:r>
          </w:p>
          <w:p w14:paraId="4AC52663">
            <w:pPr>
              <w:spacing w:line="300" w:lineRule="exact"/>
              <w:ind w:firstLine="420" w:firstLineChars="200"/>
              <w:rPr>
                <w:color w:val="000000" w:themeColor="text1"/>
                <w:szCs w:val="21"/>
              </w:rPr>
            </w:pPr>
            <w:r>
              <w:rPr>
                <w:rFonts w:hint="eastAsia"/>
                <w:color w:val="000000" w:themeColor="text1"/>
                <w:szCs w:val="21"/>
              </w:rPr>
              <w:t>①粘贴时，大约放在从封面向后数约30页处；夹贴在靠书脊的书缝里。</w:t>
            </w:r>
          </w:p>
          <w:p w14:paraId="0A64E358">
            <w:pPr>
              <w:spacing w:line="300" w:lineRule="exact"/>
              <w:ind w:firstLine="420" w:firstLineChars="200"/>
              <w:rPr>
                <w:color w:val="000000" w:themeColor="text1"/>
                <w:szCs w:val="21"/>
              </w:rPr>
            </w:pPr>
            <w:r>
              <w:rPr>
                <w:rFonts w:hint="eastAsia"/>
                <w:color w:val="000000" w:themeColor="text1"/>
                <w:szCs w:val="21"/>
              </w:rPr>
              <w:t>②夹贴磁条前须对图书进行检查，确认无永久性磁条，对夹贴磁条后的图书要进行复查，确保无遗漏。</w:t>
            </w:r>
          </w:p>
          <w:p w14:paraId="3918EC13">
            <w:pPr>
              <w:spacing w:line="300" w:lineRule="exact"/>
              <w:ind w:firstLine="420" w:firstLineChars="200"/>
              <w:rPr>
                <w:color w:val="000000" w:themeColor="text1"/>
                <w:szCs w:val="21"/>
              </w:rPr>
            </w:pPr>
            <w:r>
              <w:rPr>
                <w:rFonts w:hint="eastAsia"/>
                <w:color w:val="000000" w:themeColor="text1"/>
                <w:szCs w:val="21"/>
              </w:rPr>
              <w:t>2.图书到馆后必须完成的加工要求：</w:t>
            </w:r>
          </w:p>
          <w:p w14:paraId="2443223F">
            <w:pPr>
              <w:spacing w:line="300" w:lineRule="exact"/>
              <w:ind w:firstLine="315" w:firstLineChars="150"/>
              <w:rPr>
                <w:color w:val="000000" w:themeColor="text1"/>
                <w:szCs w:val="21"/>
              </w:rPr>
            </w:pPr>
            <w:r>
              <w:rPr>
                <w:rFonts w:hint="eastAsia"/>
                <w:color w:val="000000" w:themeColor="text1"/>
                <w:szCs w:val="21"/>
              </w:rPr>
              <w:t>（1）</w:t>
            </w:r>
            <w:r>
              <w:rPr>
                <w:rFonts w:hint="eastAsia"/>
                <w:color w:val="000000" w:themeColor="text1"/>
                <w:szCs w:val="21"/>
                <w:lang w:eastAsia="zh-CN"/>
              </w:rPr>
              <w:t>供应商</w:t>
            </w:r>
            <w:r>
              <w:rPr>
                <w:rFonts w:hint="eastAsia"/>
                <w:color w:val="000000" w:themeColor="text1"/>
                <w:szCs w:val="21"/>
              </w:rPr>
              <w:t>在新书到馆3工作日内必须派出熟练的编目人员进入采购人的图书馆管理系统进行分类编目。图书分类采用《中国图书馆分类法（第五版）》、《广西财经学院图书馆图书分类细则》，编目按《中文普通图书著录规则GB3792.2-85》、《广西财经学院图书馆图书编目细则》、《新版中国机读目录格式使用手册》著录。</w:t>
            </w:r>
          </w:p>
          <w:p w14:paraId="76D4EEDA">
            <w:pPr>
              <w:spacing w:line="300" w:lineRule="exact"/>
              <w:ind w:firstLine="315" w:firstLineChars="150"/>
              <w:rPr>
                <w:color w:val="000000" w:themeColor="text1"/>
                <w:szCs w:val="21"/>
              </w:rPr>
            </w:pPr>
            <w:r>
              <w:rPr>
                <w:rFonts w:hint="eastAsia"/>
                <w:color w:val="000000" w:themeColor="text1"/>
                <w:szCs w:val="21"/>
              </w:rPr>
              <w:t>（2）每册图书粘贴不干胶书标一枚、保护膜一张，贴在书脊下（末）端，书标的样式由采购人提供，加工费和材料费由</w:t>
            </w:r>
            <w:r>
              <w:rPr>
                <w:rFonts w:hint="eastAsia"/>
                <w:color w:val="000000" w:themeColor="text1"/>
                <w:szCs w:val="21"/>
                <w:lang w:eastAsia="zh-CN"/>
              </w:rPr>
              <w:t>供应商</w:t>
            </w:r>
            <w:r>
              <w:rPr>
                <w:rFonts w:hint="eastAsia"/>
                <w:color w:val="000000" w:themeColor="text1"/>
                <w:szCs w:val="21"/>
              </w:rPr>
              <w:t>承担。</w:t>
            </w:r>
          </w:p>
          <w:p w14:paraId="06073365">
            <w:pPr>
              <w:spacing w:line="300" w:lineRule="exact"/>
              <w:ind w:firstLine="315" w:firstLineChars="150"/>
              <w:rPr>
                <w:color w:val="000000" w:themeColor="text1"/>
                <w:szCs w:val="21"/>
              </w:rPr>
            </w:pPr>
            <w:r>
              <w:rPr>
                <w:rFonts w:hint="eastAsia"/>
                <w:color w:val="000000" w:themeColor="text1"/>
                <w:szCs w:val="21"/>
              </w:rPr>
              <w:t>（3）按照采购人要求粘贴超高频RFID无源标签并负责标签转换。粘合以不易发现为原则，每本图书按采购人指定位置粘贴1根，加工费和材料费由</w:t>
            </w:r>
            <w:r>
              <w:rPr>
                <w:rFonts w:hint="eastAsia"/>
                <w:color w:val="000000" w:themeColor="text1"/>
                <w:szCs w:val="21"/>
                <w:lang w:eastAsia="zh-CN"/>
              </w:rPr>
              <w:t>供应商</w:t>
            </w:r>
            <w:r>
              <w:rPr>
                <w:rFonts w:hint="eastAsia"/>
                <w:color w:val="000000" w:themeColor="text1"/>
                <w:szCs w:val="21"/>
              </w:rPr>
              <w:t>承担。</w:t>
            </w:r>
            <w:r>
              <w:rPr>
                <w:rFonts w:hint="eastAsia"/>
                <w:color w:val="000000" w:themeColor="text1"/>
                <w:szCs w:val="21"/>
                <w:lang w:eastAsia="zh-CN"/>
              </w:rPr>
              <w:t>供应商</w:t>
            </w:r>
            <w:r>
              <w:rPr>
                <w:rFonts w:hint="eastAsia"/>
                <w:color w:val="000000" w:themeColor="text1"/>
                <w:szCs w:val="21"/>
              </w:rPr>
              <w:t>提供的超高频RFID无源标签技术参数（附件二）必须满足采购人的要求。</w:t>
            </w:r>
          </w:p>
          <w:p w14:paraId="24C6FCBA">
            <w:pPr>
              <w:spacing w:line="300" w:lineRule="exact"/>
              <w:ind w:firstLine="420" w:firstLineChars="200"/>
              <w:rPr>
                <w:color w:val="000000" w:themeColor="text1"/>
                <w:szCs w:val="21"/>
              </w:rPr>
            </w:pPr>
            <w:r>
              <w:rPr>
                <w:rFonts w:hint="eastAsia"/>
                <w:color w:val="000000" w:themeColor="text1"/>
                <w:szCs w:val="21"/>
              </w:rPr>
              <w:t>具体要求：</w:t>
            </w:r>
          </w:p>
          <w:p w14:paraId="23D97B1A">
            <w:pPr>
              <w:spacing w:line="300" w:lineRule="exact"/>
              <w:ind w:firstLine="420" w:firstLineChars="200"/>
              <w:rPr>
                <w:color w:val="000000" w:themeColor="text1"/>
                <w:szCs w:val="21"/>
              </w:rPr>
            </w:pPr>
            <w:r>
              <w:rPr>
                <w:rFonts w:hint="eastAsia"/>
                <w:color w:val="000000" w:themeColor="text1"/>
                <w:szCs w:val="21"/>
              </w:rPr>
              <w:t>①粘贴时，大约放在从封底向前数5-10页内（不能与可充消磁条粘贴在同一位置）；夹贴在靠书脊下（末）端的书缝里。</w:t>
            </w:r>
          </w:p>
          <w:p w14:paraId="6CD0F291">
            <w:pPr>
              <w:spacing w:line="300" w:lineRule="exact"/>
              <w:ind w:firstLine="420" w:firstLineChars="200"/>
              <w:rPr>
                <w:color w:val="000000" w:themeColor="text1"/>
                <w:szCs w:val="21"/>
              </w:rPr>
            </w:pPr>
            <w:r>
              <w:rPr>
                <w:rFonts w:hint="eastAsia"/>
                <w:color w:val="000000" w:themeColor="text1"/>
                <w:szCs w:val="21"/>
              </w:rPr>
              <w:t>②对夹贴超高频RFID无源标签后的每本图书要复查，并进行标签转换，确保无遗漏。</w:t>
            </w:r>
          </w:p>
          <w:p w14:paraId="5EF86447">
            <w:pPr>
              <w:spacing w:line="300" w:lineRule="exact"/>
              <w:ind w:firstLine="420" w:firstLineChars="200"/>
              <w:rPr>
                <w:color w:val="000000" w:themeColor="text1"/>
                <w:szCs w:val="21"/>
              </w:rPr>
            </w:pPr>
            <w:r>
              <w:rPr>
                <w:rFonts w:hint="eastAsia"/>
                <w:color w:val="000000" w:themeColor="text1"/>
                <w:szCs w:val="21"/>
              </w:rPr>
              <w:t>（4）</w:t>
            </w:r>
            <w:r>
              <w:rPr>
                <w:rFonts w:hint="eastAsia"/>
                <w:color w:val="000000" w:themeColor="text1"/>
                <w:szCs w:val="21"/>
                <w:lang w:eastAsia="zh-CN"/>
              </w:rPr>
              <w:t>供应商</w:t>
            </w:r>
            <w:r>
              <w:rPr>
                <w:rFonts w:hint="eastAsia"/>
                <w:color w:val="000000" w:themeColor="text1"/>
                <w:szCs w:val="21"/>
              </w:rPr>
              <w:t>负责将已完成加工的图书运送到采购人指定的地点和书库，运输费和搬运费由</w:t>
            </w:r>
            <w:r>
              <w:rPr>
                <w:rFonts w:hint="eastAsia"/>
                <w:color w:val="000000" w:themeColor="text1"/>
                <w:szCs w:val="21"/>
                <w:lang w:eastAsia="zh-CN"/>
              </w:rPr>
              <w:t>供应商</w:t>
            </w:r>
            <w:r>
              <w:rPr>
                <w:rFonts w:hint="eastAsia"/>
                <w:color w:val="000000" w:themeColor="text1"/>
                <w:szCs w:val="21"/>
              </w:rPr>
              <w:t>承担。</w:t>
            </w:r>
          </w:p>
          <w:p w14:paraId="3B928AE0">
            <w:pPr>
              <w:spacing w:line="300" w:lineRule="exact"/>
              <w:ind w:firstLine="420" w:firstLineChars="200"/>
              <w:rPr>
                <w:color w:val="000000" w:themeColor="text1"/>
                <w:szCs w:val="21"/>
              </w:rPr>
            </w:pPr>
            <w:r>
              <w:rPr>
                <w:rFonts w:hint="eastAsia"/>
                <w:color w:val="000000" w:themeColor="text1"/>
                <w:szCs w:val="21"/>
              </w:rPr>
              <w:t>（5）</w:t>
            </w:r>
            <w:r>
              <w:rPr>
                <w:rFonts w:hint="eastAsia"/>
                <w:color w:val="000000" w:themeColor="text1"/>
                <w:szCs w:val="21"/>
                <w:lang w:eastAsia="zh-CN"/>
              </w:rPr>
              <w:t>供应商</w:t>
            </w:r>
            <w:r>
              <w:rPr>
                <w:rFonts w:hint="eastAsia"/>
                <w:color w:val="000000" w:themeColor="text1"/>
                <w:szCs w:val="21"/>
              </w:rPr>
              <w:t>负责按照采购人的要求使用RFID盘点车对已完成加工的图书进行上架、排架、定位及顺架（RFID盘点车由采购人负责免费提供）。</w:t>
            </w:r>
          </w:p>
          <w:p w14:paraId="2B643ECE">
            <w:pPr>
              <w:autoSpaceDE w:val="0"/>
              <w:autoSpaceDN w:val="0"/>
              <w:adjustRightInd w:val="0"/>
              <w:spacing w:line="300" w:lineRule="exact"/>
              <w:ind w:firstLine="420" w:firstLineChars="200"/>
              <w:jc w:val="left"/>
              <w:rPr>
                <w:color w:val="000000" w:themeColor="text1"/>
                <w:szCs w:val="21"/>
              </w:rPr>
            </w:pPr>
            <w:r>
              <w:rPr>
                <w:rFonts w:hint="eastAsia"/>
                <w:color w:val="000000" w:themeColor="text1"/>
                <w:szCs w:val="21"/>
              </w:rPr>
              <w:t>（6）采购人可视具体情况选择是否提供加工场地，</w:t>
            </w:r>
            <w:r>
              <w:rPr>
                <w:rFonts w:hint="eastAsia"/>
                <w:color w:val="000000" w:themeColor="text1"/>
                <w:szCs w:val="21"/>
                <w:lang w:eastAsia="zh-CN"/>
              </w:rPr>
              <w:t>供应商</w:t>
            </w:r>
            <w:r>
              <w:rPr>
                <w:rFonts w:hint="eastAsia"/>
                <w:color w:val="000000" w:themeColor="text1"/>
                <w:szCs w:val="21"/>
              </w:rPr>
              <w:t>完成后期加工有困难可采用委托的方式（另行协商）。</w:t>
            </w:r>
          </w:p>
          <w:p w14:paraId="60748079">
            <w:pPr>
              <w:spacing w:line="300" w:lineRule="exact"/>
              <w:ind w:firstLine="422" w:firstLineChars="200"/>
              <w:rPr>
                <w:b/>
                <w:color w:val="000000" w:themeColor="text1"/>
                <w:szCs w:val="21"/>
              </w:rPr>
            </w:pPr>
          </w:p>
          <w:p w14:paraId="21C5F48C">
            <w:pPr>
              <w:spacing w:line="300" w:lineRule="exact"/>
              <w:jc w:val="left"/>
              <w:rPr>
                <w:b/>
                <w:color w:val="000000" w:themeColor="text1"/>
                <w:szCs w:val="21"/>
              </w:rPr>
            </w:pPr>
            <w:r>
              <w:rPr>
                <w:rFonts w:hint="eastAsia"/>
                <w:color w:val="000000" w:themeColor="text1"/>
              </w:rPr>
              <w:t>★</w:t>
            </w:r>
            <w:r>
              <w:rPr>
                <w:rFonts w:hint="eastAsia"/>
                <w:b/>
                <w:color w:val="000000" w:themeColor="text1"/>
                <w:szCs w:val="21"/>
              </w:rPr>
              <w:t>附件二：超高频RFID无源标签参数要求</w:t>
            </w:r>
          </w:p>
          <w:p w14:paraId="3C62469F">
            <w:pPr>
              <w:ind w:firstLine="420" w:firstLineChars="200"/>
              <w:rPr>
                <w:color w:val="000000" w:themeColor="text1"/>
              </w:rPr>
            </w:pPr>
            <w:r>
              <w:rPr>
                <w:rFonts w:hint="eastAsia"/>
                <w:color w:val="000000" w:themeColor="text1"/>
              </w:rPr>
              <w:t>1.标签为无源超高频标签，工作频率：860～960MHz（通用于全球UHF超高频频段），须符合国际相关行业标准.ISO18000-6C标准，具有良好的互换性与兼容性；</w:t>
            </w:r>
          </w:p>
          <w:p w14:paraId="2CE96EA9">
            <w:pPr>
              <w:ind w:firstLine="420" w:firstLineChars="200"/>
              <w:rPr>
                <w:color w:val="000000" w:themeColor="text1"/>
              </w:rPr>
            </w:pPr>
            <w:r>
              <w:rPr>
                <w:rFonts w:hint="eastAsia"/>
                <w:color w:val="000000" w:themeColor="text1"/>
              </w:rPr>
              <w:t>2.标签中有存储器，存储在其中的信息可重复读、写；</w:t>
            </w:r>
          </w:p>
          <w:p w14:paraId="57096D89">
            <w:pPr>
              <w:ind w:firstLine="420" w:firstLineChars="200"/>
              <w:rPr>
                <w:color w:val="000000" w:themeColor="text1"/>
              </w:rPr>
            </w:pPr>
            <w:r>
              <w:rPr>
                <w:rFonts w:hint="eastAsia"/>
                <w:color w:val="000000" w:themeColor="text1"/>
              </w:rPr>
              <w:t>3.标签可以非接触式的读取和写入；</w:t>
            </w:r>
          </w:p>
          <w:p w14:paraId="36D648E6">
            <w:pPr>
              <w:ind w:firstLine="420" w:firstLineChars="200"/>
              <w:rPr>
                <w:color w:val="000000" w:themeColor="text1"/>
              </w:rPr>
            </w:pPr>
            <w:r>
              <w:rPr>
                <w:rFonts w:hint="eastAsia"/>
                <w:color w:val="000000" w:themeColor="text1"/>
              </w:rPr>
              <w:t>4.标签具有一定的抗冲突性，能保证多个标签的同时可靠识别；</w:t>
            </w:r>
          </w:p>
          <w:p w14:paraId="573052DD">
            <w:pPr>
              <w:ind w:firstLine="420" w:firstLineChars="200"/>
              <w:rPr>
                <w:color w:val="000000" w:themeColor="text1"/>
              </w:rPr>
            </w:pPr>
            <w:r>
              <w:rPr>
                <w:rFonts w:hint="eastAsia"/>
                <w:color w:val="000000" w:themeColor="text1"/>
              </w:rPr>
              <w:t>5.提供密码保护，防止存储在其中的信息资料被非法改写；</w:t>
            </w:r>
          </w:p>
          <w:p w14:paraId="734E188A">
            <w:pPr>
              <w:ind w:firstLine="420" w:firstLineChars="200"/>
              <w:rPr>
                <w:color w:val="000000" w:themeColor="text1"/>
              </w:rPr>
            </w:pPr>
            <w:r>
              <w:rPr>
                <w:rFonts w:hint="eastAsia"/>
                <w:color w:val="000000" w:themeColor="text1"/>
              </w:rPr>
              <w:t>6.具有不可改写的96位唯一序列号（UID）；</w:t>
            </w:r>
          </w:p>
          <w:p w14:paraId="2F7D62F1">
            <w:pPr>
              <w:ind w:firstLine="420" w:firstLineChars="200"/>
              <w:rPr>
                <w:rFonts w:hint="eastAsia" w:eastAsia="宋体"/>
                <w:color w:val="000000" w:themeColor="text1"/>
                <w:lang w:eastAsia="zh-CN"/>
              </w:rPr>
            </w:pPr>
            <w:r>
              <w:rPr>
                <w:rFonts w:hint="eastAsia"/>
                <w:color w:val="000000" w:themeColor="text1"/>
              </w:rPr>
              <w:t>7.图书标签采用AFI或者EAS位作为防盗的安全标志方法。</w:t>
            </w:r>
          </w:p>
          <w:p w14:paraId="262F2357">
            <w:pPr>
              <w:ind w:firstLine="420" w:firstLineChars="200"/>
              <w:rPr>
                <w:rFonts w:hint="eastAsia" w:eastAsia="宋体"/>
                <w:color w:val="000000" w:themeColor="text1"/>
                <w:lang w:eastAsia="zh-CN"/>
              </w:rPr>
            </w:pPr>
            <w:r>
              <w:rPr>
                <w:rFonts w:hint="eastAsia"/>
                <w:color w:val="000000" w:themeColor="text1"/>
              </w:rPr>
              <w:t>8.标签粘贴隐蔽，粘贴到位后不易撕毁、脱落，安装于图书内页夹缝中，要求大小：不超过长104mm±2%，宽.5mm±5%，厚0.28mm±5%；</w:t>
            </w:r>
          </w:p>
          <w:p w14:paraId="0ADC9FE9">
            <w:pPr>
              <w:ind w:firstLine="420" w:firstLineChars="200"/>
              <w:rPr>
                <w:rFonts w:hint="eastAsia" w:eastAsia="宋体"/>
                <w:color w:val="000000" w:themeColor="text1"/>
                <w:lang w:eastAsia="zh-CN"/>
              </w:rPr>
            </w:pPr>
            <w:r>
              <w:rPr>
                <w:rFonts w:hint="eastAsia"/>
                <w:color w:val="000000" w:themeColor="text1"/>
              </w:rPr>
              <w:t>9.超高频标签通过静电放电抗扰度试验检测，符合《GB/T17626.2-2006》相关标准，供货时提供CNAS认证机构出具的相关检测报告复印件加盖竞标人公章。</w:t>
            </w:r>
          </w:p>
          <w:p w14:paraId="2D49BE42">
            <w:pPr>
              <w:ind w:firstLine="420" w:firstLineChars="200"/>
              <w:rPr>
                <w:rFonts w:hint="eastAsia" w:eastAsia="宋体"/>
                <w:color w:val="000000" w:themeColor="text1"/>
                <w:lang w:eastAsia="zh-CN"/>
              </w:rPr>
            </w:pPr>
            <w:r>
              <w:rPr>
                <w:rFonts w:hint="eastAsia"/>
                <w:color w:val="000000" w:themeColor="text1"/>
              </w:rPr>
              <w:t>10.超高频标签通过环境试验，符合《GB/T2423.1》及《GB/T2423.2》相关准，供货提供CNAS认证机构出具的相关检测报告复印件加盖公章。</w:t>
            </w:r>
          </w:p>
          <w:p w14:paraId="6A37A63C">
            <w:pPr>
              <w:ind w:firstLine="420" w:firstLineChars="200"/>
              <w:rPr>
                <w:color w:val="000000" w:themeColor="text1"/>
              </w:rPr>
            </w:pPr>
            <w:r>
              <w:rPr>
                <w:rFonts w:hint="eastAsia"/>
                <w:color w:val="000000" w:themeColor="text1"/>
              </w:rPr>
              <w:t>11.电子标签与采购人原使用的标签一致。</w:t>
            </w:r>
          </w:p>
          <w:p w14:paraId="64DC0C08">
            <w:pPr>
              <w:ind w:firstLine="420" w:firstLineChars="200"/>
              <w:rPr>
                <w:color w:val="000000" w:themeColor="text1"/>
              </w:rPr>
            </w:pPr>
            <w:r>
              <w:rPr>
                <w:rFonts w:hint="eastAsia"/>
                <w:color w:val="000000" w:themeColor="text1"/>
              </w:rPr>
              <w:t>12.标签粘贴隐蔽，粘贴到位后不易撕毁、脱落，安装于图书内页夹缝中；</w:t>
            </w:r>
          </w:p>
          <w:p w14:paraId="21BEC784">
            <w:pPr>
              <w:ind w:firstLine="420" w:firstLineChars="200"/>
              <w:rPr>
                <w:color w:val="000000" w:themeColor="text1"/>
              </w:rPr>
            </w:pPr>
            <w:r>
              <w:rPr>
                <w:rFonts w:hint="eastAsia"/>
                <w:color w:val="000000" w:themeColor="text1"/>
              </w:rPr>
              <w:t>13.标签存储空间：≥768bit；</w:t>
            </w:r>
          </w:p>
          <w:p w14:paraId="0C1F7B0C">
            <w:pPr>
              <w:ind w:firstLine="420" w:firstLineChars="200"/>
              <w:rPr>
                <w:color w:val="000000" w:themeColor="text1"/>
              </w:rPr>
            </w:pPr>
            <w:r>
              <w:rPr>
                <w:rFonts w:hint="eastAsia"/>
                <w:color w:val="000000" w:themeColor="text1"/>
              </w:rPr>
              <w:t>14.有效识读距离：符合自助借还、书架、安全门等设备读取要求；</w:t>
            </w:r>
          </w:p>
          <w:p w14:paraId="3C6B362F">
            <w:pPr>
              <w:ind w:firstLine="420" w:firstLineChars="200"/>
            </w:pPr>
            <w:r>
              <w:rPr>
                <w:rFonts w:hint="eastAsia"/>
                <w:color w:val="000000" w:themeColor="text1"/>
              </w:rPr>
              <w:t>15.有效使用寿命：图书正常的借阅、弯折，可以使用10年以上；内存可擦写100,000次以上。</w:t>
            </w:r>
          </w:p>
        </w:tc>
        <w:tc>
          <w:tcPr>
            <w:tcW w:w="1272" w:type="dxa"/>
            <w:tcBorders>
              <w:top w:val="single" w:color="auto" w:sz="4" w:space="0"/>
              <w:left w:val="single" w:color="auto" w:sz="4" w:space="0"/>
              <w:bottom w:val="single" w:color="auto" w:sz="4" w:space="0"/>
              <w:right w:val="single" w:color="auto" w:sz="4" w:space="0"/>
            </w:tcBorders>
            <w:vAlign w:val="center"/>
          </w:tcPr>
          <w:p w14:paraId="167B7F71">
            <w:pPr>
              <w:autoSpaceDE w:val="0"/>
              <w:autoSpaceDN w:val="0"/>
              <w:adjustRightInd w:val="0"/>
              <w:spacing w:line="24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295000.00</w:t>
            </w:r>
          </w:p>
        </w:tc>
        <w:tc>
          <w:tcPr>
            <w:tcW w:w="480" w:type="dxa"/>
            <w:tcBorders>
              <w:top w:val="single" w:color="auto" w:sz="4" w:space="0"/>
              <w:left w:val="single" w:color="auto" w:sz="4" w:space="0"/>
              <w:bottom w:val="single" w:color="auto" w:sz="4" w:space="0"/>
              <w:right w:val="single" w:color="auto" w:sz="4" w:space="0"/>
            </w:tcBorders>
            <w:vAlign w:val="center"/>
          </w:tcPr>
          <w:p w14:paraId="22915FC6">
            <w:pPr>
              <w:autoSpaceDE w:val="0"/>
              <w:autoSpaceDN w:val="0"/>
              <w:adjustRightInd w:val="0"/>
              <w:spacing w:line="360" w:lineRule="auto"/>
              <w:jc w:val="left"/>
              <w:rPr>
                <w:rFonts w:ascii="宋体" w:hAnsi="宋体" w:cs="宋体"/>
                <w:color w:val="000000" w:themeColor="text1"/>
                <w:kern w:val="0"/>
                <w:szCs w:val="21"/>
              </w:rPr>
            </w:pPr>
          </w:p>
        </w:tc>
        <w:tc>
          <w:tcPr>
            <w:tcW w:w="564" w:type="dxa"/>
            <w:tcBorders>
              <w:top w:val="single" w:color="auto" w:sz="4" w:space="0"/>
              <w:left w:val="single" w:color="auto" w:sz="4" w:space="0"/>
              <w:bottom w:val="single" w:color="auto" w:sz="4" w:space="0"/>
              <w:right w:val="single" w:color="auto" w:sz="4" w:space="0"/>
            </w:tcBorders>
            <w:vAlign w:val="center"/>
          </w:tcPr>
          <w:p w14:paraId="7073A60B">
            <w:pPr>
              <w:autoSpaceDE w:val="0"/>
              <w:autoSpaceDN w:val="0"/>
              <w:adjustRightInd w:val="0"/>
              <w:spacing w:line="360" w:lineRule="auto"/>
              <w:ind w:firstLine="420" w:firstLineChars="200"/>
              <w:jc w:val="left"/>
              <w:rPr>
                <w:rFonts w:ascii="宋体" w:hAnsi="宋体" w:cs="宋体"/>
                <w:color w:val="000000" w:themeColor="text1"/>
                <w:kern w:val="0"/>
                <w:szCs w:val="21"/>
              </w:rPr>
            </w:pPr>
          </w:p>
        </w:tc>
        <w:tc>
          <w:tcPr>
            <w:tcW w:w="454" w:type="dxa"/>
            <w:tcBorders>
              <w:top w:val="single" w:color="auto" w:sz="4" w:space="0"/>
              <w:left w:val="single" w:color="auto" w:sz="4" w:space="0"/>
              <w:bottom w:val="single" w:color="auto" w:sz="4" w:space="0"/>
              <w:right w:val="single" w:color="auto" w:sz="4" w:space="0"/>
            </w:tcBorders>
            <w:vAlign w:val="center"/>
          </w:tcPr>
          <w:p w14:paraId="2577270D">
            <w:pPr>
              <w:autoSpaceDE w:val="0"/>
              <w:autoSpaceDN w:val="0"/>
              <w:adjustRightInd w:val="0"/>
              <w:spacing w:line="360" w:lineRule="auto"/>
              <w:ind w:firstLine="420" w:firstLineChars="200"/>
              <w:jc w:val="left"/>
              <w:rPr>
                <w:rFonts w:ascii="宋体" w:hAnsi="宋体" w:cs="宋体"/>
                <w:color w:val="000000" w:themeColor="text1"/>
                <w:kern w:val="0"/>
                <w:szCs w:val="21"/>
              </w:rPr>
            </w:pPr>
          </w:p>
        </w:tc>
      </w:tr>
      <w:tr w14:paraId="13921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9848" w:type="dxa"/>
            <w:gridSpan w:val="10"/>
            <w:tcBorders>
              <w:top w:val="single" w:color="auto" w:sz="4" w:space="0"/>
              <w:left w:val="single" w:color="auto" w:sz="4" w:space="0"/>
              <w:bottom w:val="single" w:color="auto" w:sz="4" w:space="0"/>
              <w:right w:val="single" w:color="auto" w:sz="4" w:space="0"/>
            </w:tcBorders>
            <w:vAlign w:val="center"/>
          </w:tcPr>
          <w:p w14:paraId="0742CA4F">
            <w:pPr>
              <w:autoSpaceDE w:val="0"/>
              <w:autoSpaceDN w:val="0"/>
              <w:adjustRightInd w:val="0"/>
              <w:spacing w:line="360" w:lineRule="auto"/>
              <w:jc w:val="left"/>
              <w:rPr>
                <w:rFonts w:ascii="宋体" w:hAnsi="宋体" w:cs="TimesNewRomanPSMT"/>
                <w:b/>
                <w:color w:val="000000" w:themeColor="text1"/>
                <w:kern w:val="0"/>
                <w:szCs w:val="21"/>
              </w:rPr>
            </w:pPr>
            <w:r>
              <w:rPr>
                <w:rFonts w:hint="eastAsia" w:ascii="宋体" w:hAnsi="宋体" w:cs="TimesNewRomanPSMT"/>
                <w:b/>
                <w:color w:val="000000" w:themeColor="text1"/>
                <w:kern w:val="0"/>
                <w:szCs w:val="21"/>
              </w:rPr>
              <w:t>二、商务要求：</w:t>
            </w:r>
          </w:p>
        </w:tc>
      </w:tr>
      <w:tr w14:paraId="7D0BF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6379772B">
            <w:pPr>
              <w:autoSpaceDE w:val="0"/>
              <w:autoSpaceDN w:val="0"/>
              <w:adjustRightInd w:val="0"/>
              <w:spacing w:line="36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要求名称</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1907B099">
            <w:pPr>
              <w:autoSpaceDE w:val="0"/>
              <w:autoSpaceDN w:val="0"/>
              <w:adjustRightInd w:val="0"/>
              <w:spacing w:line="36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要求内容</w:t>
            </w:r>
          </w:p>
        </w:tc>
        <w:tc>
          <w:tcPr>
            <w:tcW w:w="480" w:type="dxa"/>
            <w:tcBorders>
              <w:top w:val="single" w:color="auto" w:sz="4" w:space="0"/>
              <w:left w:val="single" w:color="auto" w:sz="4" w:space="0"/>
              <w:bottom w:val="single" w:color="auto" w:sz="4" w:space="0"/>
              <w:right w:val="single" w:color="auto" w:sz="4" w:space="0"/>
            </w:tcBorders>
            <w:vAlign w:val="center"/>
          </w:tcPr>
          <w:p w14:paraId="5768D42D">
            <w:pPr>
              <w:autoSpaceDE w:val="0"/>
              <w:autoSpaceDN w:val="0"/>
              <w:adjustRightInd w:val="0"/>
              <w:spacing w:line="240" w:lineRule="auto"/>
              <w:jc w:val="center"/>
              <w:rPr>
                <w:rFonts w:ascii="宋体" w:hAnsi="宋体" w:cs="宋体"/>
                <w:color w:val="000000" w:themeColor="text1"/>
                <w:kern w:val="0"/>
                <w:szCs w:val="21"/>
              </w:rPr>
            </w:pPr>
            <w:r>
              <w:rPr>
                <w:rFonts w:hint="eastAsia" w:ascii="宋体" w:hAnsi="宋体" w:cs="宋体"/>
                <w:szCs w:val="21"/>
              </w:rPr>
              <w:t>是否响应</w:t>
            </w:r>
          </w:p>
        </w:tc>
        <w:tc>
          <w:tcPr>
            <w:tcW w:w="1018" w:type="dxa"/>
            <w:gridSpan w:val="2"/>
            <w:tcBorders>
              <w:top w:val="single" w:color="auto" w:sz="4" w:space="0"/>
              <w:left w:val="single" w:color="auto" w:sz="4" w:space="0"/>
              <w:bottom w:val="single" w:color="auto" w:sz="4" w:space="0"/>
              <w:right w:val="single" w:color="auto" w:sz="4" w:space="0"/>
            </w:tcBorders>
            <w:vAlign w:val="center"/>
          </w:tcPr>
          <w:p w14:paraId="37EEF544">
            <w:pPr>
              <w:autoSpaceDE w:val="0"/>
              <w:autoSpaceDN w:val="0"/>
              <w:adjustRightInd w:val="0"/>
              <w:spacing w:line="36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备注</w:t>
            </w:r>
          </w:p>
        </w:tc>
      </w:tr>
      <w:tr w14:paraId="3865B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0168C09B">
            <w:pPr>
              <w:autoSpaceDE w:val="0"/>
              <w:autoSpaceDN w:val="0"/>
              <w:adjustRightInd w:val="0"/>
              <w:spacing w:line="240" w:lineRule="auto"/>
              <w:jc w:val="center"/>
              <w:rPr>
                <w:rFonts w:ascii="宋体" w:hAnsi="宋体" w:cs="宋体"/>
                <w:color w:val="000000" w:themeColor="text1"/>
                <w:kern w:val="0"/>
                <w:szCs w:val="21"/>
              </w:rPr>
            </w:pPr>
            <w:r>
              <w:rPr>
                <w:rFonts w:hint="eastAsia"/>
                <w:color w:val="000000" w:themeColor="text1"/>
              </w:rPr>
              <w:t>★</w:t>
            </w:r>
            <w:r>
              <w:rPr>
                <w:rFonts w:hint="eastAsia" w:ascii="宋体" w:hAnsi="宋体" w:cs="宋体"/>
                <w:color w:val="000000" w:themeColor="text1"/>
                <w:kern w:val="0"/>
                <w:szCs w:val="21"/>
              </w:rPr>
              <w:t>质保期</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4580DD67">
            <w:pPr>
              <w:autoSpaceDE w:val="0"/>
              <w:autoSpaceDN w:val="0"/>
              <w:adjustRightInd w:val="0"/>
              <w:spacing w:line="240" w:lineRule="auto"/>
              <w:ind w:firstLine="420" w:firstLineChars="200"/>
              <w:jc w:val="left"/>
              <w:rPr>
                <w:rFonts w:ascii="宋体" w:hAnsi="宋体" w:cs="宋体"/>
                <w:color w:val="000000" w:themeColor="text1"/>
                <w:kern w:val="0"/>
                <w:szCs w:val="21"/>
              </w:rPr>
            </w:pPr>
            <w:r>
              <w:rPr>
                <w:rFonts w:hint="eastAsia" w:ascii="宋体" w:hAnsi="宋体" w:cs="宋体"/>
                <w:szCs w:val="21"/>
              </w:rPr>
              <w:t>按国家有关产品“三包”规定执行“三包”，质保期除特别注明外，最短不得少于一年（自合同期满之日起计不少于一年</w:t>
            </w:r>
            <w:r>
              <w:rPr>
                <w:rFonts w:ascii="宋体" w:hAnsi="宋体" w:cs="宋体"/>
                <w:szCs w:val="21"/>
              </w:rPr>
              <w:t>）</w:t>
            </w:r>
            <w:r>
              <w:rPr>
                <w:rFonts w:hint="eastAsia" w:ascii="宋体" w:hAnsi="宋体" w:cs="宋体"/>
                <w:szCs w:val="21"/>
              </w:rPr>
              <w:t>。</w:t>
            </w:r>
          </w:p>
        </w:tc>
        <w:tc>
          <w:tcPr>
            <w:tcW w:w="480" w:type="dxa"/>
            <w:tcBorders>
              <w:top w:val="single" w:color="auto" w:sz="4" w:space="0"/>
              <w:left w:val="single" w:color="auto" w:sz="4" w:space="0"/>
              <w:bottom w:val="single" w:color="auto" w:sz="4" w:space="0"/>
              <w:right w:val="single" w:color="auto" w:sz="4" w:space="0"/>
            </w:tcBorders>
            <w:vAlign w:val="center"/>
          </w:tcPr>
          <w:p w14:paraId="13A189B6">
            <w:pPr>
              <w:autoSpaceDE w:val="0"/>
              <w:autoSpaceDN w:val="0"/>
              <w:adjustRightInd w:val="0"/>
              <w:spacing w:line="360" w:lineRule="auto"/>
              <w:jc w:val="center"/>
              <w:rPr>
                <w:rFonts w:ascii="宋体" w:hAnsi="宋体" w:cs="宋体"/>
                <w:color w:val="000000" w:themeColor="text1"/>
                <w:kern w:val="0"/>
                <w:szCs w:val="21"/>
              </w:rPr>
            </w:pPr>
          </w:p>
        </w:tc>
        <w:tc>
          <w:tcPr>
            <w:tcW w:w="1018" w:type="dxa"/>
            <w:gridSpan w:val="2"/>
            <w:tcBorders>
              <w:top w:val="single" w:color="auto" w:sz="4" w:space="0"/>
              <w:left w:val="single" w:color="auto" w:sz="4" w:space="0"/>
              <w:bottom w:val="single" w:color="auto" w:sz="4" w:space="0"/>
              <w:right w:val="single" w:color="auto" w:sz="4" w:space="0"/>
            </w:tcBorders>
            <w:vAlign w:val="center"/>
          </w:tcPr>
          <w:p w14:paraId="71637AE8">
            <w:pPr>
              <w:autoSpaceDE w:val="0"/>
              <w:autoSpaceDN w:val="0"/>
              <w:adjustRightInd w:val="0"/>
              <w:spacing w:line="360" w:lineRule="auto"/>
              <w:jc w:val="center"/>
              <w:rPr>
                <w:rFonts w:ascii="宋体" w:hAnsi="宋体" w:cs="宋体"/>
                <w:color w:val="000000" w:themeColor="text1"/>
                <w:kern w:val="0"/>
                <w:szCs w:val="21"/>
              </w:rPr>
            </w:pPr>
          </w:p>
        </w:tc>
      </w:tr>
      <w:tr w14:paraId="4420C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0CA81806">
            <w:pPr>
              <w:autoSpaceDE w:val="0"/>
              <w:autoSpaceDN w:val="0"/>
              <w:adjustRightInd w:val="0"/>
              <w:spacing w:line="360" w:lineRule="auto"/>
              <w:jc w:val="center"/>
              <w:rPr>
                <w:rFonts w:ascii="宋体" w:hAnsi="宋体" w:cs="宋体"/>
                <w:color w:val="000000" w:themeColor="text1"/>
                <w:kern w:val="0"/>
                <w:szCs w:val="21"/>
              </w:rPr>
            </w:pPr>
            <w:r>
              <w:rPr>
                <w:rFonts w:hint="eastAsia"/>
                <w:color w:val="000000" w:themeColor="text1"/>
              </w:rPr>
              <w:t>★</w:t>
            </w:r>
            <w:r>
              <w:rPr>
                <w:rFonts w:hint="eastAsia" w:ascii="宋体" w:hAnsi="宋体" w:cs="宋体"/>
                <w:szCs w:val="21"/>
              </w:rPr>
              <w:t>报价要求</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6D22B215">
            <w:pPr>
              <w:spacing w:line="300" w:lineRule="exact"/>
              <w:ind w:firstLine="420" w:firstLineChars="200"/>
              <w:rPr>
                <w:rFonts w:hint="eastAsia" w:ascii="宋体" w:hAnsi="宋体" w:cs="宋体"/>
                <w:b/>
                <w:bCs/>
                <w:szCs w:val="21"/>
              </w:rPr>
            </w:pPr>
            <w:r>
              <w:rPr>
                <w:rFonts w:hint="eastAsia" w:ascii="宋体" w:hAnsi="宋体" w:cs="宋体"/>
                <w:szCs w:val="21"/>
              </w:rPr>
              <w:t>1.本项目采用折扣率报价：</w:t>
            </w:r>
            <w:r>
              <w:rPr>
                <w:rFonts w:hint="eastAsia" w:ascii="宋体" w:hAnsi="宋体" w:cs="宋体"/>
                <w:szCs w:val="21"/>
                <w:lang w:eastAsia="zh-CN"/>
              </w:rPr>
              <w:t>折扣低者成交。供应商</w:t>
            </w:r>
            <w:r>
              <w:rPr>
                <w:rFonts w:hint="eastAsia" w:ascii="宋体" w:hAnsi="宋体" w:cs="宋体"/>
                <w:szCs w:val="21"/>
              </w:rPr>
              <w:t>根据自身总成本（指图书成本、加工费、上架费、运抵指定交货地点的各种费用、售后服务、税金及其他所有成本费用的总和）的情况，报出本项目中文纸质图书的最终折扣率，采购时间内所有图书采购均按纸质图书实洋价付款。图书出版的标价为码洋价，实洋价合计值＝码洋价合计值×最终折扣率。</w:t>
            </w:r>
            <w:r>
              <w:rPr>
                <w:rFonts w:hint="eastAsia" w:ascii="宋体" w:hAnsi="宋体" w:cs="宋体"/>
                <w:b/>
                <w:bCs/>
                <w:szCs w:val="21"/>
              </w:rPr>
              <w:t>本项目最高折扣限价为70%，超过最高限价的折扣视为无效报价。</w:t>
            </w:r>
          </w:p>
          <w:p w14:paraId="601B3B79">
            <w:pPr>
              <w:pStyle w:val="4"/>
              <w:spacing w:line="300" w:lineRule="exact"/>
              <w:ind w:firstLine="420" w:firstLineChars="200"/>
              <w:rPr>
                <w:rFonts w:ascii="宋体" w:hAnsi="宋体" w:cs="宋体"/>
                <w:sz w:val="21"/>
                <w:szCs w:val="21"/>
              </w:rPr>
            </w:pPr>
            <w:r>
              <w:rPr>
                <w:rFonts w:hint="eastAsia" w:ascii="宋体" w:hAnsi="宋体" w:cs="宋体"/>
                <w:sz w:val="21"/>
                <w:szCs w:val="21"/>
              </w:rPr>
              <w:t>2.评</w:t>
            </w:r>
            <w:r>
              <w:rPr>
                <w:rFonts w:hint="eastAsia" w:ascii="宋体" w:hAnsi="宋体" w:cs="宋体"/>
                <w:sz w:val="21"/>
                <w:szCs w:val="21"/>
                <w:lang w:eastAsia="zh-CN"/>
              </w:rPr>
              <w:t>审组</w:t>
            </w:r>
            <w:r>
              <w:rPr>
                <w:rFonts w:hint="eastAsia" w:ascii="宋体" w:hAnsi="宋体" w:cs="宋体"/>
                <w:sz w:val="21"/>
                <w:szCs w:val="21"/>
              </w:rPr>
              <w:t>认为</w:t>
            </w:r>
            <w:r>
              <w:rPr>
                <w:rFonts w:hint="eastAsia" w:ascii="宋体" w:hAnsi="宋体" w:cs="宋体"/>
                <w:sz w:val="21"/>
                <w:szCs w:val="21"/>
                <w:lang w:eastAsia="zh-CN"/>
              </w:rPr>
              <w:t>供应商</w:t>
            </w:r>
            <w:r>
              <w:rPr>
                <w:rFonts w:hint="eastAsia" w:ascii="宋体" w:hAnsi="宋体" w:cs="宋体"/>
                <w:sz w:val="21"/>
                <w:szCs w:val="21"/>
              </w:rPr>
              <w:t>的报价明显低于其他通过符合性审查</w:t>
            </w:r>
            <w:r>
              <w:rPr>
                <w:rFonts w:hint="eastAsia" w:ascii="宋体" w:hAnsi="宋体" w:cs="宋体"/>
                <w:sz w:val="21"/>
                <w:szCs w:val="21"/>
                <w:lang w:eastAsia="zh-CN"/>
              </w:rPr>
              <w:t>供应商</w:t>
            </w:r>
            <w:r>
              <w:rPr>
                <w:rFonts w:hint="eastAsia" w:ascii="宋体" w:hAnsi="宋体" w:cs="宋体"/>
                <w:sz w:val="21"/>
                <w:szCs w:val="21"/>
              </w:rPr>
              <w:t>的报价，有可能影响产品质量或者不能诚信履约的，应当要求</w:t>
            </w:r>
            <w:r>
              <w:rPr>
                <w:rFonts w:hint="eastAsia" w:ascii="宋体" w:hAnsi="宋体" w:cs="宋体"/>
                <w:sz w:val="21"/>
                <w:szCs w:val="21"/>
                <w:lang w:eastAsia="zh-CN"/>
              </w:rPr>
              <w:t>成交</w:t>
            </w:r>
            <w:r>
              <w:rPr>
                <w:rFonts w:hint="eastAsia" w:ascii="宋体" w:hAnsi="宋体" w:cs="宋体"/>
                <w:sz w:val="21"/>
                <w:szCs w:val="21"/>
              </w:rPr>
              <w:t>供应商在合理的时间内提供书面说明并提供相关证明材料。提交的证明材料包括但不限于：项目成本组成明细，包括进货成本、管理费用、人工成本构成、物流运输成本、税收等所有成本和利润等（其中：人力成本必须根据</w:t>
            </w:r>
            <w:r>
              <w:rPr>
                <w:rFonts w:hint="eastAsia" w:ascii="宋体" w:hAnsi="宋体" w:cs="宋体"/>
                <w:sz w:val="21"/>
                <w:szCs w:val="21"/>
                <w:lang w:eastAsia="zh-CN"/>
              </w:rPr>
              <w:t>供应商</w:t>
            </w:r>
            <w:r>
              <w:rPr>
                <w:rFonts w:hint="eastAsia" w:ascii="宋体" w:hAnsi="宋体" w:cs="宋体"/>
                <w:sz w:val="21"/>
                <w:szCs w:val="21"/>
              </w:rPr>
              <w:t>所在省（自治区、直辖市）政府部门或者人力资源社会保障部门公布的关于最新</w:t>
            </w:r>
            <w:r>
              <w:rPr>
                <w:rFonts w:hint="eastAsia" w:ascii="宋体" w:hAnsi="宋体" w:cs="宋体"/>
                <w:sz w:val="21"/>
                <w:szCs w:val="21"/>
                <w:lang w:eastAsia="zh-CN"/>
              </w:rPr>
              <w:t>供应商</w:t>
            </w:r>
            <w:r>
              <w:rPr>
                <w:rFonts w:hint="eastAsia" w:ascii="宋体" w:hAnsi="宋体" w:cs="宋体"/>
                <w:sz w:val="21"/>
                <w:szCs w:val="21"/>
              </w:rPr>
              <w:t>所在地最低工资标准相关文件要求编制。），证明其报价未低于成本，如果不提供或者提供的有关证明材料不完整，致</w:t>
            </w:r>
            <w:r>
              <w:rPr>
                <w:rFonts w:hint="eastAsia" w:ascii="宋体" w:hAnsi="宋体" w:cs="宋体"/>
                <w:sz w:val="21"/>
                <w:szCs w:val="21"/>
                <w:lang w:eastAsia="zh-CN"/>
              </w:rPr>
              <w:t>供应商</w:t>
            </w:r>
            <w:r>
              <w:rPr>
                <w:rFonts w:hint="eastAsia" w:ascii="宋体" w:hAnsi="宋体" w:cs="宋体"/>
                <w:sz w:val="21"/>
                <w:szCs w:val="21"/>
              </w:rPr>
              <w:t>不能证明其报价合理性的，</w:t>
            </w:r>
            <w:r>
              <w:rPr>
                <w:rFonts w:hint="eastAsia" w:ascii="宋体" w:hAnsi="宋体" w:cs="宋体"/>
                <w:sz w:val="21"/>
                <w:szCs w:val="21"/>
                <w:lang w:eastAsia="zh-CN"/>
              </w:rPr>
              <w:t>评审组</w:t>
            </w:r>
            <w:r>
              <w:rPr>
                <w:rFonts w:hint="eastAsia" w:ascii="宋体" w:hAnsi="宋体" w:cs="宋体"/>
                <w:sz w:val="21"/>
                <w:szCs w:val="21"/>
              </w:rPr>
              <w:t>应当将其作为无效处理。</w:t>
            </w:r>
          </w:p>
          <w:p w14:paraId="0A286F17">
            <w:pPr>
              <w:spacing w:line="300" w:lineRule="exact"/>
              <w:ind w:firstLine="420" w:firstLineChars="200"/>
              <w:rPr>
                <w:rFonts w:ascii="宋体" w:hAnsi="宋体" w:cs="宋体"/>
                <w:szCs w:val="21"/>
              </w:rPr>
            </w:pPr>
            <w:r>
              <w:rPr>
                <w:rFonts w:hint="eastAsia" w:ascii="宋体" w:hAnsi="宋体" w:cs="宋体"/>
                <w:szCs w:val="21"/>
              </w:rPr>
              <w:t>3.图书价款包含采购、加工、耗材、物流、上架、税金、利润等为完成本项目所需的全部费用，各</w:t>
            </w:r>
            <w:r>
              <w:rPr>
                <w:rFonts w:hint="eastAsia" w:ascii="宋体" w:hAnsi="宋体" w:cs="宋体"/>
                <w:szCs w:val="21"/>
                <w:lang w:eastAsia="zh-CN"/>
              </w:rPr>
              <w:t>供应商</w:t>
            </w:r>
            <w:r>
              <w:rPr>
                <w:rFonts w:hint="eastAsia" w:ascii="宋体" w:hAnsi="宋体" w:cs="宋体"/>
                <w:szCs w:val="21"/>
              </w:rPr>
              <w:t>须认真查看选书需求，避免恶意低折扣</w:t>
            </w:r>
            <w:r>
              <w:rPr>
                <w:rFonts w:hint="eastAsia" w:ascii="宋体" w:hAnsi="宋体" w:cs="宋体"/>
                <w:szCs w:val="21"/>
                <w:lang w:eastAsia="zh-CN"/>
              </w:rPr>
              <w:t>成交</w:t>
            </w:r>
            <w:r>
              <w:rPr>
                <w:rFonts w:hint="eastAsia" w:ascii="宋体" w:hAnsi="宋体" w:cs="宋体"/>
                <w:szCs w:val="21"/>
              </w:rPr>
              <w:t>后履约违约。</w:t>
            </w:r>
          </w:p>
        </w:tc>
        <w:tc>
          <w:tcPr>
            <w:tcW w:w="480" w:type="dxa"/>
            <w:tcBorders>
              <w:top w:val="single" w:color="auto" w:sz="4" w:space="0"/>
              <w:left w:val="single" w:color="auto" w:sz="4" w:space="0"/>
              <w:bottom w:val="single" w:color="auto" w:sz="4" w:space="0"/>
              <w:right w:val="single" w:color="auto" w:sz="4" w:space="0"/>
            </w:tcBorders>
            <w:vAlign w:val="center"/>
          </w:tcPr>
          <w:p w14:paraId="06E62D99">
            <w:pPr>
              <w:autoSpaceDE w:val="0"/>
              <w:autoSpaceDN w:val="0"/>
              <w:adjustRightInd w:val="0"/>
              <w:spacing w:line="360" w:lineRule="auto"/>
              <w:jc w:val="center"/>
              <w:rPr>
                <w:rFonts w:ascii="宋体" w:hAnsi="宋体" w:cs="宋体"/>
                <w:color w:val="000000" w:themeColor="text1"/>
                <w:kern w:val="0"/>
                <w:szCs w:val="21"/>
              </w:rPr>
            </w:pPr>
          </w:p>
        </w:tc>
        <w:tc>
          <w:tcPr>
            <w:tcW w:w="1018" w:type="dxa"/>
            <w:gridSpan w:val="2"/>
            <w:tcBorders>
              <w:top w:val="single" w:color="auto" w:sz="4" w:space="0"/>
              <w:left w:val="single" w:color="auto" w:sz="4" w:space="0"/>
              <w:bottom w:val="single" w:color="auto" w:sz="4" w:space="0"/>
              <w:right w:val="single" w:color="auto" w:sz="4" w:space="0"/>
            </w:tcBorders>
            <w:vAlign w:val="center"/>
          </w:tcPr>
          <w:p w14:paraId="34726716">
            <w:pPr>
              <w:autoSpaceDE w:val="0"/>
              <w:autoSpaceDN w:val="0"/>
              <w:adjustRightInd w:val="0"/>
              <w:spacing w:line="360" w:lineRule="auto"/>
              <w:jc w:val="center"/>
              <w:rPr>
                <w:rFonts w:ascii="宋体" w:hAnsi="宋体" w:cs="宋体"/>
                <w:color w:val="000000" w:themeColor="text1"/>
                <w:kern w:val="0"/>
                <w:szCs w:val="21"/>
              </w:rPr>
            </w:pPr>
          </w:p>
        </w:tc>
      </w:tr>
      <w:tr w14:paraId="5D013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0AE04642">
            <w:pPr>
              <w:autoSpaceDE w:val="0"/>
              <w:autoSpaceDN w:val="0"/>
              <w:adjustRightInd w:val="0"/>
              <w:spacing w:line="240" w:lineRule="auto"/>
              <w:jc w:val="center"/>
              <w:rPr>
                <w:rFonts w:hint="eastAsia"/>
                <w:color w:val="000000" w:themeColor="text1"/>
              </w:rPr>
            </w:pPr>
            <w:r>
              <w:rPr>
                <w:rFonts w:hint="eastAsia"/>
                <w:color w:val="000000" w:themeColor="text1"/>
              </w:rPr>
              <w:t>合同签订时间</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5AC3220B">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自</w:t>
            </w:r>
            <w:r>
              <w:rPr>
                <w:rFonts w:hint="eastAsia" w:ascii="宋体" w:hAnsi="宋体" w:cs="宋体"/>
                <w:szCs w:val="21"/>
                <w:lang w:eastAsia="zh-CN"/>
              </w:rPr>
              <w:t>成交</w:t>
            </w:r>
            <w:r>
              <w:rPr>
                <w:rFonts w:hint="eastAsia" w:ascii="宋体" w:hAnsi="宋体" w:cs="宋体"/>
                <w:szCs w:val="21"/>
              </w:rPr>
              <w:t>通知书发出之日起25日内签订采购合同。</w:t>
            </w:r>
          </w:p>
        </w:tc>
        <w:tc>
          <w:tcPr>
            <w:tcW w:w="480" w:type="dxa"/>
            <w:tcBorders>
              <w:top w:val="single" w:color="auto" w:sz="4" w:space="0"/>
              <w:left w:val="single" w:color="auto" w:sz="4" w:space="0"/>
              <w:bottom w:val="single" w:color="auto" w:sz="4" w:space="0"/>
              <w:right w:val="single" w:color="auto" w:sz="4" w:space="0"/>
            </w:tcBorders>
            <w:vAlign w:val="center"/>
          </w:tcPr>
          <w:p w14:paraId="564C7714">
            <w:pPr>
              <w:autoSpaceDE w:val="0"/>
              <w:autoSpaceDN w:val="0"/>
              <w:adjustRightInd w:val="0"/>
              <w:spacing w:line="360" w:lineRule="auto"/>
              <w:jc w:val="center"/>
              <w:rPr>
                <w:rFonts w:ascii="宋体" w:hAnsi="宋体" w:cs="宋体"/>
                <w:color w:val="000000" w:themeColor="text1"/>
                <w:kern w:val="0"/>
                <w:szCs w:val="21"/>
              </w:rPr>
            </w:pPr>
          </w:p>
        </w:tc>
        <w:tc>
          <w:tcPr>
            <w:tcW w:w="1018" w:type="dxa"/>
            <w:gridSpan w:val="2"/>
            <w:tcBorders>
              <w:top w:val="single" w:color="auto" w:sz="4" w:space="0"/>
              <w:left w:val="single" w:color="auto" w:sz="4" w:space="0"/>
              <w:bottom w:val="single" w:color="auto" w:sz="4" w:space="0"/>
              <w:right w:val="single" w:color="auto" w:sz="4" w:space="0"/>
            </w:tcBorders>
            <w:vAlign w:val="center"/>
          </w:tcPr>
          <w:p w14:paraId="15865347">
            <w:pPr>
              <w:autoSpaceDE w:val="0"/>
              <w:autoSpaceDN w:val="0"/>
              <w:adjustRightInd w:val="0"/>
              <w:spacing w:line="360" w:lineRule="auto"/>
              <w:jc w:val="center"/>
              <w:rPr>
                <w:rFonts w:ascii="宋体" w:hAnsi="宋体" w:cs="宋体"/>
                <w:color w:val="000000" w:themeColor="text1"/>
                <w:kern w:val="0"/>
                <w:szCs w:val="21"/>
              </w:rPr>
            </w:pPr>
          </w:p>
        </w:tc>
      </w:tr>
      <w:tr w14:paraId="243BC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4405B6CD">
            <w:pPr>
              <w:autoSpaceDE w:val="0"/>
              <w:autoSpaceDN w:val="0"/>
              <w:adjustRightInd w:val="0"/>
              <w:spacing w:line="240" w:lineRule="auto"/>
              <w:jc w:val="center"/>
              <w:rPr>
                <w:rFonts w:ascii="宋体" w:hAnsi="宋体" w:cs="宋体"/>
                <w:color w:val="000000" w:themeColor="text1"/>
                <w:kern w:val="0"/>
                <w:szCs w:val="21"/>
              </w:rPr>
            </w:pPr>
            <w:r>
              <w:rPr>
                <w:rFonts w:hint="eastAsia"/>
                <w:color w:val="000000" w:themeColor="text1"/>
              </w:rPr>
              <w:t>★</w:t>
            </w:r>
            <w:r>
              <w:rPr>
                <w:rFonts w:hint="eastAsia" w:ascii="宋体" w:hAnsi="宋体" w:cs="宋体"/>
                <w:szCs w:val="21"/>
              </w:rPr>
              <w:t>交付使用时间及地点</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22AD9527">
            <w:pPr>
              <w:widowControl/>
              <w:ind w:firstLine="420" w:firstLineChars="200"/>
              <w:textAlignment w:val="center"/>
              <w:rPr>
                <w:rFonts w:ascii="宋体" w:hAnsi="宋体" w:cs="宋体"/>
                <w:szCs w:val="21"/>
              </w:rPr>
            </w:pPr>
            <w:r>
              <w:rPr>
                <w:rFonts w:hint="eastAsia" w:ascii="宋体" w:hAnsi="宋体" w:cs="宋体"/>
                <w:szCs w:val="21"/>
              </w:rPr>
              <w:t>1.交付使用时间：</w:t>
            </w:r>
            <w:r>
              <w:rPr>
                <w:rFonts w:ascii="宋体" w:hAnsi="宋体" w:cs="宋体"/>
                <w:szCs w:val="21"/>
              </w:rPr>
              <w:t>自签订合同之日起至</w:t>
            </w:r>
            <w:r>
              <w:rPr>
                <w:rFonts w:hint="eastAsia" w:ascii="宋体" w:hAnsi="宋体" w:cs="宋体"/>
                <w:szCs w:val="21"/>
              </w:rPr>
              <w:t>2025年11</w:t>
            </w:r>
            <w:r>
              <w:rPr>
                <w:rFonts w:ascii="宋体" w:hAnsi="宋体" w:cs="宋体"/>
                <w:szCs w:val="21"/>
              </w:rPr>
              <w:t>月30日止</w:t>
            </w:r>
            <w:r>
              <w:rPr>
                <w:rFonts w:hint="eastAsia" w:ascii="宋体" w:hAnsi="宋体" w:cs="宋体"/>
                <w:szCs w:val="21"/>
              </w:rPr>
              <w:t>。</w:t>
            </w:r>
          </w:p>
          <w:p w14:paraId="23E18A92">
            <w:pPr>
              <w:widowControl/>
              <w:ind w:firstLine="420" w:firstLineChars="200"/>
              <w:textAlignment w:val="center"/>
              <w:rPr>
                <w:rFonts w:ascii="宋体" w:hAnsi="宋体" w:cs="宋体"/>
              </w:rPr>
            </w:pPr>
            <w:r>
              <w:rPr>
                <w:rFonts w:hint="eastAsia" w:ascii="宋体" w:hAnsi="宋体" w:cs="宋体"/>
                <w:szCs w:val="21"/>
              </w:rPr>
              <w:t>2.</w:t>
            </w:r>
            <w:r>
              <w:rPr>
                <w:rFonts w:ascii="宋体" w:hAnsi="宋体" w:cs="宋体"/>
                <w:szCs w:val="21"/>
              </w:rPr>
              <w:t>交货地点：</w:t>
            </w:r>
            <w:r>
              <w:rPr>
                <w:rFonts w:hint="eastAsia" w:ascii="宋体" w:hAnsi="宋体" w:cs="宋体"/>
                <w:szCs w:val="21"/>
              </w:rPr>
              <w:t>广西财经学院明秀、相思湖、武鸣三个校区</w:t>
            </w:r>
            <w:r>
              <w:rPr>
                <w:rFonts w:hint="eastAsia" w:ascii="宋体" w:hAnsi="宋体" w:cs="宋体"/>
              </w:rPr>
              <w:t>。</w:t>
            </w:r>
          </w:p>
          <w:p w14:paraId="46F9411D">
            <w:pPr>
              <w:autoSpaceDE w:val="0"/>
              <w:autoSpaceDN w:val="0"/>
              <w:adjustRightInd w:val="0"/>
              <w:spacing w:line="360" w:lineRule="auto"/>
              <w:jc w:val="center"/>
              <w:rPr>
                <w:rFonts w:ascii="宋体" w:hAnsi="宋体" w:cs="宋体"/>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438040C1">
            <w:pPr>
              <w:autoSpaceDE w:val="0"/>
              <w:autoSpaceDN w:val="0"/>
              <w:adjustRightInd w:val="0"/>
              <w:spacing w:line="360" w:lineRule="auto"/>
              <w:jc w:val="center"/>
              <w:rPr>
                <w:rFonts w:ascii="宋体" w:hAnsi="宋体" w:cs="宋体"/>
                <w:color w:val="000000" w:themeColor="text1"/>
                <w:kern w:val="0"/>
                <w:szCs w:val="21"/>
              </w:rPr>
            </w:pPr>
          </w:p>
        </w:tc>
        <w:tc>
          <w:tcPr>
            <w:tcW w:w="1018" w:type="dxa"/>
            <w:gridSpan w:val="2"/>
            <w:tcBorders>
              <w:top w:val="single" w:color="auto" w:sz="4" w:space="0"/>
              <w:left w:val="single" w:color="auto" w:sz="4" w:space="0"/>
              <w:bottom w:val="single" w:color="auto" w:sz="4" w:space="0"/>
              <w:right w:val="single" w:color="auto" w:sz="4" w:space="0"/>
            </w:tcBorders>
            <w:vAlign w:val="center"/>
          </w:tcPr>
          <w:p w14:paraId="7BED8931">
            <w:pPr>
              <w:autoSpaceDE w:val="0"/>
              <w:autoSpaceDN w:val="0"/>
              <w:adjustRightInd w:val="0"/>
              <w:spacing w:line="360" w:lineRule="auto"/>
              <w:jc w:val="center"/>
              <w:rPr>
                <w:rFonts w:ascii="宋体" w:hAnsi="宋体" w:cs="宋体"/>
                <w:color w:val="000000" w:themeColor="text1"/>
                <w:kern w:val="0"/>
                <w:szCs w:val="21"/>
              </w:rPr>
            </w:pPr>
          </w:p>
        </w:tc>
      </w:tr>
      <w:tr w14:paraId="33035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01597261">
            <w:pPr>
              <w:autoSpaceDE w:val="0"/>
              <w:autoSpaceDN w:val="0"/>
              <w:adjustRightInd w:val="0"/>
              <w:spacing w:line="240" w:lineRule="auto"/>
              <w:jc w:val="center"/>
              <w:rPr>
                <w:rFonts w:ascii="宋体" w:hAnsi="宋体" w:cs="宋体"/>
                <w:color w:val="auto"/>
                <w:szCs w:val="21"/>
              </w:rPr>
            </w:pPr>
            <w:r>
              <w:rPr>
                <w:rFonts w:hint="eastAsia"/>
                <w:color w:val="auto"/>
              </w:rPr>
              <w:t>★</w:t>
            </w:r>
            <w:r>
              <w:rPr>
                <w:rFonts w:hint="eastAsia" w:ascii="宋体" w:hAnsi="宋体" w:cs="宋体"/>
                <w:color w:val="auto"/>
                <w:szCs w:val="21"/>
              </w:rPr>
              <w:t>付款条件（进度和方式）</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53F9F813">
            <w:pPr>
              <w:widowControl/>
              <w:textAlignment w:val="center"/>
              <w:rPr>
                <w:rFonts w:hint="eastAsia"/>
                <w:b/>
                <w:bCs/>
                <w:color w:val="auto"/>
                <w:lang w:val="en-US" w:eastAsia="zh-CN"/>
              </w:rPr>
            </w:pPr>
            <w:r>
              <w:rPr>
                <w:rFonts w:hint="eastAsia"/>
                <w:b/>
                <w:bCs/>
                <w:color w:val="auto"/>
                <w:lang w:val="en-US" w:eastAsia="zh-CN"/>
              </w:rPr>
              <w:t>履约保证金：</w:t>
            </w:r>
          </w:p>
          <w:p w14:paraId="0E57420E">
            <w:pPr>
              <w:widowControl/>
              <w:ind w:firstLine="420" w:firstLineChars="200"/>
              <w:textAlignment w:val="center"/>
              <w:rPr>
                <w:rFonts w:hint="eastAsia"/>
                <w:color w:val="auto"/>
                <w:lang w:val="en-US" w:eastAsia="zh-CN"/>
              </w:rPr>
            </w:pPr>
            <w:r>
              <w:rPr>
                <w:rFonts w:hint="eastAsia"/>
                <w:color w:val="auto"/>
                <w:lang w:val="en-US" w:eastAsia="zh-CN"/>
              </w:rPr>
              <w:t>1.按本项目成交总金额的3%（如成交供应商为中小企业的，按本项目成交总金额的2%）缴纳履约保证金；成交供应商在签订合同前交至指定账户。</w:t>
            </w:r>
          </w:p>
          <w:p w14:paraId="232CE78D">
            <w:pPr>
              <w:widowControl/>
              <w:ind w:firstLine="420" w:firstLineChars="200"/>
              <w:textAlignment w:val="center"/>
              <w:rPr>
                <w:rFonts w:hint="eastAsia"/>
                <w:color w:val="auto"/>
                <w:lang w:val="en-US" w:eastAsia="zh-CN"/>
              </w:rPr>
            </w:pPr>
            <w:r>
              <w:rPr>
                <w:rFonts w:hint="eastAsia"/>
                <w:color w:val="auto"/>
                <w:lang w:val="en-US" w:eastAsia="zh-CN"/>
              </w:rPr>
              <w:t>2.履约保证金递交方式：支票、汇票、本票、网上银行或者银行、担保机构出具的保函等非现金形式。</w:t>
            </w:r>
          </w:p>
          <w:p w14:paraId="34EAB31E">
            <w:pPr>
              <w:widowControl/>
              <w:ind w:firstLine="420" w:firstLineChars="200"/>
              <w:textAlignment w:val="center"/>
              <w:rPr>
                <w:rFonts w:hint="eastAsia"/>
                <w:color w:val="auto"/>
                <w:lang w:val="en-US" w:eastAsia="zh-CN"/>
              </w:rPr>
            </w:pPr>
            <w:r>
              <w:rPr>
                <w:rFonts w:hint="eastAsia"/>
                <w:color w:val="auto"/>
                <w:lang w:val="en-US" w:eastAsia="zh-CN"/>
              </w:rPr>
              <w:t>履约保证金指定账户：</w:t>
            </w:r>
          </w:p>
          <w:p w14:paraId="4834578B">
            <w:pPr>
              <w:widowControl/>
              <w:ind w:firstLine="420" w:firstLineChars="200"/>
              <w:textAlignment w:val="center"/>
              <w:rPr>
                <w:rFonts w:hint="eastAsia"/>
                <w:color w:val="auto"/>
                <w:lang w:val="en-US" w:eastAsia="zh-CN"/>
              </w:rPr>
            </w:pPr>
            <w:r>
              <w:rPr>
                <w:rFonts w:hint="eastAsia"/>
                <w:color w:val="auto"/>
                <w:lang w:val="en-US" w:eastAsia="zh-CN"/>
              </w:rPr>
              <w:t>开户名称：广西财经学院</w:t>
            </w:r>
          </w:p>
          <w:p w14:paraId="747BC6B8">
            <w:pPr>
              <w:widowControl/>
              <w:ind w:firstLine="420" w:firstLineChars="200"/>
              <w:textAlignment w:val="center"/>
              <w:rPr>
                <w:rFonts w:hint="eastAsia"/>
                <w:color w:val="auto"/>
                <w:lang w:val="en-US" w:eastAsia="zh-CN"/>
              </w:rPr>
            </w:pPr>
            <w:r>
              <w:rPr>
                <w:rFonts w:hint="eastAsia"/>
                <w:color w:val="auto"/>
                <w:lang w:val="en-US" w:eastAsia="zh-CN"/>
              </w:rPr>
              <w:t>开户银行：中国银行南宁明秀西路支行</w:t>
            </w:r>
          </w:p>
          <w:p w14:paraId="127722A2">
            <w:pPr>
              <w:widowControl/>
              <w:ind w:firstLine="420" w:firstLineChars="200"/>
              <w:textAlignment w:val="center"/>
              <w:rPr>
                <w:rFonts w:hint="eastAsia"/>
                <w:color w:val="auto"/>
                <w:lang w:val="en-US" w:eastAsia="zh-CN"/>
              </w:rPr>
            </w:pPr>
            <w:r>
              <w:rPr>
                <w:rFonts w:hint="eastAsia"/>
                <w:color w:val="auto"/>
                <w:lang w:val="en-US" w:eastAsia="zh-CN"/>
              </w:rPr>
              <w:t>银行账号：611957485481</w:t>
            </w:r>
          </w:p>
          <w:p w14:paraId="4BC444A2">
            <w:pPr>
              <w:widowControl/>
              <w:numPr>
                <w:ilvl w:val="0"/>
                <w:numId w:val="0"/>
              </w:numPr>
              <w:ind w:firstLine="420" w:firstLineChars="200"/>
              <w:textAlignment w:val="center"/>
              <w:rPr>
                <w:rFonts w:hint="eastAsia"/>
                <w:color w:val="auto"/>
                <w:lang w:val="en-US" w:eastAsia="zh-CN"/>
              </w:rPr>
            </w:pPr>
            <w:r>
              <w:rPr>
                <w:rFonts w:hint="eastAsia"/>
                <w:color w:val="auto"/>
                <w:lang w:val="en-US" w:eastAsia="zh-CN"/>
              </w:rPr>
              <w:t>3.履约保证金退付方式、时间及条件：成交供应商若不能完全履行合同，履约保证金不返还；成交供应商若完全履行合同，货物验收合格后，成交供应商向采购人递交退保申请函及凭履约保证金财务凭证，采购人按规定办理无息退还手续。</w:t>
            </w:r>
          </w:p>
          <w:p w14:paraId="18141164">
            <w:pPr>
              <w:widowControl/>
              <w:numPr>
                <w:ilvl w:val="0"/>
                <w:numId w:val="0"/>
              </w:numPr>
              <w:textAlignment w:val="center"/>
              <w:rPr>
                <w:rFonts w:hint="eastAsia"/>
                <w:b/>
                <w:bCs/>
                <w:color w:val="auto"/>
                <w:lang w:val="en-US" w:eastAsia="zh-CN"/>
              </w:rPr>
            </w:pPr>
            <w:r>
              <w:rPr>
                <w:rFonts w:hint="eastAsia"/>
                <w:b/>
                <w:bCs/>
                <w:color w:val="auto"/>
                <w:lang w:val="en-US" w:eastAsia="zh-CN"/>
              </w:rPr>
              <w:t>付款方式：</w:t>
            </w:r>
          </w:p>
          <w:p w14:paraId="117AAB1B">
            <w:pPr>
              <w:widowControl/>
              <w:numPr>
                <w:ilvl w:val="0"/>
                <w:numId w:val="0"/>
              </w:numPr>
              <w:ind w:firstLine="420" w:firstLineChars="200"/>
              <w:textAlignment w:val="center"/>
              <w:rPr>
                <w:rFonts w:hint="eastAsia"/>
                <w:color w:val="auto"/>
                <w:lang w:val="en-US" w:eastAsia="zh-CN"/>
              </w:rPr>
            </w:pPr>
            <w:r>
              <w:rPr>
                <w:rFonts w:hint="eastAsia"/>
                <w:color w:val="auto"/>
              </w:rPr>
              <w:t>本项目按分批付款，每批图书验收合格并上架完毕后，由采购人支付当批货款。付款前经采购人、</w:t>
            </w:r>
            <w:r>
              <w:rPr>
                <w:rFonts w:hint="eastAsia"/>
                <w:color w:val="auto"/>
                <w:lang w:eastAsia="zh-CN"/>
              </w:rPr>
              <w:t>供应商</w:t>
            </w:r>
            <w:r>
              <w:rPr>
                <w:rFonts w:hint="eastAsia"/>
                <w:color w:val="auto"/>
              </w:rPr>
              <w:t>双方对账，采购人凭</w:t>
            </w:r>
            <w:r>
              <w:rPr>
                <w:rFonts w:hint="eastAsia"/>
                <w:color w:val="auto"/>
                <w:lang w:eastAsia="zh-CN"/>
              </w:rPr>
              <w:t>供应商</w:t>
            </w:r>
            <w:r>
              <w:rPr>
                <w:rFonts w:hint="eastAsia"/>
                <w:color w:val="auto"/>
              </w:rPr>
              <w:t>提供的按实洋开具的税务发票、对账清单办理支付货款。</w:t>
            </w:r>
            <w:r>
              <w:rPr>
                <w:rFonts w:hint="eastAsia" w:ascii="宋体" w:hAnsi="宋体"/>
                <w:bCs/>
                <w:color w:val="auto"/>
                <w:szCs w:val="21"/>
              </w:rPr>
              <w:t>如验收过程中出现数据加工及上架不合格，</w:t>
            </w:r>
            <w:r>
              <w:rPr>
                <w:rFonts w:hint="eastAsia" w:ascii="宋体" w:hAnsi="宋体"/>
                <w:bCs/>
                <w:color w:val="auto"/>
                <w:szCs w:val="21"/>
                <w:lang w:eastAsia="zh-CN"/>
              </w:rPr>
              <w:t>成交</w:t>
            </w:r>
            <w:r>
              <w:rPr>
                <w:rFonts w:hint="eastAsia" w:ascii="宋体" w:hAnsi="宋体"/>
                <w:bCs/>
                <w:color w:val="auto"/>
                <w:szCs w:val="21"/>
              </w:rPr>
              <w:t>供应商应按采购人要求限期整改，整改所需费用由</w:t>
            </w:r>
            <w:r>
              <w:rPr>
                <w:rFonts w:hint="eastAsia" w:ascii="宋体" w:hAnsi="宋体"/>
                <w:bCs/>
                <w:color w:val="auto"/>
                <w:szCs w:val="21"/>
                <w:lang w:eastAsia="zh-CN"/>
              </w:rPr>
              <w:t>成交</w:t>
            </w:r>
            <w:r>
              <w:rPr>
                <w:rFonts w:hint="eastAsia" w:ascii="宋体" w:hAnsi="宋体"/>
                <w:bCs/>
                <w:color w:val="auto"/>
                <w:szCs w:val="21"/>
              </w:rPr>
              <w:t>供应商自行承担。如</w:t>
            </w:r>
            <w:r>
              <w:rPr>
                <w:rFonts w:hint="eastAsia" w:ascii="宋体" w:hAnsi="宋体"/>
                <w:bCs/>
                <w:color w:val="auto"/>
                <w:szCs w:val="21"/>
                <w:lang w:eastAsia="zh-CN"/>
              </w:rPr>
              <w:t>成交</w:t>
            </w:r>
            <w:r>
              <w:rPr>
                <w:rFonts w:hint="eastAsia" w:ascii="宋体" w:hAnsi="宋体"/>
                <w:bCs/>
                <w:color w:val="auto"/>
                <w:szCs w:val="21"/>
              </w:rPr>
              <w:t>供应商不能按期整改完成，如</w:t>
            </w:r>
            <w:r>
              <w:rPr>
                <w:rFonts w:hint="eastAsia" w:ascii="宋体" w:hAnsi="宋体"/>
                <w:bCs/>
                <w:color w:val="auto"/>
                <w:szCs w:val="21"/>
                <w:lang w:eastAsia="zh-CN"/>
              </w:rPr>
              <w:t>成交</w:t>
            </w:r>
            <w:r>
              <w:rPr>
                <w:rFonts w:hint="eastAsia" w:ascii="宋体" w:hAnsi="宋体"/>
                <w:bCs/>
                <w:color w:val="auto"/>
                <w:szCs w:val="21"/>
              </w:rPr>
              <w:t>供应商不能按期整改完成，按违约处理，</w:t>
            </w:r>
            <w:r>
              <w:rPr>
                <w:rFonts w:hint="eastAsia" w:ascii="宋体" w:hAnsi="宋体"/>
                <w:bCs/>
                <w:color w:val="auto"/>
                <w:szCs w:val="21"/>
                <w:lang w:eastAsia="zh-CN"/>
              </w:rPr>
              <w:t>成交</w:t>
            </w:r>
            <w:r>
              <w:rPr>
                <w:rFonts w:hint="eastAsia" w:ascii="宋体" w:hAnsi="宋体"/>
                <w:bCs/>
                <w:color w:val="auto"/>
                <w:szCs w:val="21"/>
              </w:rPr>
              <w:t>供应商须自行承担相应责任。</w:t>
            </w:r>
          </w:p>
        </w:tc>
        <w:tc>
          <w:tcPr>
            <w:tcW w:w="480" w:type="dxa"/>
            <w:tcBorders>
              <w:top w:val="single" w:color="auto" w:sz="4" w:space="0"/>
              <w:left w:val="single" w:color="auto" w:sz="4" w:space="0"/>
              <w:bottom w:val="single" w:color="auto" w:sz="4" w:space="0"/>
              <w:right w:val="single" w:color="auto" w:sz="4" w:space="0"/>
            </w:tcBorders>
            <w:vAlign w:val="center"/>
          </w:tcPr>
          <w:p w14:paraId="00A9518A">
            <w:pPr>
              <w:autoSpaceDE w:val="0"/>
              <w:autoSpaceDN w:val="0"/>
              <w:adjustRightInd w:val="0"/>
              <w:spacing w:line="360" w:lineRule="auto"/>
              <w:jc w:val="center"/>
              <w:rPr>
                <w:rFonts w:ascii="宋体" w:hAnsi="宋体" w:cs="宋体"/>
                <w:color w:val="000000" w:themeColor="text1"/>
                <w:kern w:val="0"/>
                <w:szCs w:val="21"/>
              </w:rPr>
            </w:pPr>
          </w:p>
        </w:tc>
        <w:tc>
          <w:tcPr>
            <w:tcW w:w="1018" w:type="dxa"/>
            <w:gridSpan w:val="2"/>
            <w:tcBorders>
              <w:top w:val="single" w:color="auto" w:sz="4" w:space="0"/>
              <w:left w:val="single" w:color="auto" w:sz="4" w:space="0"/>
              <w:bottom w:val="single" w:color="auto" w:sz="4" w:space="0"/>
              <w:right w:val="single" w:color="auto" w:sz="4" w:space="0"/>
            </w:tcBorders>
            <w:vAlign w:val="center"/>
          </w:tcPr>
          <w:p w14:paraId="32BD8CF0">
            <w:pPr>
              <w:autoSpaceDE w:val="0"/>
              <w:autoSpaceDN w:val="0"/>
              <w:adjustRightInd w:val="0"/>
              <w:spacing w:line="360" w:lineRule="auto"/>
              <w:jc w:val="center"/>
              <w:rPr>
                <w:rFonts w:ascii="宋体" w:hAnsi="宋体" w:cs="宋体"/>
                <w:color w:val="000000" w:themeColor="text1"/>
                <w:kern w:val="0"/>
                <w:szCs w:val="21"/>
              </w:rPr>
            </w:pPr>
          </w:p>
        </w:tc>
      </w:tr>
      <w:tr w14:paraId="3666B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22D7D78F">
            <w:pPr>
              <w:autoSpaceDE w:val="0"/>
              <w:autoSpaceDN w:val="0"/>
              <w:adjustRightInd w:val="0"/>
              <w:spacing w:line="240" w:lineRule="auto"/>
              <w:jc w:val="center"/>
              <w:rPr>
                <w:rFonts w:hint="eastAsia"/>
                <w:color w:val="auto"/>
              </w:rPr>
            </w:pPr>
            <w:r>
              <w:rPr>
                <w:rFonts w:hint="eastAsia"/>
                <w:color w:val="auto"/>
              </w:rPr>
              <w:t>验收标准</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7DEB0B80">
            <w:pPr>
              <w:widowControl/>
              <w:numPr>
                <w:ilvl w:val="0"/>
                <w:numId w:val="0"/>
              </w:numPr>
              <w:textAlignment w:val="center"/>
              <w:rPr>
                <w:rFonts w:hint="eastAsia" w:ascii="宋体" w:hAnsi="宋体"/>
                <w:bCs/>
                <w:color w:val="auto"/>
                <w:szCs w:val="21"/>
                <w:lang w:val="en-US" w:eastAsia="zh-CN"/>
              </w:rPr>
            </w:pPr>
            <w:r>
              <w:rPr>
                <w:rFonts w:hint="eastAsia" w:ascii="宋体" w:hAnsi="宋体"/>
                <w:bCs/>
                <w:color w:val="auto"/>
                <w:szCs w:val="21"/>
                <w:lang w:val="en-US" w:eastAsia="zh-CN"/>
              </w:rPr>
              <w:t xml:space="preserve">    1.以项目询价文件及采购合同为验收依据。</w:t>
            </w:r>
          </w:p>
          <w:p w14:paraId="2BCA2988">
            <w:pPr>
              <w:widowControl/>
              <w:numPr>
                <w:ilvl w:val="0"/>
                <w:numId w:val="0"/>
              </w:numPr>
              <w:textAlignment w:val="center"/>
              <w:rPr>
                <w:rFonts w:hint="eastAsia" w:ascii="宋体" w:hAnsi="宋体"/>
                <w:bCs/>
                <w:color w:val="auto"/>
                <w:szCs w:val="21"/>
                <w:lang w:val="en-US" w:eastAsia="zh-CN"/>
              </w:rPr>
            </w:pPr>
            <w:r>
              <w:rPr>
                <w:rFonts w:hint="eastAsia" w:ascii="宋体" w:hAnsi="宋体"/>
                <w:bCs/>
                <w:color w:val="auto"/>
                <w:szCs w:val="21"/>
                <w:lang w:val="en-US" w:eastAsia="zh-CN"/>
              </w:rPr>
              <w:t xml:space="preserve">    2.如成交供应商未按《广西财经学院2025年图书馆中文图书采购项目询价采购公告》和《广西财经学院2025年图书馆中文图书采购报价表》承诺提供服务工作的按违约处理，如提供虚假材料的，除按相关规定做违约处理外，采购人依据相关法律规定追究成交供应商的责任，由此带来的一切责任及损失由成交供应商自行承担。</w:t>
            </w:r>
          </w:p>
          <w:p w14:paraId="7EB1D0D7">
            <w:pPr>
              <w:widowControl/>
              <w:numPr>
                <w:ilvl w:val="0"/>
                <w:numId w:val="0"/>
              </w:numPr>
              <w:textAlignment w:val="center"/>
              <w:rPr>
                <w:rFonts w:hint="eastAsia" w:ascii="宋体" w:hAnsi="宋体"/>
                <w:bCs/>
                <w:color w:val="auto"/>
                <w:szCs w:val="21"/>
                <w:lang w:val="en-US" w:eastAsia="zh-CN"/>
              </w:rPr>
            </w:pPr>
            <w:r>
              <w:rPr>
                <w:rFonts w:hint="eastAsia" w:ascii="宋体" w:hAnsi="宋体"/>
                <w:bCs/>
                <w:color w:val="auto"/>
                <w:szCs w:val="21"/>
                <w:lang w:val="en-US" w:eastAsia="zh-CN"/>
              </w:rPr>
              <w:t xml:space="preserve">    3.符合现行国家标准、行业标准、地方标准或者其他标准、规范和法律法规。若有多项标准不一的，按最新标准或较高标准执行。</w:t>
            </w:r>
          </w:p>
          <w:p w14:paraId="4D8987F3">
            <w:pPr>
              <w:widowControl/>
              <w:numPr>
                <w:ilvl w:val="0"/>
                <w:numId w:val="0"/>
              </w:numPr>
              <w:textAlignment w:val="center"/>
              <w:rPr>
                <w:rFonts w:hint="eastAsia" w:ascii="宋体" w:hAnsi="宋体"/>
                <w:bCs/>
                <w:color w:val="auto"/>
                <w:szCs w:val="21"/>
                <w:lang w:val="en-US" w:eastAsia="zh-CN"/>
              </w:rPr>
            </w:pPr>
            <w:r>
              <w:rPr>
                <w:rFonts w:hint="eastAsia" w:ascii="宋体" w:hAnsi="宋体"/>
                <w:bCs/>
                <w:color w:val="auto"/>
                <w:szCs w:val="21"/>
                <w:lang w:val="en-US" w:eastAsia="zh-CN"/>
              </w:rPr>
              <w:t xml:space="preserve">    4.其他未尽事宜应严格按照《关于印发广西壮族自治区政府采购项目履约验收管理办法的通知》[桂财采〔2015〕22号]以及《财政部关于进一步加强政府采购需求和履约验收管理的指导意见》[财库〔2016〕205号]规定执行。</w:t>
            </w:r>
          </w:p>
        </w:tc>
        <w:tc>
          <w:tcPr>
            <w:tcW w:w="480" w:type="dxa"/>
            <w:tcBorders>
              <w:top w:val="single" w:color="auto" w:sz="4" w:space="0"/>
              <w:left w:val="single" w:color="auto" w:sz="4" w:space="0"/>
              <w:bottom w:val="single" w:color="auto" w:sz="4" w:space="0"/>
              <w:right w:val="single" w:color="auto" w:sz="4" w:space="0"/>
            </w:tcBorders>
            <w:vAlign w:val="center"/>
          </w:tcPr>
          <w:p w14:paraId="744A4844">
            <w:pPr>
              <w:autoSpaceDE w:val="0"/>
              <w:autoSpaceDN w:val="0"/>
              <w:adjustRightInd w:val="0"/>
              <w:spacing w:line="360" w:lineRule="auto"/>
              <w:jc w:val="center"/>
              <w:rPr>
                <w:rFonts w:ascii="宋体" w:hAnsi="宋体" w:cs="宋体"/>
                <w:color w:val="000000" w:themeColor="text1"/>
                <w:kern w:val="0"/>
                <w:szCs w:val="21"/>
              </w:rPr>
            </w:pPr>
          </w:p>
        </w:tc>
        <w:tc>
          <w:tcPr>
            <w:tcW w:w="1018" w:type="dxa"/>
            <w:gridSpan w:val="2"/>
            <w:tcBorders>
              <w:top w:val="single" w:color="auto" w:sz="4" w:space="0"/>
              <w:left w:val="single" w:color="auto" w:sz="4" w:space="0"/>
              <w:bottom w:val="single" w:color="auto" w:sz="4" w:space="0"/>
              <w:right w:val="single" w:color="auto" w:sz="4" w:space="0"/>
            </w:tcBorders>
            <w:vAlign w:val="center"/>
          </w:tcPr>
          <w:p w14:paraId="33613C0D">
            <w:pPr>
              <w:autoSpaceDE w:val="0"/>
              <w:autoSpaceDN w:val="0"/>
              <w:adjustRightInd w:val="0"/>
              <w:spacing w:line="360" w:lineRule="auto"/>
              <w:jc w:val="center"/>
              <w:rPr>
                <w:rFonts w:ascii="宋体" w:hAnsi="宋体" w:cs="宋体"/>
                <w:color w:val="000000" w:themeColor="text1"/>
                <w:kern w:val="0"/>
                <w:szCs w:val="21"/>
              </w:rPr>
            </w:pPr>
          </w:p>
        </w:tc>
      </w:tr>
      <w:tr w14:paraId="2434B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6"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384A7CDA">
            <w:pPr>
              <w:autoSpaceDE w:val="0"/>
              <w:autoSpaceDN w:val="0"/>
              <w:adjustRightInd w:val="0"/>
              <w:spacing w:line="240" w:lineRule="auto"/>
              <w:jc w:val="left"/>
              <w:rPr>
                <w:rFonts w:ascii="宋体" w:hAnsi="宋体" w:cs="TimesNewRomanPSMT"/>
                <w:b/>
                <w:color w:val="000000" w:themeColor="text1"/>
                <w:kern w:val="0"/>
                <w:szCs w:val="21"/>
              </w:rPr>
            </w:pPr>
            <w:r>
              <w:rPr>
                <w:rFonts w:hint="eastAsia"/>
                <w:color w:val="000000" w:themeColor="text1"/>
              </w:rPr>
              <w:t>★</w:t>
            </w:r>
            <w:r>
              <w:rPr>
                <w:rFonts w:hint="eastAsia" w:ascii="宋体" w:hAnsi="宋体" w:cs="宋体"/>
                <w:bCs/>
                <w:szCs w:val="21"/>
              </w:rPr>
              <w:t>售后服务要求</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0C8A1BB1">
            <w:pPr>
              <w:spacing w:line="300" w:lineRule="exact"/>
              <w:ind w:firstLine="420" w:firstLineChars="200"/>
              <w:rPr>
                <w:color w:val="000000" w:themeColor="text1"/>
              </w:rPr>
            </w:pPr>
            <w:r>
              <w:rPr>
                <w:rFonts w:hint="eastAsia"/>
                <w:color w:val="000000" w:themeColor="text1"/>
              </w:rPr>
              <w:t>1.送货上门，按采购人要求包装并运送至指定地点。</w:t>
            </w:r>
          </w:p>
          <w:p w14:paraId="17107DCD">
            <w:pPr>
              <w:spacing w:line="300" w:lineRule="exact"/>
              <w:ind w:firstLine="420" w:firstLineChars="200"/>
              <w:rPr>
                <w:color w:val="000000" w:themeColor="text1"/>
              </w:rPr>
            </w:pPr>
            <w:r>
              <w:rPr>
                <w:rFonts w:hint="eastAsia"/>
                <w:color w:val="000000" w:themeColor="text1"/>
              </w:rPr>
              <w:t>2.遇质量问题或其他突发情况，</w:t>
            </w:r>
            <w:r>
              <w:rPr>
                <w:rFonts w:hint="eastAsia" w:ascii="宋体" w:hAnsi="宋体"/>
                <w:bCs/>
                <w:szCs w:val="21"/>
                <w:lang w:eastAsia="zh-CN"/>
              </w:rPr>
              <w:t>成交</w:t>
            </w:r>
            <w:r>
              <w:rPr>
                <w:rFonts w:hint="eastAsia" w:ascii="宋体" w:hAnsi="宋体"/>
                <w:bCs/>
                <w:szCs w:val="21"/>
              </w:rPr>
              <w:t>供应商</w:t>
            </w:r>
            <w:r>
              <w:rPr>
                <w:rFonts w:hint="eastAsia"/>
                <w:color w:val="000000" w:themeColor="text1"/>
              </w:rPr>
              <w:t>在接到采购人通知后，在2小时内需要作出响应，12小时内到达现场。</w:t>
            </w:r>
          </w:p>
          <w:p w14:paraId="6BAEF04C">
            <w:pPr>
              <w:widowControl/>
              <w:spacing w:line="300" w:lineRule="exact"/>
              <w:ind w:firstLine="420" w:firstLineChars="200"/>
              <w:textAlignment w:val="center"/>
              <w:rPr>
                <w:color w:val="000000" w:themeColor="text1"/>
              </w:rPr>
            </w:pPr>
            <w:r>
              <w:rPr>
                <w:rFonts w:hint="eastAsia"/>
                <w:color w:val="000000" w:themeColor="text1"/>
              </w:rPr>
              <w:t>3.项目供货过程中产生的残留物或垃圾，需由</w:t>
            </w:r>
            <w:r>
              <w:rPr>
                <w:rFonts w:hint="eastAsia" w:ascii="宋体" w:hAnsi="宋体"/>
                <w:bCs/>
                <w:szCs w:val="21"/>
                <w:lang w:eastAsia="zh-CN"/>
              </w:rPr>
              <w:t>成交</w:t>
            </w:r>
            <w:r>
              <w:rPr>
                <w:rFonts w:hint="eastAsia" w:ascii="宋体" w:hAnsi="宋体"/>
                <w:bCs/>
                <w:szCs w:val="21"/>
              </w:rPr>
              <w:t>供应商</w:t>
            </w:r>
            <w:r>
              <w:rPr>
                <w:rFonts w:hint="eastAsia"/>
                <w:color w:val="000000" w:themeColor="text1"/>
              </w:rPr>
              <w:t>自行清理至校外。</w:t>
            </w:r>
          </w:p>
          <w:p w14:paraId="3ABE6E65">
            <w:pPr>
              <w:spacing w:line="300" w:lineRule="exact"/>
              <w:ind w:firstLine="420" w:firstLineChars="200"/>
              <w:rPr>
                <w:color w:val="000000" w:themeColor="text1"/>
              </w:rPr>
            </w:pPr>
            <w:r>
              <w:rPr>
                <w:rFonts w:hint="eastAsia"/>
                <w:color w:val="000000" w:themeColor="text1"/>
              </w:rPr>
              <w:t>4.</w:t>
            </w:r>
            <w:r>
              <w:rPr>
                <w:rFonts w:hint="eastAsia" w:ascii="宋体" w:hAnsi="宋体"/>
                <w:bCs/>
                <w:szCs w:val="21"/>
                <w:lang w:eastAsia="zh-CN"/>
              </w:rPr>
              <w:t>成交</w:t>
            </w:r>
            <w:r>
              <w:rPr>
                <w:rFonts w:hint="eastAsia" w:ascii="宋体" w:hAnsi="宋体"/>
                <w:bCs/>
                <w:szCs w:val="21"/>
              </w:rPr>
              <w:t>供应商</w:t>
            </w:r>
            <w:r>
              <w:rPr>
                <w:rFonts w:hint="eastAsia"/>
                <w:color w:val="000000" w:themeColor="text1"/>
              </w:rPr>
              <w:t>无条件到馆协助开展读书月、新书展示等活动。</w:t>
            </w:r>
          </w:p>
        </w:tc>
        <w:tc>
          <w:tcPr>
            <w:tcW w:w="480" w:type="dxa"/>
            <w:tcBorders>
              <w:top w:val="single" w:color="auto" w:sz="4" w:space="0"/>
              <w:left w:val="single" w:color="auto" w:sz="4" w:space="0"/>
              <w:bottom w:val="single" w:color="auto" w:sz="4" w:space="0"/>
              <w:right w:val="single" w:color="auto" w:sz="4" w:space="0"/>
            </w:tcBorders>
            <w:vAlign w:val="center"/>
          </w:tcPr>
          <w:p w14:paraId="05F7B4DC">
            <w:pPr>
              <w:autoSpaceDE w:val="0"/>
              <w:autoSpaceDN w:val="0"/>
              <w:adjustRightInd w:val="0"/>
              <w:spacing w:line="360" w:lineRule="auto"/>
              <w:jc w:val="left"/>
              <w:rPr>
                <w:rFonts w:ascii="宋体" w:hAnsi="宋体" w:cs="TimesNewRomanPSMT"/>
                <w:b/>
                <w:color w:val="000000" w:themeColor="text1"/>
                <w:kern w:val="0"/>
                <w:szCs w:val="21"/>
              </w:rPr>
            </w:pPr>
          </w:p>
        </w:tc>
        <w:tc>
          <w:tcPr>
            <w:tcW w:w="1018" w:type="dxa"/>
            <w:gridSpan w:val="2"/>
            <w:tcBorders>
              <w:top w:val="single" w:color="auto" w:sz="4" w:space="0"/>
              <w:left w:val="single" w:color="auto" w:sz="4" w:space="0"/>
              <w:bottom w:val="single" w:color="auto" w:sz="4" w:space="0"/>
              <w:right w:val="single" w:color="auto" w:sz="4" w:space="0"/>
            </w:tcBorders>
            <w:vAlign w:val="center"/>
          </w:tcPr>
          <w:p w14:paraId="4CF2CCFB">
            <w:pPr>
              <w:autoSpaceDE w:val="0"/>
              <w:autoSpaceDN w:val="0"/>
              <w:adjustRightInd w:val="0"/>
              <w:spacing w:line="360" w:lineRule="auto"/>
              <w:jc w:val="left"/>
              <w:rPr>
                <w:rFonts w:ascii="宋体" w:hAnsi="宋体" w:cs="TimesNewRomanPSMT"/>
                <w:b/>
                <w:color w:val="000000" w:themeColor="text1"/>
                <w:kern w:val="0"/>
                <w:szCs w:val="21"/>
              </w:rPr>
            </w:pPr>
          </w:p>
        </w:tc>
      </w:tr>
      <w:tr w14:paraId="5ED20C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9" w:hRule="atLeast"/>
          <w:jc w:val="center"/>
        </w:trPr>
        <w:tc>
          <w:tcPr>
            <w:tcW w:w="699" w:type="dxa"/>
            <w:gridSpan w:val="2"/>
            <w:tcBorders>
              <w:top w:val="single" w:color="auto" w:sz="4" w:space="0"/>
              <w:left w:val="single" w:color="auto" w:sz="4" w:space="0"/>
              <w:right w:val="single" w:color="auto" w:sz="4" w:space="0"/>
            </w:tcBorders>
            <w:vAlign w:val="center"/>
          </w:tcPr>
          <w:p w14:paraId="473E0D6E">
            <w:pPr>
              <w:autoSpaceDE w:val="0"/>
              <w:autoSpaceDN w:val="0"/>
              <w:adjustRightInd w:val="0"/>
              <w:spacing w:line="360" w:lineRule="auto"/>
              <w:jc w:val="left"/>
              <w:rPr>
                <w:rFonts w:ascii="宋体" w:hAnsi="宋体" w:cs="宋体"/>
                <w:bCs/>
                <w:szCs w:val="21"/>
              </w:rPr>
            </w:pPr>
            <w:r>
              <w:rPr>
                <w:rFonts w:hint="eastAsia" w:ascii="宋体" w:hAnsi="宋体" w:cs="宋体"/>
                <w:bCs/>
                <w:szCs w:val="21"/>
              </w:rPr>
              <w:t>其他要求</w:t>
            </w:r>
          </w:p>
        </w:tc>
        <w:tc>
          <w:tcPr>
            <w:tcW w:w="7651" w:type="dxa"/>
            <w:gridSpan w:val="5"/>
            <w:tcBorders>
              <w:top w:val="single" w:color="auto" w:sz="4" w:space="0"/>
              <w:left w:val="single" w:color="auto" w:sz="4" w:space="0"/>
              <w:right w:val="single" w:color="auto" w:sz="4" w:space="0"/>
            </w:tcBorders>
            <w:vAlign w:val="center"/>
          </w:tcPr>
          <w:p w14:paraId="58AAF69C">
            <w:pPr>
              <w:widowControl/>
              <w:spacing w:line="300" w:lineRule="exact"/>
              <w:ind w:firstLine="420" w:firstLineChars="200"/>
              <w:jc w:val="left"/>
              <w:rPr>
                <w:rFonts w:ascii="宋体" w:hAnsi="宋体"/>
                <w:bCs/>
                <w:szCs w:val="21"/>
              </w:rPr>
            </w:pPr>
            <w:r>
              <w:rPr>
                <w:rFonts w:hint="eastAsia" w:ascii="宋体" w:hAnsi="宋体"/>
                <w:bCs/>
                <w:szCs w:val="21"/>
              </w:rPr>
              <w:t>1</w:t>
            </w:r>
            <w:r>
              <w:rPr>
                <w:rFonts w:hint="eastAsia" w:ascii="宋体" w:hAnsi="宋体"/>
                <w:bCs/>
                <w:szCs w:val="21"/>
                <w:lang w:val="en-US" w:eastAsia="zh-CN"/>
              </w:rPr>
              <w:t>.</w:t>
            </w:r>
            <w:r>
              <w:rPr>
                <w:rFonts w:hint="eastAsia" w:ascii="宋体" w:hAnsi="宋体"/>
                <w:bCs/>
                <w:szCs w:val="21"/>
                <w:lang w:eastAsia="zh-CN"/>
              </w:rPr>
              <w:t>成交</w:t>
            </w:r>
            <w:r>
              <w:rPr>
                <w:rFonts w:hint="eastAsia" w:ascii="宋体" w:hAnsi="宋体"/>
                <w:bCs/>
                <w:szCs w:val="21"/>
              </w:rPr>
              <w:t>供应商所提供的图书目录必须包括但不限于如下出版社现发行全品种书目给采购方选购：北京大学出版社、清华大学出版社、复旦大学出版社、</w:t>
            </w:r>
          </w:p>
          <w:p w14:paraId="34F5747C">
            <w:pPr>
              <w:widowControl/>
              <w:spacing w:line="300" w:lineRule="exact"/>
              <w:jc w:val="left"/>
              <w:rPr>
                <w:rFonts w:ascii="宋体" w:hAnsi="宋体"/>
                <w:bCs/>
                <w:szCs w:val="21"/>
              </w:rPr>
            </w:pPr>
            <w:r>
              <w:rPr>
                <w:rFonts w:hint="eastAsia" w:ascii="宋体" w:hAnsi="宋体"/>
                <w:bCs/>
                <w:szCs w:val="21"/>
              </w:rPr>
              <w:t>中国人民大学出版社、南京大学出版社、浙江大学出版社、武汉大学出版社、中山大学出版社、厦门大学出版社、北京师范大学出版社、中央财经大学出版社、中南财经政法大学出版社、中国财政经济出版社、经济管理出版社、中国对外贸易出版社、中国审计出版社、中国商业出版社、中国统计出版社、高等教育出版社、人民教育出版社、教育科学出版社、商务印书馆、生活.读书.新知三联出版社、中国社会科学出版社、中国经济出版社、科学出版社、人民文学出版社、作家出版社、人民出版社、上海教育出版社、江苏教育出版社、立信图书用品社等。</w:t>
            </w:r>
          </w:p>
          <w:p w14:paraId="2A885DB8">
            <w:pPr>
              <w:spacing w:line="300" w:lineRule="exact"/>
              <w:ind w:firstLine="420" w:firstLineChars="200"/>
              <w:rPr>
                <w:rFonts w:ascii="宋体" w:hAnsi="宋体" w:cs="宋体"/>
                <w:szCs w:val="21"/>
              </w:rPr>
            </w:pPr>
            <w:r>
              <w:rPr>
                <w:rFonts w:hint="eastAsia" w:ascii="宋体" w:hAnsi="宋体"/>
                <w:bCs/>
                <w:szCs w:val="21"/>
              </w:rPr>
              <w:t>2.</w:t>
            </w:r>
            <w:r>
              <w:rPr>
                <w:rFonts w:hint="eastAsia" w:ascii="宋体" w:hAnsi="宋体"/>
                <w:bCs/>
                <w:szCs w:val="21"/>
                <w:lang w:eastAsia="zh-CN"/>
              </w:rPr>
              <w:t>成交</w:t>
            </w:r>
            <w:r>
              <w:rPr>
                <w:rFonts w:hint="eastAsia" w:ascii="宋体" w:hAnsi="宋体"/>
                <w:bCs/>
                <w:szCs w:val="21"/>
              </w:rPr>
              <w:t>供应商必须100%接受采购人提出的所涉出版社现发行全品种图书、读者推荐以及其他急需的图书订单。不得因为供货折扣原因屏蔽任何图书品种，每期书目信息不得重复。</w:t>
            </w:r>
          </w:p>
        </w:tc>
        <w:tc>
          <w:tcPr>
            <w:tcW w:w="480" w:type="dxa"/>
            <w:tcBorders>
              <w:top w:val="single" w:color="auto" w:sz="4" w:space="0"/>
              <w:left w:val="single" w:color="auto" w:sz="4" w:space="0"/>
              <w:right w:val="single" w:color="auto" w:sz="4" w:space="0"/>
            </w:tcBorders>
            <w:vAlign w:val="center"/>
          </w:tcPr>
          <w:p w14:paraId="6978CDD8">
            <w:pPr>
              <w:autoSpaceDE w:val="0"/>
              <w:autoSpaceDN w:val="0"/>
              <w:adjustRightInd w:val="0"/>
              <w:spacing w:line="360" w:lineRule="auto"/>
              <w:jc w:val="left"/>
              <w:rPr>
                <w:rFonts w:ascii="宋体" w:hAnsi="宋体" w:cs="TimesNewRomanPSMT"/>
                <w:b/>
                <w:color w:val="000000" w:themeColor="text1"/>
                <w:kern w:val="0"/>
                <w:szCs w:val="21"/>
              </w:rPr>
            </w:pPr>
          </w:p>
        </w:tc>
        <w:tc>
          <w:tcPr>
            <w:tcW w:w="1018" w:type="dxa"/>
            <w:gridSpan w:val="2"/>
            <w:tcBorders>
              <w:top w:val="single" w:color="auto" w:sz="4" w:space="0"/>
              <w:left w:val="single" w:color="auto" w:sz="4" w:space="0"/>
              <w:bottom w:val="single" w:color="auto" w:sz="4" w:space="0"/>
              <w:right w:val="single" w:color="auto" w:sz="4" w:space="0"/>
            </w:tcBorders>
            <w:vAlign w:val="center"/>
          </w:tcPr>
          <w:p w14:paraId="74D3A3D3">
            <w:pPr>
              <w:autoSpaceDE w:val="0"/>
              <w:autoSpaceDN w:val="0"/>
              <w:adjustRightInd w:val="0"/>
              <w:spacing w:line="360" w:lineRule="auto"/>
              <w:jc w:val="left"/>
              <w:rPr>
                <w:rFonts w:ascii="宋体" w:hAnsi="宋体" w:cs="TimesNewRomanPSMT"/>
                <w:b/>
                <w:color w:val="000000" w:themeColor="text1"/>
                <w:kern w:val="0"/>
                <w:szCs w:val="21"/>
              </w:rPr>
            </w:pPr>
          </w:p>
        </w:tc>
      </w:tr>
    </w:tbl>
    <w:p w14:paraId="1CAF537C">
      <w:pPr>
        <w:tabs>
          <w:tab w:val="left" w:pos="8054"/>
        </w:tabs>
        <w:snapToGrid w:val="0"/>
        <w:spacing w:line="320" w:lineRule="exact"/>
        <w:jc w:val="left"/>
        <w:rPr>
          <w:rFonts w:ascii="宋体" w:hAnsi="宋体" w:cs="宋体"/>
          <w:b/>
          <w:color w:val="000000" w:themeColor="text1"/>
          <w:szCs w:val="21"/>
        </w:rPr>
      </w:pPr>
    </w:p>
    <w:p w14:paraId="725EFAB0">
      <w:pPr>
        <w:spacing w:line="320" w:lineRule="exact"/>
        <w:rPr>
          <w:rFonts w:ascii="仿宋_GB2312" w:hAnsi="仿宋"/>
          <w:b/>
          <w:color w:val="000000" w:themeColor="text1"/>
          <w:sz w:val="24"/>
        </w:rPr>
      </w:pPr>
      <w:r>
        <w:rPr>
          <w:rFonts w:hint="eastAsia" w:ascii="仿宋_GB2312" w:hAnsi="仿宋"/>
          <w:b/>
          <w:color w:val="000000" w:themeColor="text1"/>
          <w:sz w:val="24"/>
        </w:rPr>
        <w:t>有关要求：</w:t>
      </w:r>
    </w:p>
    <w:p w14:paraId="7CE69F77">
      <w:pPr>
        <w:spacing w:line="320" w:lineRule="exact"/>
        <w:ind w:firstLine="480" w:firstLineChars="200"/>
        <w:rPr>
          <w:rFonts w:hint="eastAsia" w:ascii="仿宋_GB2312" w:hAnsi="Calibri" w:eastAsia="宋体"/>
          <w:color w:val="000000" w:themeColor="text1"/>
          <w:sz w:val="24"/>
          <w:lang w:eastAsia="zh-CN"/>
        </w:rPr>
      </w:pPr>
      <w:r>
        <w:rPr>
          <w:rFonts w:hint="eastAsia" w:ascii="仿宋_GB2312" w:hAnsi="Calibri"/>
          <w:color w:val="000000" w:themeColor="text1"/>
          <w:sz w:val="24"/>
        </w:rPr>
        <w:t>1.报价含运输、拆卸、安装、搬运、清理现场、废旧处理、维修人工费、税发票等所有费用。</w:t>
      </w:r>
    </w:p>
    <w:p w14:paraId="725C2E98">
      <w:pPr>
        <w:spacing w:line="320" w:lineRule="exact"/>
        <w:ind w:firstLine="480" w:firstLineChars="200"/>
        <w:rPr>
          <w:rFonts w:ascii="仿宋_GB2312" w:hAnsi="Calibri"/>
          <w:color w:val="000000" w:themeColor="text1"/>
          <w:sz w:val="24"/>
        </w:rPr>
      </w:pPr>
      <w:r>
        <w:rPr>
          <w:rFonts w:hint="eastAsia" w:ascii="仿宋_GB2312" w:hAnsi="Calibri"/>
          <w:color w:val="000000" w:themeColor="text1"/>
          <w:sz w:val="24"/>
        </w:rPr>
        <w:t>2.报价超过本项目上限控制价作无效报价处理。</w:t>
      </w:r>
    </w:p>
    <w:p w14:paraId="68D4225C">
      <w:pPr>
        <w:spacing w:line="320" w:lineRule="exact"/>
        <w:ind w:firstLine="480" w:firstLineChars="200"/>
        <w:rPr>
          <w:rFonts w:hint="eastAsia" w:ascii="仿宋_GB2312" w:hAnsi="Calibri" w:eastAsia="宋体"/>
          <w:color w:val="000000" w:themeColor="text1"/>
          <w:sz w:val="24"/>
          <w:lang w:eastAsia="zh-CN"/>
        </w:rPr>
      </w:pPr>
      <w:r>
        <w:rPr>
          <w:rFonts w:hint="eastAsia" w:ascii="仿宋_GB2312" w:hAnsi="Calibri"/>
          <w:color w:val="000000" w:themeColor="text1"/>
          <w:sz w:val="24"/>
        </w:rPr>
        <w:t>3.成交</w:t>
      </w:r>
      <w:r>
        <w:rPr>
          <w:rFonts w:hint="eastAsia" w:ascii="仿宋_GB2312" w:hAnsi="Calibri"/>
          <w:color w:val="000000" w:themeColor="text1"/>
          <w:sz w:val="24"/>
          <w:lang w:eastAsia="zh-CN"/>
        </w:rPr>
        <w:t>供应商</w:t>
      </w:r>
      <w:r>
        <w:rPr>
          <w:rFonts w:hint="eastAsia" w:ascii="仿宋_GB2312" w:hAnsi="Calibri"/>
          <w:color w:val="000000" w:themeColor="text1"/>
          <w:sz w:val="24"/>
        </w:rPr>
        <w:t>须按采购人的要求供货，否则采购人有权拒收。</w:t>
      </w:r>
    </w:p>
    <w:p w14:paraId="0CE8B39D">
      <w:pPr>
        <w:spacing w:line="320" w:lineRule="exact"/>
        <w:ind w:firstLine="480" w:firstLineChars="200"/>
        <w:rPr>
          <w:rFonts w:ascii="仿宋_GB2312" w:hAnsi="Calibri"/>
          <w:color w:val="000000" w:themeColor="text1"/>
          <w:sz w:val="24"/>
        </w:rPr>
      </w:pPr>
      <w:r>
        <w:rPr>
          <w:rFonts w:hint="eastAsia" w:ascii="仿宋_GB2312" w:hAnsi="Calibri"/>
          <w:color w:val="000000" w:themeColor="text1"/>
          <w:sz w:val="24"/>
        </w:rPr>
        <w:t>4.</w:t>
      </w:r>
      <w:r>
        <w:rPr>
          <w:rFonts w:hint="eastAsia" w:ascii="仿宋_GB2312" w:hAnsi="Calibri"/>
          <w:color w:val="000000" w:themeColor="text1"/>
          <w:sz w:val="24"/>
          <w:lang w:eastAsia="zh-CN"/>
        </w:rPr>
        <w:t>供应商</w:t>
      </w:r>
      <w:r>
        <w:rPr>
          <w:rFonts w:hint="eastAsia" w:ascii="仿宋_GB2312" w:hAnsi="Calibri"/>
          <w:color w:val="000000" w:themeColor="text1"/>
          <w:sz w:val="24"/>
        </w:rPr>
        <w:t>应按清单中的项目自行备货，根据我方的实际使用需求进行供货，并负责安装到位，确保正常使用。</w:t>
      </w:r>
    </w:p>
    <w:p w14:paraId="25F0088F">
      <w:pPr>
        <w:spacing w:line="320" w:lineRule="exact"/>
        <w:ind w:firstLine="480" w:firstLineChars="200"/>
        <w:rPr>
          <w:rFonts w:ascii="仿宋_GB2312" w:hAnsi="宋体" w:cs="宋体"/>
          <w:b/>
          <w:bCs/>
          <w:color w:val="000000" w:themeColor="text1"/>
          <w:sz w:val="28"/>
          <w:szCs w:val="28"/>
        </w:rPr>
      </w:pPr>
      <w:r>
        <w:rPr>
          <w:rFonts w:hint="eastAsia" w:ascii="宋体" w:hAnsi="宋体" w:cs="宋体"/>
          <w:color w:val="000000" w:themeColor="text1"/>
          <w:sz w:val="24"/>
        </w:rPr>
        <w:t>5.</w:t>
      </w:r>
      <w:r>
        <w:rPr>
          <w:rFonts w:ascii="宋体" w:hAnsi="宋体" w:cs="宋体"/>
          <w:color w:val="000000" w:themeColor="text1"/>
          <w:sz w:val="24"/>
        </w:rPr>
        <w:t>带</w:t>
      </w:r>
      <w:r>
        <w:rPr>
          <w:rFonts w:hint="eastAsia" w:ascii="宋体" w:hAnsi="宋体" w:cs="宋体"/>
          <w:color w:val="000000" w:themeColor="text1"/>
        </w:rPr>
        <w:t>★</w:t>
      </w:r>
      <w:r>
        <w:rPr>
          <w:rFonts w:ascii="宋体" w:hAnsi="宋体" w:cs="宋体"/>
          <w:color w:val="000000" w:themeColor="text1"/>
          <w:sz w:val="24"/>
        </w:rPr>
        <w:t>条款，</w:t>
      </w:r>
      <w:r>
        <w:rPr>
          <w:rFonts w:hint="eastAsia" w:ascii="宋体" w:hAnsi="宋体" w:cs="宋体"/>
          <w:color w:val="000000" w:themeColor="text1"/>
          <w:sz w:val="24"/>
        </w:rPr>
        <w:t>报价人</w:t>
      </w:r>
      <w:r>
        <w:rPr>
          <w:rFonts w:ascii="宋体" w:hAnsi="宋体" w:cs="宋体"/>
          <w:color w:val="000000" w:themeColor="text1"/>
          <w:sz w:val="24"/>
        </w:rPr>
        <w:t>必须响应，否则视为无效报价</w:t>
      </w:r>
      <w:r>
        <w:rPr>
          <w:rFonts w:hint="eastAsia" w:ascii="宋体" w:hAnsi="宋体" w:cs="宋体"/>
          <w:color w:val="000000" w:themeColor="text1"/>
          <w:sz w:val="24"/>
        </w:rPr>
        <w:t>。</w:t>
      </w:r>
    </w:p>
    <w:p w14:paraId="4DF4F3AB">
      <w:pPr>
        <w:spacing w:line="560" w:lineRule="exact"/>
        <w:rPr>
          <w:rFonts w:ascii="仿宋_GB2312" w:hAnsi="宋体" w:cs="宋体"/>
          <w:b/>
          <w:bCs/>
          <w:color w:val="000000" w:themeColor="text1"/>
          <w:sz w:val="28"/>
          <w:szCs w:val="28"/>
        </w:rPr>
      </w:pPr>
    </w:p>
    <w:p w14:paraId="70047206">
      <w:pPr>
        <w:spacing w:line="56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报价公司（盖公章）：</w:t>
      </w:r>
      <w:r>
        <w:rPr>
          <w:rFonts w:hint="eastAsia" w:ascii="仿宋_GB2312" w:hAnsi="仿宋_GB2312" w:eastAsia="仿宋_GB2312" w:cs="仿宋_GB2312"/>
          <w:b/>
          <w:bCs/>
          <w:color w:val="000000" w:themeColor="text1"/>
          <w:sz w:val="28"/>
          <w:szCs w:val="28"/>
          <w:lang w:val="en-US" w:eastAsia="zh-CN"/>
        </w:rPr>
        <w:t xml:space="preserve">                </w:t>
      </w:r>
      <w:r>
        <w:rPr>
          <w:rFonts w:hint="eastAsia" w:ascii="仿宋_GB2312" w:hAnsi="仿宋_GB2312" w:eastAsia="仿宋_GB2312" w:cs="仿宋_GB2312"/>
          <w:b/>
          <w:bCs/>
          <w:color w:val="000000" w:themeColor="text1"/>
          <w:sz w:val="28"/>
          <w:szCs w:val="28"/>
        </w:rPr>
        <w:t>法定代表人签字：</w:t>
      </w:r>
    </w:p>
    <w:p w14:paraId="6E20A30C">
      <w:pPr>
        <w:spacing w:line="560" w:lineRule="exact"/>
        <w:rPr>
          <w:rFonts w:ascii="仿宋_GB2312" w:hAnsi="仿宋_GB2312" w:eastAsia="仿宋_GB2312" w:cs="仿宋_GB2312"/>
          <w:color w:val="000000" w:themeColor="text1"/>
        </w:rPr>
      </w:pPr>
      <w:r>
        <w:rPr>
          <w:rFonts w:hint="eastAsia" w:ascii="仿宋_GB2312" w:hAnsi="仿宋_GB2312" w:eastAsia="仿宋_GB2312" w:cs="仿宋_GB2312"/>
          <w:b/>
          <w:bCs/>
          <w:color w:val="000000" w:themeColor="text1"/>
          <w:sz w:val="28"/>
          <w:szCs w:val="28"/>
        </w:rPr>
        <w:t>报价时间：</w:t>
      </w:r>
      <w:r>
        <w:rPr>
          <w:rFonts w:hint="eastAsia" w:ascii="仿宋_GB2312" w:hAnsi="仿宋_GB2312" w:eastAsia="仿宋_GB2312" w:cs="仿宋_GB2312"/>
          <w:b/>
          <w:bCs/>
          <w:color w:val="000000" w:themeColor="text1"/>
          <w:sz w:val="28"/>
          <w:szCs w:val="28"/>
          <w:lang w:val="en-US" w:eastAsia="zh-CN"/>
        </w:rPr>
        <w:t xml:space="preserve">    </w:t>
      </w:r>
      <w:r>
        <w:rPr>
          <w:rFonts w:hint="eastAsia" w:ascii="仿宋_GB2312" w:hAnsi="仿宋_GB2312" w:eastAsia="仿宋_GB2312" w:cs="仿宋_GB2312"/>
          <w:b/>
          <w:bCs/>
          <w:color w:val="000000" w:themeColor="text1"/>
          <w:sz w:val="28"/>
          <w:szCs w:val="28"/>
        </w:rPr>
        <w:t>年</w:t>
      </w:r>
      <w:r>
        <w:rPr>
          <w:rFonts w:hint="eastAsia" w:ascii="仿宋_GB2312" w:hAnsi="仿宋_GB2312" w:eastAsia="仿宋_GB2312" w:cs="仿宋_GB2312"/>
          <w:b/>
          <w:bCs/>
          <w:color w:val="000000" w:themeColor="text1"/>
          <w:sz w:val="28"/>
          <w:szCs w:val="28"/>
          <w:lang w:val="en-US" w:eastAsia="zh-CN"/>
        </w:rPr>
        <w:t xml:space="preserve">   </w:t>
      </w:r>
      <w:r>
        <w:rPr>
          <w:rFonts w:hint="eastAsia" w:ascii="仿宋_GB2312" w:hAnsi="仿宋_GB2312" w:eastAsia="仿宋_GB2312" w:cs="仿宋_GB2312"/>
          <w:b/>
          <w:bCs/>
          <w:color w:val="000000" w:themeColor="text1"/>
          <w:sz w:val="28"/>
          <w:szCs w:val="28"/>
        </w:rPr>
        <w:t>月</w:t>
      </w:r>
      <w:r>
        <w:rPr>
          <w:rFonts w:hint="eastAsia" w:ascii="仿宋_GB2312" w:hAnsi="仿宋_GB2312" w:eastAsia="仿宋_GB2312" w:cs="仿宋_GB2312"/>
          <w:b/>
          <w:bCs/>
          <w:color w:val="000000" w:themeColor="text1"/>
          <w:sz w:val="28"/>
          <w:szCs w:val="28"/>
          <w:lang w:val="en-US" w:eastAsia="zh-CN"/>
        </w:rPr>
        <w:t xml:space="preserve">  </w:t>
      </w:r>
      <w:r>
        <w:rPr>
          <w:rFonts w:hint="eastAsia" w:ascii="仿宋_GB2312" w:hAnsi="仿宋_GB2312" w:eastAsia="仿宋_GB2312" w:cs="仿宋_GB2312"/>
          <w:b/>
          <w:bCs/>
          <w:color w:val="000000" w:themeColor="text1"/>
          <w:sz w:val="28"/>
          <w:szCs w:val="28"/>
        </w:rPr>
        <w:t>日</w:t>
      </w:r>
      <w:r>
        <w:rPr>
          <w:rFonts w:hint="eastAsia" w:ascii="仿宋_GB2312" w:hAnsi="仿宋_GB2312" w:eastAsia="仿宋_GB2312" w:cs="仿宋_GB2312"/>
          <w:b/>
          <w:bCs/>
          <w:color w:val="000000" w:themeColor="text1"/>
          <w:sz w:val="28"/>
          <w:szCs w:val="28"/>
          <w:lang w:val="en-US" w:eastAsia="zh-CN"/>
        </w:rPr>
        <w:t xml:space="preserve">           </w:t>
      </w:r>
      <w:r>
        <w:rPr>
          <w:rFonts w:hint="eastAsia" w:ascii="仿宋_GB2312" w:hAnsi="仿宋_GB2312" w:eastAsia="仿宋_GB2312" w:cs="仿宋_GB2312"/>
          <w:b/>
          <w:bCs/>
          <w:color w:val="000000" w:themeColor="text1"/>
          <w:sz w:val="28"/>
          <w:szCs w:val="28"/>
        </w:rPr>
        <w:t>联系人及电话：</w:t>
      </w:r>
    </w:p>
    <w:p w14:paraId="0ADBDEED">
      <w:pPr>
        <w:spacing w:line="320" w:lineRule="exact"/>
        <w:rPr>
          <w:rFonts w:ascii="仿宋_GB2312" w:hAnsi="仿宋_GB2312" w:eastAsia="仿宋_GB2312" w:cs="仿宋_GB2312"/>
          <w:color w:val="000000" w:themeColor="text1"/>
        </w:rPr>
      </w:pPr>
    </w:p>
    <w:sectPr>
      <w:headerReference r:id="rId5" w:type="first"/>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ingFang-SC-Regular">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24A51">
    <w:r>
      <w:pict>
        <v:shape id="_x0000_s4129" o:spid="_x0000_s4129" o:spt="136" type="#_x0000_t136" style="position:absolute;left:0pt;margin-left:-48pt;margin-top:66pt;height:12pt;width:116pt;z-index:25170841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30" o:spid="_x0000_s4130" o:spt="136" type="#_x0000_t136" style="position:absolute;left:0pt;margin-left:-48pt;margin-top:270pt;height:12pt;width:116pt;z-index:25170944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31" o:spid="_x0000_s4131" o:spt="136" type="#_x0000_t136" style="position:absolute;left:0pt;margin-left:-48pt;margin-top:464pt;height:12pt;width:116pt;z-index:25171046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32" o:spid="_x0000_s4132" o:spt="136" type="#_x0000_t136" style="position:absolute;left:0pt;margin-left:-48pt;margin-top:670pt;height:12pt;width:116pt;z-index:25171148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33" o:spid="_x0000_s4133" o:spt="136" type="#_x0000_t136" style="position:absolute;left:0pt;margin-left:145pt;margin-top:60pt;height:12pt;width:116pt;z-index:25171251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34" o:spid="_x0000_s4134" o:spt="136" type="#_x0000_t136" style="position:absolute;left:0pt;margin-left:145pt;margin-top:258pt;height:12pt;width:116pt;z-index:25171353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35" o:spid="_x0000_s4135" o:spt="136" type="#_x0000_t136" style="position:absolute;left:0pt;margin-left:145pt;margin-top:457pt;height:12pt;width:116pt;z-index:25171456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36" o:spid="_x0000_s4136" o:spt="136" type="#_x0000_t136" style="position:absolute;left:0pt;margin-left:145pt;margin-top:655pt;height:12pt;width:116pt;z-index:25171558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37" o:spid="_x0000_s4137" o:spt="136" type="#_x0000_t136" style="position:absolute;left:0pt;margin-left:351pt;margin-top:62pt;height:12pt;width:116pt;z-index:25171660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38" o:spid="_x0000_s4138" o:spt="136" type="#_x0000_t136" style="position:absolute;left:0pt;margin-left:351pt;margin-top:256pt;height:12pt;width:116pt;z-index:25171763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39" o:spid="_x0000_s4139" o:spt="136" type="#_x0000_t136" style="position:absolute;left:0pt;margin-left:351pt;margin-top:463pt;height:12pt;width:116pt;z-index:25171865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40" o:spid="_x0000_s4140" o:spt="136" type="#_x0000_t136" style="position:absolute;left:0pt;margin-left:351pt;margin-top:670pt;height:12pt;width:116pt;z-index:25171968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41" o:spid="_x0000_s4141" o:spt="136" type="#_x0000_t136" style="position:absolute;left:0pt;margin-left:552pt;margin-top:56pt;height:12pt;width:116pt;z-index:25172070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42" o:spid="_x0000_s4142" o:spt="136" type="#_x0000_t136" style="position:absolute;left:0pt;margin-left:552pt;margin-top:258pt;height:12pt;width:116pt;z-index:25172172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43" o:spid="_x0000_s4143" o:spt="136" type="#_x0000_t136" style="position:absolute;left:0pt;margin-left:552pt;margin-top:464pt;height:12pt;width:116pt;z-index:25172275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44" o:spid="_x0000_s4144" o:spt="136" type="#_x0000_t136" style="position:absolute;left:0pt;margin-left:552pt;margin-top:657pt;height:12pt;width:116pt;z-index:25172377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p>
  <w:p w14:paraId="00391047">
    <w:r>
      <w:pict>
        <v:shape id="_x0000_s4145" o:spid="_x0000_s4145" o:spt="136" type="#_x0000_t136" style="position:absolute;left:0pt;margin-left:-46pt;margin-top:59pt;height:12pt;width:116pt;rotation:-2621440f;z-index:25167564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46" o:spid="_x0000_s4146" o:spt="136" type="#_x0000_t136" style="position:absolute;left:0pt;margin-left:-46pt;margin-top:270pt;height:12pt;width:116pt;rotation:-2621440f;z-index:25167667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47" o:spid="_x0000_s4147" o:spt="136" type="#_x0000_t136" style="position:absolute;left:0pt;margin-left:-46pt;margin-top:462pt;height:12pt;width:116pt;rotation:-2621440f;z-index:25167769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48" o:spid="_x0000_s4148" o:spt="136" type="#_x0000_t136" style="position:absolute;left:0pt;margin-left:-46pt;margin-top:657pt;height:12pt;width:116pt;rotation:-2621440f;z-index:25167872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49" o:spid="_x0000_s4149" o:spt="136" type="#_x0000_t136" style="position:absolute;left:0pt;margin-left:143pt;margin-top:60pt;height:12pt;width:116pt;rotation:-2621440f;z-index:25167974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50" o:spid="_x0000_s4150" o:spt="136" type="#_x0000_t136" style="position:absolute;left:0pt;margin-left:143pt;margin-top:261pt;height:12pt;width:116pt;rotation:-2621440f;z-index:25168076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51" o:spid="_x0000_s4151" o:spt="136" type="#_x0000_t136" style="position:absolute;left:0pt;margin-left:143pt;margin-top:468pt;height:12pt;width:116pt;rotation:-2621440f;z-index:25168179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52" o:spid="_x0000_s4152" o:spt="136" type="#_x0000_t136" style="position:absolute;left:0pt;margin-left:143pt;margin-top:668pt;height:12pt;width:116pt;rotation:-2621440f;z-index:25168281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53" o:spid="_x0000_s4153" o:spt="136" type="#_x0000_t136" style="position:absolute;left:0pt;margin-left:354pt;margin-top:61pt;height:12pt;width:116pt;rotation:-2621440f;z-index:25168384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54" o:spid="_x0000_s4154" o:spt="136" type="#_x0000_t136" style="position:absolute;left:0pt;margin-left:354pt;margin-top:255pt;height:12pt;width:116pt;rotation:-2621440f;z-index:25168486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55" o:spid="_x0000_s4155" o:spt="136" type="#_x0000_t136" style="position:absolute;left:0pt;margin-left:354pt;margin-top:462pt;height:12pt;width:116pt;rotation:-2621440f;z-index:25168588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56" o:spid="_x0000_s4156" o:spt="136" type="#_x0000_t136" style="position:absolute;left:0pt;margin-left:354pt;margin-top:666pt;height:12pt;width:116pt;rotation:-2621440f;z-index:25168691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57" o:spid="_x0000_s4157" o:spt="136" type="#_x0000_t136" style="position:absolute;left:0pt;margin-left:549pt;margin-top:64pt;height:12pt;width:116pt;rotation:-2621440f;z-index:25168793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58" o:spid="_x0000_s4158" o:spt="136" type="#_x0000_t136" style="position:absolute;left:0pt;margin-left:549pt;margin-top:269pt;height:12pt;width:116pt;rotation:-2621440f;z-index:25168896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59" o:spid="_x0000_s4159" o:spt="136" type="#_x0000_t136" style="position:absolute;left:0pt;margin-left:549pt;margin-top:469pt;height:12pt;width:116pt;rotation:-2621440f;z-index:25168998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60" o:spid="_x0000_s4160" o:spt="136" type="#_x0000_t136" style="position:absolute;left:0pt;margin-left:549pt;margin-top:659pt;height:12pt;width:116pt;rotation:-2621440f;z-index:25169100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9A409">
    <w:r>
      <w:pict>
        <v:shape id="_x0000_s4161" o:spid="_x0000_s4161" o:spt="136" type="#_x0000_t136" style="position:absolute;left:0pt;margin-left:-48pt;margin-top:66pt;height:12pt;width:116pt;z-index:25174118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62" o:spid="_x0000_s4162" o:spt="136" type="#_x0000_t136" style="position:absolute;left:0pt;margin-left:-48pt;margin-top:270pt;height:12pt;width:116pt;z-index:25174220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63" o:spid="_x0000_s4163" o:spt="136" type="#_x0000_t136" style="position:absolute;left:0pt;margin-left:-48pt;margin-top:464pt;height:12pt;width:116pt;z-index:25174323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64" o:spid="_x0000_s4164" o:spt="136" type="#_x0000_t136" style="position:absolute;left:0pt;margin-left:-48pt;margin-top:670pt;height:12pt;width:116pt;z-index:25174425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65" o:spid="_x0000_s4165" o:spt="136" type="#_x0000_t136" style="position:absolute;left:0pt;margin-left:145pt;margin-top:60pt;height:12pt;width:116pt;z-index:25174528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66" o:spid="_x0000_s4166" o:spt="136" type="#_x0000_t136" style="position:absolute;left:0pt;margin-left:145pt;margin-top:258pt;height:12pt;width:116pt;z-index:25174630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67" o:spid="_x0000_s4167" o:spt="136" type="#_x0000_t136" style="position:absolute;left:0pt;margin-left:145pt;margin-top:457pt;height:12pt;width:116pt;z-index:25174732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68" o:spid="_x0000_s4168" o:spt="136" type="#_x0000_t136" style="position:absolute;left:0pt;margin-left:145pt;margin-top:655pt;height:12pt;width:116pt;z-index:25174835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69" o:spid="_x0000_s4169" o:spt="136" type="#_x0000_t136" style="position:absolute;left:0pt;margin-left:351pt;margin-top:62pt;height:12pt;width:116pt;z-index:25174937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70" o:spid="_x0000_s4170" o:spt="136" type="#_x0000_t136" style="position:absolute;left:0pt;margin-left:351pt;margin-top:256pt;height:12pt;width:116pt;z-index:25175040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71" o:spid="_x0000_s4171" o:spt="136" type="#_x0000_t136" style="position:absolute;left:0pt;margin-left:351pt;margin-top:463pt;height:12pt;width:116pt;z-index:25175142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72" o:spid="_x0000_s4172" o:spt="136" type="#_x0000_t136" style="position:absolute;left:0pt;margin-left:351pt;margin-top:670pt;height:12pt;width:116pt;z-index:25175244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73" o:spid="_x0000_s4173" o:spt="136" type="#_x0000_t136" style="position:absolute;left:0pt;margin-left:552pt;margin-top:56pt;height:12pt;width:116pt;z-index:25175347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74" o:spid="_x0000_s4174" o:spt="136" type="#_x0000_t136" style="position:absolute;left:0pt;margin-left:552pt;margin-top:258pt;height:12pt;width:116pt;z-index:25175449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75" o:spid="_x0000_s4175" o:spt="136" type="#_x0000_t136" style="position:absolute;left:0pt;margin-left:552pt;margin-top:464pt;height:12pt;width:116pt;z-index:25175552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76" o:spid="_x0000_s4176" o:spt="136" type="#_x0000_t136" style="position:absolute;left:0pt;margin-left:552pt;margin-top:657pt;height:12pt;width:116pt;z-index:25175654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p>
  <w:p w14:paraId="68CD8CA2">
    <w:r>
      <w:pict>
        <v:shape id="_x0000_s4177" o:spid="_x0000_s4177" o:spt="136" type="#_x0000_t136" style="position:absolute;left:0pt;margin-left:-46pt;margin-top:59pt;height:12pt;width:116pt;rotation:-2621440f;z-index:25169203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78" o:spid="_x0000_s4178" o:spt="136" type="#_x0000_t136" style="position:absolute;left:0pt;margin-left:-46pt;margin-top:270pt;height:12pt;width:116pt;rotation:-2621440f;z-index:25169305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79" o:spid="_x0000_s4179" o:spt="136" type="#_x0000_t136" style="position:absolute;left:0pt;margin-left:-46pt;margin-top:462pt;height:12pt;width:116pt;rotation:-2621440f;z-index:25169408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80" o:spid="_x0000_s4180" o:spt="136" type="#_x0000_t136" style="position:absolute;left:0pt;margin-left:-46pt;margin-top:657pt;height:12pt;width:116pt;rotation:-2621440f;z-index:25169510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81" o:spid="_x0000_s4181" o:spt="136" type="#_x0000_t136" style="position:absolute;left:0pt;margin-left:143pt;margin-top:60pt;height:12pt;width:116pt;rotation:-2621440f;z-index:25169612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82" o:spid="_x0000_s4182" o:spt="136" type="#_x0000_t136" style="position:absolute;left:0pt;margin-left:143pt;margin-top:261pt;height:12pt;width:116pt;rotation:-2621440f;z-index:25169715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83" o:spid="_x0000_s4183" o:spt="136" type="#_x0000_t136" style="position:absolute;left:0pt;margin-left:143pt;margin-top:468pt;height:12pt;width:116pt;rotation:-2621440f;z-index:25169817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84" o:spid="_x0000_s4184" o:spt="136" type="#_x0000_t136" style="position:absolute;left:0pt;margin-left:143pt;margin-top:668pt;height:12pt;width:116pt;rotation:-2621440f;z-index:25169920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85" o:spid="_x0000_s4185" o:spt="136" type="#_x0000_t136" style="position:absolute;left:0pt;margin-left:354pt;margin-top:61pt;height:12pt;width:116pt;rotation:-2621440f;z-index:25170022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86" o:spid="_x0000_s4186" o:spt="136" type="#_x0000_t136" style="position:absolute;left:0pt;margin-left:354pt;margin-top:255pt;height:12pt;width:116pt;rotation:-2621440f;z-index:25170124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87" o:spid="_x0000_s4187" o:spt="136" type="#_x0000_t136" style="position:absolute;left:0pt;margin-left:354pt;margin-top:462pt;height:12pt;width:116pt;rotation:-2621440f;z-index:25170227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88" o:spid="_x0000_s4188" o:spt="136" type="#_x0000_t136" style="position:absolute;left:0pt;margin-left:354pt;margin-top:666pt;height:12pt;width:116pt;rotation:-2621440f;z-index:25170329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89" o:spid="_x0000_s4189" o:spt="136" type="#_x0000_t136" style="position:absolute;left:0pt;margin-left:549pt;margin-top:64pt;height:12pt;width:116pt;rotation:-2621440f;z-index:25170432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90" o:spid="_x0000_s4190" o:spt="136" type="#_x0000_t136" style="position:absolute;left:0pt;margin-left:549pt;margin-top:269pt;height:12pt;width:116pt;rotation:-2621440f;z-index:25170534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91" o:spid="_x0000_s4191" o:spt="136" type="#_x0000_t136" style="position:absolute;left:0pt;margin-left:549pt;margin-top:469pt;height:12pt;width:116pt;rotation:-2621440f;z-index:25170636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92" o:spid="_x0000_s4192" o:spt="136" type="#_x0000_t136" style="position:absolute;left:0pt;margin-left:549pt;margin-top:659pt;height:12pt;width:116pt;rotation:-2621440f;z-index:25170739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27A3F">
    <w:r>
      <w:pict>
        <v:shape id="_x0000_s4097" o:spid="_x0000_s4097" o:spt="136" type="#_x0000_t136" style="position:absolute;left:0pt;margin-left:-48pt;margin-top:66pt;height:12pt;width:116pt;z-index:25172480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098" o:spid="_x0000_s4098" o:spt="136" type="#_x0000_t136" style="position:absolute;left:0pt;margin-left:-48pt;margin-top:270pt;height:12pt;width:116pt;z-index:25172582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099" o:spid="_x0000_s4099" o:spt="136" type="#_x0000_t136" style="position:absolute;left:0pt;margin-left:-48pt;margin-top:464pt;height:12pt;width:116pt;z-index:25172684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00" o:spid="_x0000_s4100" o:spt="136" type="#_x0000_t136" style="position:absolute;left:0pt;margin-left:-48pt;margin-top:670pt;height:12pt;width:116pt;z-index:25172787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01" o:spid="_x0000_s4101" o:spt="136" type="#_x0000_t136" style="position:absolute;left:0pt;margin-left:145pt;margin-top:60pt;height:12pt;width:116pt;z-index:25172889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02" o:spid="_x0000_s4102" o:spt="136" type="#_x0000_t136" style="position:absolute;left:0pt;margin-left:145pt;margin-top:258pt;height:12pt;width:116pt;z-index:25172992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03" o:spid="_x0000_s4103" o:spt="136" type="#_x0000_t136" style="position:absolute;left:0pt;margin-left:145pt;margin-top:457pt;height:12pt;width:116pt;z-index:25173094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04" o:spid="_x0000_s4104" o:spt="136" type="#_x0000_t136" style="position:absolute;left:0pt;margin-left:145pt;margin-top:655pt;height:12pt;width:116pt;z-index:25173196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05" o:spid="_x0000_s4105" o:spt="136" type="#_x0000_t136" style="position:absolute;left:0pt;margin-left:351pt;margin-top:62pt;height:12pt;width:116pt;z-index:25173299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06" o:spid="_x0000_s4106" o:spt="136" type="#_x0000_t136" style="position:absolute;left:0pt;margin-left:351pt;margin-top:256pt;height:12pt;width:116pt;z-index:25173401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07" o:spid="_x0000_s4107" o:spt="136" type="#_x0000_t136" style="position:absolute;left:0pt;margin-left:351pt;margin-top:463pt;height:12pt;width:116pt;z-index:25173504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08" o:spid="_x0000_s4108" o:spt="136" type="#_x0000_t136" style="position:absolute;left:0pt;margin-left:351pt;margin-top:670pt;height:12pt;width:116pt;z-index:25173606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09" o:spid="_x0000_s4109" o:spt="136" type="#_x0000_t136" style="position:absolute;left:0pt;margin-left:552pt;margin-top:56pt;height:12pt;width:116pt;z-index:25173708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10" o:spid="_x0000_s4110" o:spt="136" type="#_x0000_t136" style="position:absolute;left:0pt;margin-left:552pt;margin-top:258pt;height:12pt;width:116pt;z-index:25173811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11" o:spid="_x0000_s4111" o:spt="136" type="#_x0000_t136" style="position:absolute;left:0pt;margin-left:552pt;margin-top:464pt;height:12pt;width:116pt;z-index:25173913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12" o:spid="_x0000_s4112" o:spt="136" type="#_x0000_t136" style="position:absolute;left:0pt;margin-left:552pt;margin-top:657pt;height:12pt;width:116pt;z-index:25174016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p>
  <w:p w14:paraId="7F71B0D9">
    <w:r>
      <w:pict>
        <v:shape id="_x0000_s4113" o:spid="_x0000_s4113" o:spt="136" type="#_x0000_t136" style="position:absolute;left:0pt;margin-left:-46pt;margin-top:59pt;height:12pt;width:116pt;rotation:-2621440f;z-index:25165926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14" o:spid="_x0000_s4114" o:spt="136" type="#_x0000_t136" style="position:absolute;left:0pt;margin-left:-46pt;margin-top:270pt;height:12pt;width:116pt;rotation:-2621440f;z-index:25166028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15" o:spid="_x0000_s4115" o:spt="136" type="#_x0000_t136" style="position:absolute;left:0pt;margin-left:-46pt;margin-top:462pt;height:12pt;width:116pt;rotation:-2621440f;z-index:25166131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16" o:spid="_x0000_s4116" o:spt="136" type="#_x0000_t136" style="position:absolute;left:0pt;margin-left:-46pt;margin-top:657pt;height:12pt;width:116pt;rotation:-2621440f;z-index:25166233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17" o:spid="_x0000_s4117" o:spt="136" type="#_x0000_t136" style="position:absolute;left:0pt;margin-left:143pt;margin-top:60pt;height:12pt;width:116pt;rotation:-2621440f;z-index:25166336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18" o:spid="_x0000_s4118" o:spt="136" type="#_x0000_t136" style="position:absolute;left:0pt;margin-left:143pt;margin-top:261pt;height:12pt;width:116pt;rotation:-2621440f;z-index:25166438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19" o:spid="_x0000_s4119" o:spt="136" type="#_x0000_t136" style="position:absolute;left:0pt;margin-left:143pt;margin-top:468pt;height:12pt;width:116pt;rotation:-2621440f;z-index:25166540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20" o:spid="_x0000_s4120" o:spt="136" type="#_x0000_t136" style="position:absolute;left:0pt;margin-left:143pt;margin-top:668pt;height:12pt;width:116pt;rotation:-2621440f;z-index:25166643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21" o:spid="_x0000_s4121" o:spt="136" type="#_x0000_t136" style="position:absolute;left:0pt;margin-left:354pt;margin-top:61pt;height:12pt;width:116pt;rotation:-2621440f;z-index:25166745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22" o:spid="_x0000_s4122" o:spt="136" type="#_x0000_t136" style="position:absolute;left:0pt;margin-left:354pt;margin-top:255pt;height:12pt;width:116pt;rotation:-2621440f;z-index:25166848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23" o:spid="_x0000_s4123" o:spt="136" type="#_x0000_t136" style="position:absolute;left:0pt;margin-left:354pt;margin-top:462pt;height:12pt;width:116pt;rotation:-2621440f;z-index:25166950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24" o:spid="_x0000_s4124" o:spt="136" type="#_x0000_t136" style="position:absolute;left:0pt;margin-left:354pt;margin-top:666pt;height:12pt;width:116pt;rotation:-2621440f;z-index:25167052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25" o:spid="_x0000_s4125" o:spt="136" type="#_x0000_t136" style="position:absolute;left:0pt;margin-left:549pt;margin-top:64pt;height:12pt;width:116pt;rotation:-2621440f;z-index:25167155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26" o:spid="_x0000_s4126" o:spt="136" type="#_x0000_t136" style="position:absolute;left:0pt;margin-left:549pt;margin-top:269pt;height:12pt;width:116pt;rotation:-2621440f;z-index:25167257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27" o:spid="_x0000_s4127" o:spt="136" type="#_x0000_t136" style="position:absolute;left:0pt;margin-left:549pt;margin-top:469pt;height:12pt;width:116pt;rotation:-2621440f;z-index:25167360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28" o:spid="_x0000_s4128" o:spt="136" type="#_x0000_t136" style="position:absolute;left:0pt;margin-left:549pt;margin-top:659pt;height:12pt;width:116pt;rotation:-2621440f;z-index:25167462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0ZmVjMjRlMmE5ZjRmYmZiOGMxYzI3MDdkZjY5MDMifQ=="/>
  </w:docVars>
  <w:rsids>
    <w:rsidRoot w:val="00716244"/>
    <w:rsid w:val="0008735D"/>
    <w:rsid w:val="000A1A0C"/>
    <w:rsid w:val="000C33CB"/>
    <w:rsid w:val="001405F8"/>
    <w:rsid w:val="00146000"/>
    <w:rsid w:val="0017361B"/>
    <w:rsid w:val="00185869"/>
    <w:rsid w:val="001A0B22"/>
    <w:rsid w:val="001B0013"/>
    <w:rsid w:val="0022617A"/>
    <w:rsid w:val="00232D8C"/>
    <w:rsid w:val="002E75DA"/>
    <w:rsid w:val="00317527"/>
    <w:rsid w:val="00325E9A"/>
    <w:rsid w:val="00350274"/>
    <w:rsid w:val="00393F1C"/>
    <w:rsid w:val="003A1ABB"/>
    <w:rsid w:val="00410410"/>
    <w:rsid w:val="0045789E"/>
    <w:rsid w:val="004F0385"/>
    <w:rsid w:val="00554803"/>
    <w:rsid w:val="005743D6"/>
    <w:rsid w:val="005A627C"/>
    <w:rsid w:val="0067525B"/>
    <w:rsid w:val="006D415F"/>
    <w:rsid w:val="00716244"/>
    <w:rsid w:val="00772061"/>
    <w:rsid w:val="007D79D0"/>
    <w:rsid w:val="007E19F0"/>
    <w:rsid w:val="0081695A"/>
    <w:rsid w:val="008439B5"/>
    <w:rsid w:val="00870C3D"/>
    <w:rsid w:val="008E455E"/>
    <w:rsid w:val="00922DE3"/>
    <w:rsid w:val="009A497F"/>
    <w:rsid w:val="00A76C26"/>
    <w:rsid w:val="00AA352F"/>
    <w:rsid w:val="00B27B5B"/>
    <w:rsid w:val="00B30CF6"/>
    <w:rsid w:val="00B60C57"/>
    <w:rsid w:val="00B7602A"/>
    <w:rsid w:val="00BA251F"/>
    <w:rsid w:val="00C166CF"/>
    <w:rsid w:val="00C2235F"/>
    <w:rsid w:val="00C2397A"/>
    <w:rsid w:val="00CA2CFE"/>
    <w:rsid w:val="00CA4782"/>
    <w:rsid w:val="00CD57A9"/>
    <w:rsid w:val="00CF1ED6"/>
    <w:rsid w:val="00D200E1"/>
    <w:rsid w:val="00D47094"/>
    <w:rsid w:val="00D6602A"/>
    <w:rsid w:val="00DA049C"/>
    <w:rsid w:val="00DD2892"/>
    <w:rsid w:val="00E814F9"/>
    <w:rsid w:val="00F8365B"/>
    <w:rsid w:val="00F84E02"/>
    <w:rsid w:val="00F940A2"/>
    <w:rsid w:val="026C6D7F"/>
    <w:rsid w:val="03127926"/>
    <w:rsid w:val="04D12749"/>
    <w:rsid w:val="054D10EA"/>
    <w:rsid w:val="066B1214"/>
    <w:rsid w:val="06BE541B"/>
    <w:rsid w:val="072C25A5"/>
    <w:rsid w:val="07B05960"/>
    <w:rsid w:val="084D1C15"/>
    <w:rsid w:val="08D05DA9"/>
    <w:rsid w:val="0A83110A"/>
    <w:rsid w:val="0CCF0C43"/>
    <w:rsid w:val="0DBA3094"/>
    <w:rsid w:val="0E107158"/>
    <w:rsid w:val="0F1978B0"/>
    <w:rsid w:val="0FC81C2D"/>
    <w:rsid w:val="100752F7"/>
    <w:rsid w:val="11CB1D14"/>
    <w:rsid w:val="12545FAF"/>
    <w:rsid w:val="13EE3F4D"/>
    <w:rsid w:val="14A52BFC"/>
    <w:rsid w:val="15AB4C21"/>
    <w:rsid w:val="17B0553A"/>
    <w:rsid w:val="19E716B5"/>
    <w:rsid w:val="1B205E94"/>
    <w:rsid w:val="1B903686"/>
    <w:rsid w:val="1C3A2496"/>
    <w:rsid w:val="1CF076C9"/>
    <w:rsid w:val="1DAC5C38"/>
    <w:rsid w:val="20112FE8"/>
    <w:rsid w:val="20B41BC5"/>
    <w:rsid w:val="211574CE"/>
    <w:rsid w:val="218B501C"/>
    <w:rsid w:val="21BD17D8"/>
    <w:rsid w:val="22EE13BE"/>
    <w:rsid w:val="23470791"/>
    <w:rsid w:val="23A97E6B"/>
    <w:rsid w:val="244B171D"/>
    <w:rsid w:val="25890112"/>
    <w:rsid w:val="26D4714C"/>
    <w:rsid w:val="27DE3677"/>
    <w:rsid w:val="282F3658"/>
    <w:rsid w:val="2B125E66"/>
    <w:rsid w:val="2F3445FD"/>
    <w:rsid w:val="30AB6213"/>
    <w:rsid w:val="337D0287"/>
    <w:rsid w:val="33E50F0E"/>
    <w:rsid w:val="34180991"/>
    <w:rsid w:val="369167D9"/>
    <w:rsid w:val="37160A8C"/>
    <w:rsid w:val="37906A90"/>
    <w:rsid w:val="38C904AC"/>
    <w:rsid w:val="3E1E2477"/>
    <w:rsid w:val="3F0B2EA0"/>
    <w:rsid w:val="3F9D29C1"/>
    <w:rsid w:val="45937F21"/>
    <w:rsid w:val="475D2C64"/>
    <w:rsid w:val="486D55A5"/>
    <w:rsid w:val="49AD4683"/>
    <w:rsid w:val="4A9E0A27"/>
    <w:rsid w:val="4AC73150"/>
    <w:rsid w:val="4E5A1A92"/>
    <w:rsid w:val="4F1F277C"/>
    <w:rsid w:val="50630D8E"/>
    <w:rsid w:val="54216F96"/>
    <w:rsid w:val="551331CD"/>
    <w:rsid w:val="5A8C6D52"/>
    <w:rsid w:val="5AF6453E"/>
    <w:rsid w:val="5B1A4B8E"/>
    <w:rsid w:val="5BDF0CAA"/>
    <w:rsid w:val="5C2A57B6"/>
    <w:rsid w:val="5CE60D7D"/>
    <w:rsid w:val="5D5A6047"/>
    <w:rsid w:val="624B3159"/>
    <w:rsid w:val="62B0155E"/>
    <w:rsid w:val="64D51D95"/>
    <w:rsid w:val="66F20AD7"/>
    <w:rsid w:val="69A1719E"/>
    <w:rsid w:val="6D1C7EA3"/>
    <w:rsid w:val="710B2708"/>
    <w:rsid w:val="712801C1"/>
    <w:rsid w:val="71C61CCE"/>
    <w:rsid w:val="73D82234"/>
    <w:rsid w:val="78F362FD"/>
    <w:rsid w:val="79B53756"/>
    <w:rsid w:val="79F93A46"/>
    <w:rsid w:val="7A8C2B0C"/>
    <w:rsid w:val="7A8D67C8"/>
    <w:rsid w:val="7B703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unhideWhenUsed/>
    <w:qFormat/>
    <w:uiPriority w:val="0"/>
    <w:pPr>
      <w:jc w:val="left"/>
    </w:pPr>
  </w:style>
  <w:style w:type="paragraph" w:styleId="4">
    <w:name w:val="Body Text"/>
    <w:basedOn w:val="1"/>
    <w:next w:val="1"/>
    <w:link w:val="18"/>
    <w:qFormat/>
    <w:uiPriority w:val="99"/>
    <w:pPr>
      <w:spacing w:line="380" w:lineRule="exact"/>
    </w:pPr>
    <w:rPr>
      <w:kern w:val="0"/>
      <w:sz w:val="24"/>
      <w:szCs w:val="24"/>
    </w:rPr>
  </w:style>
  <w:style w:type="paragraph" w:styleId="5">
    <w:name w:val="footer"/>
    <w:basedOn w:val="1"/>
    <w:next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semiHidden/>
    <w:unhideWhenUsed/>
    <w:qFormat/>
    <w:uiPriority w:val="99"/>
    <w:rPr>
      <w:b/>
      <w:bCs/>
    </w:r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 w:type="character" w:customStyle="1" w:styleId="14">
    <w:name w:val="批注文字 Char"/>
    <w:basedOn w:val="9"/>
    <w:link w:val="3"/>
    <w:semiHidden/>
    <w:qFormat/>
    <w:uiPriority w:val="99"/>
    <w:rPr>
      <w:kern w:val="2"/>
      <w:sz w:val="21"/>
      <w:szCs w:val="22"/>
    </w:rPr>
  </w:style>
  <w:style w:type="character" w:customStyle="1" w:styleId="15">
    <w:name w:val="批注主题 Char"/>
    <w:basedOn w:val="14"/>
    <w:link w:val="7"/>
    <w:semiHidden/>
    <w:qFormat/>
    <w:uiPriority w:val="99"/>
    <w:rPr>
      <w:b/>
      <w:bCs/>
      <w:kern w:val="2"/>
      <w:sz w:val="21"/>
      <w:szCs w:val="22"/>
    </w:rPr>
  </w:style>
  <w:style w:type="character" w:customStyle="1" w:styleId="16">
    <w:name w:val="批注文字 Char2"/>
    <w:qFormat/>
    <w:uiPriority w:val="0"/>
    <w:rPr>
      <w:kern w:val="2"/>
      <w:sz w:val="21"/>
      <w:szCs w:val="24"/>
    </w:rPr>
  </w:style>
  <w:style w:type="character" w:customStyle="1" w:styleId="17">
    <w:name w:val="标题 1 Char"/>
    <w:basedOn w:val="9"/>
    <w:link w:val="2"/>
    <w:qFormat/>
    <w:uiPriority w:val="9"/>
    <w:rPr>
      <w:b/>
      <w:bCs/>
      <w:kern w:val="44"/>
      <w:sz w:val="44"/>
      <w:szCs w:val="44"/>
    </w:rPr>
  </w:style>
  <w:style w:type="character" w:customStyle="1" w:styleId="18">
    <w:name w:val="正文文本 Char"/>
    <w:basedOn w:val="9"/>
    <w:link w:val="4"/>
    <w:qFormat/>
    <w:uiPriority w:val="99"/>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29"/>
    <customShpInfo spid="_x0000_s4130"/>
    <customShpInfo spid="_x0000_s4131"/>
    <customShpInfo spid="_x0000_s4132"/>
    <customShpInfo spid="_x0000_s4133"/>
    <customShpInfo spid="_x0000_s4134"/>
    <customShpInfo spid="_x0000_s4135"/>
    <customShpInfo spid="_x0000_s4136"/>
    <customShpInfo spid="_x0000_s4137"/>
    <customShpInfo spid="_x0000_s4138"/>
    <customShpInfo spid="_x0000_s4139"/>
    <customShpInfo spid="_x0000_s4140"/>
    <customShpInfo spid="_x0000_s4141"/>
    <customShpInfo spid="_x0000_s4142"/>
    <customShpInfo spid="_x0000_s4143"/>
    <customShpInfo spid="_x0000_s4144"/>
    <customShpInfo spid="_x0000_s4145"/>
    <customShpInfo spid="_x0000_s4146"/>
    <customShpInfo spid="_x0000_s4147"/>
    <customShpInfo spid="_x0000_s4148"/>
    <customShpInfo spid="_x0000_s4149"/>
    <customShpInfo spid="_x0000_s4150"/>
    <customShpInfo spid="_x0000_s4151"/>
    <customShpInfo spid="_x0000_s4152"/>
    <customShpInfo spid="_x0000_s4153"/>
    <customShpInfo spid="_x0000_s4154"/>
    <customShpInfo spid="_x0000_s4155"/>
    <customShpInfo spid="_x0000_s4156"/>
    <customShpInfo spid="_x0000_s4157"/>
    <customShpInfo spid="_x0000_s4158"/>
    <customShpInfo spid="_x0000_s4159"/>
    <customShpInfo spid="_x0000_s4160"/>
    <customShpInfo spid="_x0000_s4161"/>
    <customShpInfo spid="_x0000_s4162"/>
    <customShpInfo spid="_x0000_s4163"/>
    <customShpInfo spid="_x0000_s4164"/>
    <customShpInfo spid="_x0000_s4165"/>
    <customShpInfo spid="_x0000_s4166"/>
    <customShpInfo spid="_x0000_s4167"/>
    <customShpInfo spid="_x0000_s4168"/>
    <customShpInfo spid="_x0000_s4169"/>
    <customShpInfo spid="_x0000_s4170"/>
    <customShpInfo spid="_x0000_s4171"/>
    <customShpInfo spid="_x0000_s4172"/>
    <customShpInfo spid="_x0000_s4173"/>
    <customShpInfo spid="_x0000_s4174"/>
    <customShpInfo spid="_x0000_s4175"/>
    <customShpInfo spid="_x0000_s4176"/>
    <customShpInfo spid="_x0000_s4177"/>
    <customShpInfo spid="_x0000_s4178"/>
    <customShpInfo spid="_x0000_s4179"/>
    <customShpInfo spid="_x0000_s4180"/>
    <customShpInfo spid="_x0000_s4181"/>
    <customShpInfo spid="_x0000_s4182"/>
    <customShpInfo spid="_x0000_s4183"/>
    <customShpInfo spid="_x0000_s4184"/>
    <customShpInfo spid="_x0000_s4185"/>
    <customShpInfo spid="_x0000_s4186"/>
    <customShpInfo spid="_x0000_s4187"/>
    <customShpInfo spid="_x0000_s4188"/>
    <customShpInfo spid="_x0000_s4189"/>
    <customShpInfo spid="_x0000_s4190"/>
    <customShpInfo spid="_x0000_s4191"/>
    <customShpInfo spid="_x0000_s4192"/>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6193</Words>
  <Characters>6526</Characters>
  <Lines>45</Lines>
  <Paragraphs>12</Paragraphs>
  <TotalTime>37</TotalTime>
  <ScaleCrop>false</ScaleCrop>
  <LinksUpToDate>false</LinksUpToDate>
  <CharactersWithSpaces>6578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2021-09-14T01:48:00Z</dcterms:created>
  <dc:creator>Administrator</dc:creator>
  <cp:lastModifiedBy>元平</cp:lastModifiedBy>
  <dcterms:modified xsi:type="dcterms:W3CDTF">2025-07-25T07:11:39Z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0BF40B15F05C4347B285E6213399F3F2</vt:lpwstr>
  </property>
  <property fmtid="{D5CDD505-2E9C-101B-9397-08002B2CF9AE}" pid="3" name="KSOProductBuildVer">
    <vt:lpwstr>2052-12.1.0.21915</vt:lpwstr>
  </property>
  <property fmtid="{D5CDD505-2E9C-101B-9397-08002B2CF9AE}" pid="4" name="KSOTemplateDocerSaveRecord">
    <vt:lpwstr>eyJoZGlkIjoiNzM3ZmMyNzE2MzZiNGMwNGQwZjkyNTdmYTM0NWU1NTAiLCJ1c2VySWQiOiIyNjYzOTc2MDkifQ==</vt:lpwstr>
  </property>
</Properties>
</file>