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 w:val="0"/>
          <w:bCs w:val="0"/>
          <w:sz w:val="44"/>
          <w:szCs w:val="44"/>
          <w:lang w:val="en-US" w:eastAsia="zh-CN"/>
        </w:rPr>
      </w:pPr>
      <w:bookmarkStart w:id="0" w:name="_GoBack"/>
      <w:r>
        <w:rPr>
          <w:rFonts w:hint="eastAsia" w:ascii="方正小标宋简体" w:hAnsi="方正小标宋简体" w:eastAsia="方正小标宋简体" w:cs="方正小标宋简体"/>
          <w:b w:val="0"/>
          <w:bCs w:val="0"/>
          <w:sz w:val="44"/>
          <w:szCs w:val="44"/>
          <w:lang w:val="en-US" w:eastAsia="zh-Hans"/>
        </w:rPr>
        <w:t>Alpha智能法律软件</w:t>
      </w:r>
      <w:r>
        <w:rPr>
          <w:rFonts w:hint="eastAsia" w:ascii="方正小标宋简体" w:hAnsi="方正小标宋简体" w:eastAsia="方正小标宋简体" w:cs="方正小标宋简体"/>
          <w:b w:val="0"/>
          <w:bCs w:val="0"/>
          <w:sz w:val="44"/>
          <w:szCs w:val="44"/>
          <w:lang w:val="en-US" w:eastAsia="zh-CN"/>
        </w:rPr>
        <w:t>系统</w:t>
      </w:r>
      <w:r>
        <w:rPr>
          <w:rFonts w:hint="eastAsia" w:ascii="方正小标宋简体" w:hAnsi="方正小标宋简体" w:eastAsia="方正小标宋简体" w:cs="方正小标宋简体"/>
          <w:b w:val="0"/>
          <w:bCs w:val="0"/>
          <w:sz w:val="44"/>
          <w:szCs w:val="44"/>
          <w:lang w:val="en-US" w:eastAsia="zh-Hans"/>
        </w:rPr>
        <w:t>单一来源采购</w:t>
      </w:r>
      <w:r>
        <w:rPr>
          <w:rFonts w:hint="eastAsia" w:ascii="方正小标宋简体" w:hAnsi="方正小标宋简体" w:eastAsia="方正小标宋简体" w:cs="方正小标宋简体"/>
          <w:b w:val="0"/>
          <w:bCs w:val="0"/>
          <w:sz w:val="44"/>
          <w:szCs w:val="44"/>
          <w:lang w:val="en-US" w:eastAsia="zh-CN"/>
        </w:rPr>
        <w:t>说明</w:t>
      </w:r>
      <w:bookmarkEnd w:id="0"/>
    </w:p>
    <w:p>
      <w:pPr>
        <w:rPr>
          <w:rFonts w:hint="default"/>
          <w:lang w:val="en-US" w:eastAsia="zh-Hans"/>
        </w:rPr>
      </w:pPr>
      <w:r>
        <w:rPr>
          <w:rFonts w:hint="default"/>
          <w:lang w:eastAsia="zh-Hans"/>
        </w:rPr>
        <w:t xml:space="preserve">  </w:t>
      </w:r>
    </w:p>
    <w:p>
      <w:p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Hans"/>
        </w:rPr>
        <w:t>Alpha智能法律</w:t>
      </w:r>
      <w:r>
        <w:rPr>
          <w:rFonts w:hint="eastAsia" w:ascii="仿宋" w:hAnsi="仿宋" w:eastAsia="仿宋" w:cs="仿宋"/>
          <w:sz w:val="32"/>
          <w:szCs w:val="32"/>
          <w:lang w:val="en-US" w:eastAsia="zh-CN"/>
        </w:rPr>
        <w:t>软件</w:t>
      </w:r>
      <w:r>
        <w:rPr>
          <w:rFonts w:hint="eastAsia" w:ascii="仿宋" w:hAnsi="仿宋" w:eastAsia="仿宋" w:cs="仿宋"/>
          <w:sz w:val="32"/>
          <w:szCs w:val="32"/>
          <w:lang w:val="en-US" w:eastAsia="zh-Hans"/>
        </w:rPr>
        <w:t>系统（以下简称Alpha）是北京新橙科技有限公司（iCourt）开发的法律应用软件，该软件融法律数据库、诉讼案件流程、非诉项目流程、法律文书管理、合同写作审查、法律机构运营管理、法律服务市场拓展与客户管理、诉讼证据智能化、法律专业精品课程等内容为一体，集法学研究、法律实践、法律科技、法律教育等精华之大成，成为中国法律行业最受欢迎的法律软件。</w:t>
      </w:r>
    </w:p>
    <w:p>
      <w:p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Hans"/>
        </w:rPr>
        <w:t>据了解，Alpha于</w:t>
      </w:r>
      <w:r>
        <w:rPr>
          <w:rFonts w:hint="eastAsia" w:ascii="仿宋" w:hAnsi="仿宋" w:eastAsia="仿宋" w:cs="仿宋"/>
          <w:sz w:val="32"/>
          <w:szCs w:val="32"/>
          <w:lang w:eastAsia="zh-Hans"/>
        </w:rPr>
        <w:t>2107</w:t>
      </w:r>
      <w:r>
        <w:rPr>
          <w:rFonts w:hint="eastAsia" w:ascii="仿宋" w:hAnsi="仿宋" w:eastAsia="仿宋" w:cs="仿宋"/>
          <w:sz w:val="32"/>
          <w:szCs w:val="32"/>
          <w:lang w:val="en-US" w:eastAsia="zh-Hans"/>
        </w:rPr>
        <w:t>年</w:t>
      </w:r>
      <w:r>
        <w:rPr>
          <w:rFonts w:hint="eastAsia" w:ascii="仿宋" w:hAnsi="仿宋" w:eastAsia="仿宋" w:cs="仿宋"/>
          <w:sz w:val="32"/>
          <w:szCs w:val="32"/>
          <w:lang w:eastAsia="zh-Hans"/>
        </w:rPr>
        <w:t>1</w:t>
      </w:r>
      <w:r>
        <w:rPr>
          <w:rFonts w:hint="eastAsia" w:ascii="仿宋" w:hAnsi="仿宋" w:eastAsia="仿宋" w:cs="仿宋"/>
          <w:sz w:val="32"/>
          <w:szCs w:val="32"/>
          <w:lang w:val="en-US" w:eastAsia="zh-Hans"/>
        </w:rPr>
        <w:t>月</w:t>
      </w:r>
      <w:r>
        <w:rPr>
          <w:rFonts w:hint="eastAsia" w:ascii="仿宋" w:hAnsi="仿宋" w:eastAsia="仿宋" w:cs="仿宋"/>
          <w:sz w:val="32"/>
          <w:szCs w:val="32"/>
          <w:lang w:eastAsia="zh-Hans"/>
        </w:rPr>
        <w:t>1</w:t>
      </w:r>
      <w:r>
        <w:rPr>
          <w:rFonts w:hint="eastAsia" w:ascii="仿宋" w:hAnsi="仿宋" w:eastAsia="仿宋" w:cs="仿宋"/>
          <w:sz w:val="32"/>
          <w:szCs w:val="32"/>
          <w:lang w:val="en-US" w:eastAsia="zh-Hans"/>
        </w:rPr>
        <w:t>日正式上线。其用户主要包括律师、法务、法官、检察官、仲裁员、调解员、公证员等司法实践一线的法律人，同时还包括国内高校从事法学专业科研教学的法学教师与学生。其中律师用户逾</w:t>
      </w:r>
      <w:r>
        <w:rPr>
          <w:rFonts w:hint="eastAsia" w:ascii="仿宋" w:hAnsi="仿宋" w:eastAsia="仿宋" w:cs="仿宋"/>
          <w:sz w:val="32"/>
          <w:szCs w:val="32"/>
          <w:lang w:eastAsia="zh-Hans"/>
        </w:rPr>
        <w:t>1</w:t>
      </w:r>
      <w:r>
        <w:rPr>
          <w:rFonts w:hint="eastAsia" w:ascii="仿宋" w:hAnsi="仿宋" w:eastAsia="仿宋" w:cs="仿宋"/>
          <w:sz w:val="32"/>
          <w:szCs w:val="32"/>
          <w:lang w:val="en-US" w:eastAsia="zh-CN"/>
        </w:rPr>
        <w:t>5</w:t>
      </w:r>
      <w:r>
        <w:rPr>
          <w:rFonts w:hint="eastAsia" w:ascii="仿宋" w:hAnsi="仿宋" w:eastAsia="仿宋" w:cs="仿宋"/>
          <w:sz w:val="32"/>
          <w:szCs w:val="32"/>
          <w:lang w:val="en-US" w:eastAsia="zh-Hans"/>
        </w:rPr>
        <w:t>万，即全国每五位律师既有一位是Alpha用户，用户规模市场占有率行业第一。</w:t>
      </w:r>
    </w:p>
    <w:p>
      <w:p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法学院近几年学科专业取得不错的发展，</w:t>
      </w:r>
      <w:r>
        <w:rPr>
          <w:rFonts w:hint="eastAsia" w:ascii="仿宋" w:hAnsi="仿宋" w:eastAsia="仿宋" w:cs="仿宋"/>
          <w:sz w:val="32"/>
          <w:szCs w:val="32"/>
          <w:lang w:val="en-US" w:eastAsia="zh-Hans"/>
        </w:rPr>
        <w:t>教学科研亟需理论、实务等数据资源支持。</w:t>
      </w:r>
      <w:r>
        <w:rPr>
          <w:rFonts w:hint="eastAsia" w:ascii="仿宋" w:hAnsi="仿宋" w:eastAsia="仿宋" w:cs="仿宋"/>
          <w:sz w:val="32"/>
          <w:szCs w:val="32"/>
          <w:lang w:val="en-US" w:eastAsia="zh-CN"/>
        </w:rPr>
        <w:t>但是</w:t>
      </w:r>
      <w:r>
        <w:rPr>
          <w:rFonts w:hint="eastAsia" w:ascii="仿宋" w:hAnsi="仿宋" w:eastAsia="仿宋" w:cs="仿宋"/>
          <w:sz w:val="32"/>
          <w:szCs w:val="32"/>
          <w:lang w:val="en-US" w:eastAsia="zh-Hans"/>
        </w:rPr>
        <w:t>目前</w:t>
      </w:r>
      <w:r>
        <w:rPr>
          <w:rFonts w:hint="eastAsia" w:ascii="仿宋" w:hAnsi="仿宋" w:eastAsia="仿宋" w:cs="仿宋"/>
          <w:sz w:val="32"/>
          <w:szCs w:val="32"/>
          <w:lang w:val="en-US" w:eastAsia="zh-CN"/>
        </w:rPr>
        <w:t>校内</w:t>
      </w:r>
      <w:r>
        <w:rPr>
          <w:rFonts w:hint="eastAsia" w:ascii="仿宋" w:hAnsi="仿宋" w:eastAsia="仿宋" w:cs="仿宋"/>
          <w:sz w:val="32"/>
          <w:szCs w:val="32"/>
          <w:lang w:val="en-US" w:eastAsia="zh-Hans"/>
        </w:rPr>
        <w:t>图书馆</w:t>
      </w:r>
      <w:r>
        <w:rPr>
          <w:rFonts w:hint="eastAsia" w:ascii="仿宋" w:hAnsi="仿宋" w:eastAsia="仿宋" w:cs="仿宋"/>
          <w:sz w:val="32"/>
          <w:szCs w:val="32"/>
          <w:lang w:val="en-US" w:eastAsia="zh-CN"/>
        </w:rPr>
        <w:t>的</w:t>
      </w:r>
      <w:r>
        <w:rPr>
          <w:rFonts w:hint="eastAsia" w:ascii="仿宋" w:hAnsi="仿宋" w:eastAsia="仿宋" w:cs="仿宋"/>
          <w:sz w:val="32"/>
          <w:szCs w:val="32"/>
          <w:lang w:val="en-US" w:eastAsia="zh-Hans"/>
        </w:rPr>
        <w:t>法律类资源十分有限，书籍、阅览室等数量与质量均不能满足法学师生教学科研需求。特别值得关注的是，在法治建设和司法改革的当今新时代，法学师生每年甚至每月都要面临新的法律法规、司法解释、指导案例、公报案例、公开案例、政策文件、范本标准等等。完全用静态的、纸质的文献资料服务教学科研，不仅是不经济，而且是低效率。因此，选择一个反映法治建设、司法改革、法律研究成果，运用最先进法律科技的法律数据库或者软件，成为我校法学专业教学教学的一个重要任务。</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对于市面上</w:t>
      </w:r>
      <w:r>
        <w:rPr>
          <w:rFonts w:hint="eastAsia" w:ascii="仿宋" w:hAnsi="仿宋" w:eastAsia="仿宋" w:cs="仿宋"/>
          <w:sz w:val="32"/>
          <w:szCs w:val="32"/>
          <w:lang w:val="en-US" w:eastAsia="zh-Hans"/>
        </w:rPr>
        <w:t>服务法律人的法律类数据库或者软件</w:t>
      </w:r>
      <w:r>
        <w:rPr>
          <w:rFonts w:hint="eastAsia" w:ascii="仿宋" w:hAnsi="仿宋" w:eastAsia="仿宋" w:cs="仿宋"/>
          <w:sz w:val="32"/>
          <w:szCs w:val="32"/>
          <w:lang w:val="en-US" w:eastAsia="zh-CN"/>
        </w:rPr>
        <w:t>中，发现获得推荐最多，利用率最高的就是</w:t>
      </w:r>
      <w:r>
        <w:rPr>
          <w:rFonts w:hint="eastAsia" w:ascii="仿宋" w:hAnsi="仿宋" w:eastAsia="仿宋" w:cs="仿宋"/>
          <w:sz w:val="32"/>
          <w:szCs w:val="32"/>
          <w:lang w:val="en-US" w:eastAsia="zh-Hans"/>
        </w:rPr>
        <w:t>Alpha</w:t>
      </w:r>
      <w:r>
        <w:rPr>
          <w:rFonts w:hint="eastAsia" w:ascii="仿宋" w:hAnsi="仿宋" w:eastAsia="仿宋" w:cs="仿宋"/>
          <w:sz w:val="32"/>
          <w:szCs w:val="32"/>
          <w:lang w:val="en-US" w:eastAsia="zh-CN"/>
        </w:rPr>
        <w:t>，此软件相较于其它软件，有着许多优秀和强大之处，具体表现如下：</w:t>
      </w:r>
    </w:p>
    <w:p>
      <w:pPr>
        <w:numPr>
          <w:ilvl w:val="0"/>
          <w:numId w:val="0"/>
        </w:numPr>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 xml:space="preserve">    第一，</w:t>
      </w:r>
      <w:r>
        <w:rPr>
          <w:rFonts w:hint="eastAsia" w:ascii="仿宋" w:hAnsi="仿宋" w:eastAsia="仿宋" w:cs="仿宋"/>
          <w:sz w:val="32"/>
          <w:szCs w:val="32"/>
          <w:lang w:val="en-US" w:eastAsia="zh-Hans"/>
        </w:rPr>
        <w:t>Alpha数据库门类齐全，包括案例库、法规库、检察文书库、行政处罚库、公司主体库、知产专业库等，案例库数量过亿，每天增量</w:t>
      </w:r>
      <w:r>
        <w:rPr>
          <w:rFonts w:hint="eastAsia" w:ascii="仿宋" w:hAnsi="仿宋" w:eastAsia="仿宋" w:cs="仿宋"/>
          <w:sz w:val="32"/>
          <w:szCs w:val="32"/>
          <w:lang w:eastAsia="zh-Hans"/>
        </w:rPr>
        <w:t>10</w:t>
      </w:r>
      <w:r>
        <w:rPr>
          <w:rFonts w:hint="eastAsia" w:ascii="仿宋" w:hAnsi="仿宋" w:eastAsia="仿宋" w:cs="仿宋"/>
          <w:sz w:val="32"/>
          <w:szCs w:val="32"/>
          <w:lang w:val="en-US" w:eastAsia="zh-Hans"/>
        </w:rPr>
        <w:t>万，文书规模和更新速度行业第一。法规库收录法规文件</w:t>
      </w:r>
      <w:r>
        <w:rPr>
          <w:rFonts w:hint="eastAsia" w:ascii="仿宋" w:hAnsi="仿宋" w:eastAsia="仿宋" w:cs="仿宋"/>
          <w:sz w:val="32"/>
          <w:szCs w:val="32"/>
          <w:lang w:eastAsia="zh-Hans"/>
        </w:rPr>
        <w:t>300</w:t>
      </w:r>
      <w:r>
        <w:rPr>
          <w:rFonts w:hint="eastAsia" w:ascii="仿宋" w:hAnsi="仿宋" w:eastAsia="仿宋" w:cs="仿宋"/>
          <w:sz w:val="32"/>
          <w:szCs w:val="32"/>
          <w:lang w:val="en-US" w:eastAsia="zh-Hans"/>
        </w:rPr>
        <w:t>多万份，全量覆盖法学专业科研教学领域，其中，非常值得一提的是，法规库还收录了人大法工委主编的《民法典立法释义》，以及《刑法释义》电子书全文，并分别解析到每一个法条里，这两个基本法律的释义，对于学生教师学习和理解最为基础的两门课程民法、刑法大有裨益。这是其他数据库所欠缺的。</w:t>
      </w:r>
    </w:p>
    <w:p>
      <w:pPr>
        <w:numPr>
          <w:ilvl w:val="0"/>
          <w:numId w:val="0"/>
        </w:num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第二，</w:t>
      </w:r>
      <w:r>
        <w:rPr>
          <w:rFonts w:hint="eastAsia" w:ascii="仿宋" w:hAnsi="仿宋" w:eastAsia="仿宋" w:cs="仿宋"/>
          <w:sz w:val="32"/>
          <w:szCs w:val="32"/>
          <w:lang w:val="en-US" w:eastAsia="zh-Hans"/>
        </w:rPr>
        <w:t>Alpha案例数据库还独家收录了司法观点库、类案同判库、优案评析库，拥有以上三个数据库的全球独家电子版权。司法观点库共</w:t>
      </w:r>
      <w:r>
        <w:rPr>
          <w:rFonts w:hint="eastAsia" w:ascii="仿宋" w:hAnsi="仿宋" w:eastAsia="仿宋" w:cs="仿宋"/>
          <w:sz w:val="32"/>
          <w:szCs w:val="32"/>
          <w:lang w:eastAsia="zh-Hans"/>
        </w:rPr>
        <w:t>20</w:t>
      </w:r>
      <w:r>
        <w:rPr>
          <w:rFonts w:hint="eastAsia" w:ascii="仿宋" w:hAnsi="仿宋" w:eastAsia="仿宋" w:cs="仿宋"/>
          <w:sz w:val="32"/>
          <w:szCs w:val="32"/>
          <w:lang w:val="en-US" w:eastAsia="zh-Hans"/>
        </w:rPr>
        <w:t>余卷，由刘德权主编，是人民法院审理各类案件的观点集成，可以帮助学生理解法律条文（立法）、教科书理论之间（学理）、法律适用（司法）之间的能动关系，培养学生历史、辩证、实践的法律法学观。类案同判库是最高人民法院中国应用法学研究所主办的类案研究项目，由项目专家组提炼类案规则，提高统一适用法律水平，实现同案同判、类案类判，其中提取的类案主题、类案规则，能帮助学生理解我国大陆法传统下类案司法适用价值。优案评析库是《人民法院案例选》的电子版，每年从全国各地送审的优秀案例及分析均收录入库。本地师生可以查询本省法院送审了哪些案例，作为重要学习研究资源，加强与本地法院互动交流。</w:t>
      </w:r>
    </w:p>
    <w:p>
      <w:pPr>
        <w:numPr>
          <w:ilvl w:val="0"/>
          <w:numId w:val="0"/>
        </w:num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第三，</w:t>
      </w:r>
      <w:r>
        <w:rPr>
          <w:rFonts w:hint="eastAsia" w:ascii="仿宋" w:hAnsi="仿宋" w:eastAsia="仿宋" w:cs="仿宋"/>
          <w:sz w:val="32"/>
          <w:szCs w:val="32"/>
          <w:lang w:val="en-US" w:eastAsia="zh-Hans"/>
        </w:rPr>
        <w:t>Alpha数据库还收录了学术论文与实务文章，学术论文资源是与万方等机构合作，之前的合作方是知网。实务文章收录的是全国百余家律师事务所和专业法律机构的实务实操文章，内容鲜活，问题前沿，是师生学术研究、毕业论文选题的重要参考。</w:t>
      </w:r>
    </w:p>
    <w:p>
      <w:pPr>
        <w:numPr>
          <w:ilvl w:val="0"/>
          <w:numId w:val="0"/>
        </w:num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第四，</w:t>
      </w:r>
      <w:r>
        <w:rPr>
          <w:rFonts w:hint="eastAsia" w:ascii="仿宋" w:hAnsi="仿宋" w:eastAsia="仿宋" w:cs="仿宋"/>
          <w:sz w:val="32"/>
          <w:szCs w:val="32"/>
          <w:lang w:val="en-US" w:eastAsia="zh-Hans"/>
        </w:rPr>
        <w:t>Alpha收录了项目模板</w:t>
      </w:r>
      <w:r>
        <w:rPr>
          <w:rFonts w:hint="eastAsia" w:ascii="仿宋" w:hAnsi="仿宋" w:eastAsia="仿宋" w:cs="仿宋"/>
          <w:sz w:val="32"/>
          <w:szCs w:val="32"/>
          <w:lang w:eastAsia="zh-Hans"/>
        </w:rPr>
        <w:t>100</w:t>
      </w:r>
      <w:r>
        <w:rPr>
          <w:rFonts w:hint="eastAsia" w:ascii="仿宋" w:hAnsi="仿宋" w:eastAsia="仿宋" w:cs="仿宋"/>
          <w:sz w:val="32"/>
          <w:szCs w:val="32"/>
          <w:lang w:val="en-US" w:eastAsia="zh-Hans"/>
        </w:rPr>
        <w:t>多个。项目模板包括办案流程、法律文书范本等，可以让学生打开即看律师是如何与当事人打交道，如何做出庭准备、如何出庭表达、如何撰写起诉书代理词等文书、如何结案归档等等。这些资源在教材里很难找到学到。在其他数据库里也很难找到或找全。</w:t>
      </w:r>
    </w:p>
    <w:p>
      <w:pPr>
        <w:numPr>
          <w:ilvl w:val="0"/>
          <w:numId w:val="0"/>
        </w:num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第五，</w:t>
      </w:r>
      <w:r>
        <w:rPr>
          <w:rFonts w:hint="eastAsia" w:ascii="仿宋" w:hAnsi="仿宋" w:eastAsia="仿宋" w:cs="仿宋"/>
          <w:sz w:val="32"/>
          <w:szCs w:val="32"/>
          <w:lang w:val="en-US" w:eastAsia="zh-Hans"/>
        </w:rPr>
        <w:t>Alpha拥有行业内首创的智能证据系统，内设自动生成举证手册、证据目录、证据清单、诉讼可视化图，这些都是行业间公认的高标准范本</w:t>
      </w:r>
      <w:r>
        <w:rPr>
          <w:rFonts w:hint="eastAsia" w:ascii="仿宋" w:hAnsi="仿宋" w:eastAsia="仿宋" w:cs="仿宋"/>
          <w:sz w:val="32"/>
          <w:szCs w:val="32"/>
          <w:lang w:eastAsia="zh-Hans"/>
        </w:rPr>
        <w:t>/</w:t>
      </w:r>
      <w:r>
        <w:rPr>
          <w:rFonts w:hint="eastAsia" w:ascii="仿宋" w:hAnsi="仿宋" w:eastAsia="仿宋" w:cs="仿宋"/>
          <w:sz w:val="32"/>
          <w:szCs w:val="32"/>
          <w:lang w:val="en-US" w:eastAsia="zh-Hans"/>
        </w:rPr>
        <w:t>形式，结合系统里提供的庭审视频库，可以让学生在模拟法庭、法律诊所等实习实训中，全面了解出庭礼仪、高标准举证质证范本</w:t>
      </w:r>
      <w:r>
        <w:rPr>
          <w:rFonts w:hint="eastAsia" w:ascii="仿宋" w:hAnsi="仿宋" w:eastAsia="仿宋" w:cs="仿宋"/>
          <w:sz w:val="32"/>
          <w:szCs w:val="32"/>
          <w:lang w:eastAsia="zh-Hans"/>
        </w:rPr>
        <w:t>/</w:t>
      </w:r>
      <w:r>
        <w:rPr>
          <w:rFonts w:hint="eastAsia" w:ascii="仿宋" w:hAnsi="仿宋" w:eastAsia="仿宋" w:cs="仿宋"/>
          <w:sz w:val="32"/>
          <w:szCs w:val="32"/>
          <w:lang w:val="en-US" w:eastAsia="zh-Hans"/>
        </w:rPr>
        <w:t>格式，让学生在学校实训中直接遇见高手。</w:t>
      </w:r>
    </w:p>
    <w:p>
      <w:pPr>
        <w:numPr>
          <w:ilvl w:val="0"/>
          <w:numId w:val="0"/>
        </w:num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第六，</w:t>
      </w:r>
      <w:r>
        <w:rPr>
          <w:rFonts w:hint="eastAsia" w:ascii="仿宋" w:hAnsi="仿宋" w:eastAsia="仿宋" w:cs="仿宋"/>
          <w:sz w:val="32"/>
          <w:szCs w:val="32"/>
          <w:lang w:val="en-US" w:eastAsia="zh-Hans"/>
        </w:rPr>
        <w:t>Alpha的合同库也别具一格，有合同文本范本、合同条款范本，还有行业首创的自动生成合同文本技术。这些文本与技术可以直接用于合同法或者其他课程中合同章节的相关合同条款示范，目前合同法或者其他部门法合同模块的教材缺乏条款示范，Alpha合同库可以弥补该内容。</w:t>
      </w:r>
    </w:p>
    <w:p>
      <w:pPr>
        <w:numPr>
          <w:ilvl w:val="0"/>
          <w:numId w:val="0"/>
        </w:num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CN"/>
        </w:rPr>
        <w:t>第七，</w:t>
      </w:r>
      <w:r>
        <w:rPr>
          <w:rFonts w:hint="eastAsia" w:ascii="仿宋" w:hAnsi="仿宋" w:eastAsia="仿宋" w:cs="仿宋"/>
          <w:sz w:val="32"/>
          <w:szCs w:val="32"/>
          <w:lang w:val="en-US" w:eastAsia="zh-Hans"/>
        </w:rPr>
        <w:t>Alpha系统功能的设计和软件按钮的相应速度，在网站上有测试，综合反映：Alpha页面结构简洁、功能定位清晰，法律检索、文书自动生成速度很快。为提升用户体验，Alpha有强大的售后服务团队，可以点对点专门培训。售后服务的线上人工回复是“十五分钟必回规则”，这种响应速度能有效保证师生的使用体验，同时能全天候支持师生的实践环节的使用软件，十分难得。</w:t>
      </w:r>
    </w:p>
    <w:p>
      <w:pPr>
        <w:numPr>
          <w:ilvl w:val="0"/>
          <w:numId w:val="0"/>
        </w:numPr>
        <w:ind w:firstLine="640" w:firstLineChars="200"/>
        <w:rPr>
          <w:rFonts w:hint="eastAsia" w:ascii="仿宋" w:hAnsi="仿宋" w:eastAsia="仿宋" w:cs="仿宋"/>
          <w:sz w:val="32"/>
          <w:szCs w:val="32"/>
          <w:lang w:val="en-US" w:eastAsia="zh-Hans"/>
        </w:rPr>
      </w:pPr>
      <w:r>
        <w:rPr>
          <w:rFonts w:hint="eastAsia" w:ascii="仿宋" w:hAnsi="仿宋" w:eastAsia="仿宋" w:cs="仿宋"/>
          <w:sz w:val="32"/>
          <w:szCs w:val="32"/>
          <w:lang w:val="en-US" w:eastAsia="zh-Hans"/>
        </w:rPr>
        <w:t>综上，Alpha在数据库门类、数量规模、更新速度、软件设计水平、售后服务能力等方面在行业里均具不可比拟的优势，是最符合我校法学专业教学科研之需的法律软件。其劣势可能在价格上，确有市场人士统计，其单价高于其他法律软件，但也有不同看法，比如有人比较过，若单拆成独立的数据库，与其他厂商数据库相比，Alpha数据库价格并不高。我们法学专业有数十门专业课，有理论课，也有实践课，如果分别采购看起来价格不高的单个数据库，最后加起来的价格可能远远高于Alpha。所以我们不建议采用分别采购不同厂商数据库的方案，也不建议简单比价方案。我们的建议是按照单一来源采购Alpha系统，具体价格方案可以与Alpha团队协商，用教学科研的特别用途说服对方在价格上或者账户数量上予以支持，这是最符合我校法学学科建设发展、法学教学科研创新的最佳方案。</w:t>
      </w:r>
    </w:p>
    <w:p>
      <w:pPr>
        <w:numPr>
          <w:ilvl w:val="0"/>
          <w:numId w:val="0"/>
        </w:numPr>
        <w:ind w:firstLine="640" w:firstLineChars="200"/>
        <w:rPr>
          <w:rFonts w:hint="eastAsia" w:ascii="仿宋" w:hAnsi="仿宋" w:eastAsia="仿宋" w:cs="仿宋"/>
          <w:sz w:val="32"/>
          <w:szCs w:val="32"/>
          <w:lang w:val="en-US" w:eastAsia="zh-Hans"/>
        </w:rPr>
      </w:pPr>
    </w:p>
    <w:p>
      <w:pPr>
        <w:numPr>
          <w:ilvl w:val="0"/>
          <w:numId w:val="0"/>
        </w:numPr>
        <w:ind w:firstLine="640" w:firstLineChars="200"/>
        <w:rPr>
          <w:rFonts w:hint="eastAsia" w:ascii="仿宋" w:hAnsi="仿宋" w:eastAsia="仿宋" w:cs="仿宋"/>
          <w:sz w:val="32"/>
          <w:szCs w:val="32"/>
          <w:lang w:val="en-US" w:eastAsia="zh-Hans"/>
        </w:rPr>
      </w:pPr>
    </w:p>
    <w:p>
      <w:pPr>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广西财经学院法学院</w:t>
      </w:r>
    </w:p>
    <w:p>
      <w:pPr>
        <w:numPr>
          <w:ilvl w:val="0"/>
          <w:numId w:val="0"/>
        </w:num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 xml:space="preserve">                               2023年5月10日</w:t>
      </w:r>
    </w:p>
    <w:p>
      <w:pPr>
        <w:numPr>
          <w:ilvl w:val="0"/>
          <w:numId w:val="0"/>
        </w:numPr>
        <w:rPr>
          <w:rFonts w:hint="eastAsia" w:ascii="仿宋" w:hAnsi="仿宋" w:eastAsia="仿宋" w:cs="仿宋"/>
          <w:sz w:val="32"/>
          <w:szCs w:val="32"/>
          <w:lang w:val="en-US" w:eastAsia="zh-Hans"/>
        </w:rPr>
      </w:pPr>
    </w:p>
    <w:p>
      <w:pPr>
        <w:numPr>
          <w:ilvl w:val="0"/>
          <w:numId w:val="0"/>
        </w:numPr>
        <w:rPr>
          <w:rFonts w:hint="eastAsia" w:ascii="仿宋" w:hAnsi="仿宋" w:eastAsia="仿宋" w:cs="仿宋"/>
          <w:sz w:val="32"/>
          <w:szCs w:val="32"/>
          <w:lang w:val="en-US" w:eastAsia="zh-Hans"/>
        </w:rPr>
      </w:pPr>
    </w:p>
    <w:p>
      <w:pPr>
        <w:numPr>
          <w:ilvl w:val="0"/>
          <w:numId w:val="0"/>
        </w:numPr>
        <w:rPr>
          <w:rFonts w:hint="eastAsia" w:ascii="仿宋" w:hAnsi="仿宋" w:eastAsia="仿宋" w:cs="仿宋"/>
          <w:sz w:val="32"/>
          <w:szCs w:val="32"/>
          <w:lang w:val="en-US" w:eastAsia="zh-Hans"/>
        </w:rPr>
      </w:pPr>
    </w:p>
    <w:p>
      <w:pPr>
        <w:numPr>
          <w:ilvl w:val="0"/>
          <w:numId w:val="0"/>
        </w:numPr>
        <w:rPr>
          <w:rFonts w:hint="eastAsia" w:ascii="仿宋" w:hAnsi="仿宋" w:eastAsia="仿宋" w:cs="仿宋"/>
          <w:sz w:val="32"/>
          <w:szCs w:val="32"/>
          <w:lang w:val="en-US" w:eastAsia="zh-Hans"/>
        </w:rPr>
      </w:pPr>
    </w:p>
    <w:p>
      <w:pPr>
        <w:numPr>
          <w:ilvl w:val="0"/>
          <w:numId w:val="0"/>
        </w:numPr>
        <w:jc w:val="both"/>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附件：计算机软件著作权登记证书</w:t>
      </w:r>
    </w:p>
    <w:p>
      <w:pPr>
        <w:numPr>
          <w:ilvl w:val="0"/>
          <w:numId w:val="0"/>
        </w:numPr>
        <w:jc w:val="both"/>
        <w:rPr>
          <w:rFonts w:hint="eastAsia" w:ascii="仿宋" w:hAnsi="仿宋" w:eastAsia="仿宋" w:cs="仿宋"/>
          <w:sz w:val="32"/>
          <w:szCs w:val="32"/>
          <w:lang w:val="en-US" w:eastAsia="zh-CN"/>
        </w:rPr>
      </w:pPr>
    </w:p>
    <w:p>
      <w:pPr>
        <w:numPr>
          <w:ilvl w:val="0"/>
          <w:numId w:val="0"/>
        </w:numPr>
        <w:jc w:val="both"/>
        <w:rPr>
          <w:rFonts w:hint="eastAsia" w:ascii="仿宋" w:hAnsi="仿宋" w:eastAsia="仿宋" w:cs="仿宋"/>
          <w:sz w:val="32"/>
          <w:szCs w:val="32"/>
          <w:lang w:val="en-US" w:eastAsia="zh-CN"/>
        </w:rPr>
      </w:pPr>
    </w:p>
    <w:p>
      <w:pPr>
        <w:numPr>
          <w:ilvl w:val="0"/>
          <w:numId w:val="0"/>
        </w:numPr>
        <w:jc w:val="both"/>
        <w:rPr>
          <w:rFonts w:hint="eastAsia" w:ascii="仿宋" w:hAnsi="仿宋" w:eastAsia="仿宋" w:cs="仿宋"/>
          <w:sz w:val="32"/>
          <w:szCs w:val="32"/>
          <w:lang w:val="en-US" w:eastAsia="zh-CN"/>
        </w:rPr>
      </w:pPr>
    </w:p>
    <w:p>
      <w:pPr>
        <w:numPr>
          <w:ilvl w:val="0"/>
          <w:numId w:val="0"/>
        </w:numPr>
        <w:jc w:val="both"/>
        <w:rPr>
          <w:rFonts w:hint="eastAsia" w:ascii="仿宋" w:hAnsi="仿宋" w:eastAsia="仿宋" w:cs="仿宋"/>
          <w:sz w:val="32"/>
          <w:szCs w:val="32"/>
          <w:lang w:val="en-US" w:eastAsia="zh-CN"/>
        </w:rPr>
      </w:pPr>
    </w:p>
    <w:p>
      <w:pPr>
        <w:numPr>
          <w:ilvl w:val="0"/>
          <w:numId w:val="0"/>
        </w:numPr>
        <w:jc w:val="both"/>
        <w:rPr>
          <w:rFonts w:hint="eastAsia" w:ascii="仿宋" w:hAnsi="仿宋" w:eastAsia="仿宋" w:cs="仿宋"/>
          <w:sz w:val="32"/>
          <w:szCs w:val="32"/>
          <w:lang w:val="en-US" w:eastAsia="zh-CN"/>
        </w:rPr>
      </w:pPr>
    </w:p>
    <w:p>
      <w:pPr>
        <w:numPr>
          <w:ilvl w:val="0"/>
          <w:numId w:val="0"/>
        </w:numPr>
        <w:jc w:val="both"/>
        <w:rPr>
          <w:rFonts w:hint="eastAsia" w:ascii="仿宋" w:hAnsi="仿宋" w:eastAsia="仿宋" w:cs="仿宋"/>
          <w:sz w:val="32"/>
          <w:szCs w:val="32"/>
          <w:lang w:val="en-US" w:eastAsia="zh-CN"/>
        </w:rPr>
      </w:pPr>
    </w:p>
    <w:p>
      <w:pPr>
        <w:numPr>
          <w:ilvl w:val="0"/>
          <w:numId w:val="0"/>
        </w:numPr>
        <w:jc w:val="both"/>
        <w:rPr>
          <w:rFonts w:hint="eastAsia" w:ascii="仿宋" w:hAnsi="仿宋" w:eastAsia="仿宋" w:cs="仿宋"/>
          <w:sz w:val="32"/>
          <w:szCs w:val="32"/>
          <w:lang w:val="en-US" w:eastAsia="zh-CN"/>
        </w:rPr>
      </w:pPr>
    </w:p>
    <w:p>
      <w:pPr>
        <w:numPr>
          <w:ilvl w:val="0"/>
          <w:numId w:val="0"/>
        </w:numPr>
        <w:jc w:val="both"/>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计算机软件著作权登记证书</w:t>
      </w:r>
    </w:p>
    <w:p>
      <w:pPr>
        <w:numPr>
          <w:ilvl w:val="0"/>
          <w:numId w:val="0"/>
        </w:numPr>
        <w:jc w:val="both"/>
        <w:rPr>
          <w:rFonts w:hint="default" w:ascii="仿宋" w:hAnsi="仿宋" w:eastAsia="仿宋" w:cs="仿宋"/>
          <w:sz w:val="32"/>
          <w:szCs w:val="32"/>
          <w:lang w:val="en-US" w:eastAsia="zh-CN"/>
        </w:rPr>
      </w:pPr>
      <w:r>
        <w:drawing>
          <wp:inline distT="0" distB="0" distL="114300" distR="114300">
            <wp:extent cx="5097145" cy="6899275"/>
            <wp:effectExtent l="0" t="0" r="8255" b="158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097145" cy="6899275"/>
                    </a:xfrm>
                    <a:prstGeom prst="rect">
                      <a:avLst/>
                    </a:prstGeom>
                    <a:noFill/>
                    <a:ln>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hYTc4N2EyMTg5YTQ5ZGM2MDZlNTYzY2JjZTA3ZTgifQ=="/>
  </w:docVars>
  <w:rsids>
    <w:rsidRoot w:val="D929A552"/>
    <w:rsid w:val="130303E7"/>
    <w:rsid w:val="239A4186"/>
    <w:rsid w:val="2AA06B65"/>
    <w:rsid w:val="2DF6398E"/>
    <w:rsid w:val="60000278"/>
    <w:rsid w:val="6D354A4E"/>
    <w:rsid w:val="D929A5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2256</Words>
  <Characters>2359</Characters>
  <Lines>0</Lines>
  <Paragraphs>0</Paragraphs>
  <TotalTime>3</TotalTime>
  <ScaleCrop>false</ScaleCrop>
  <LinksUpToDate>false</LinksUpToDate>
  <CharactersWithSpaces>2425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2023-05-06T15:18:00Z</dcterms:created>
  <dc:creator>泽歌CHEN</dc:creator>
  <cp:lastModifiedBy>璨璨</cp:lastModifiedBy>
  <dcterms:modified xsi:type="dcterms:W3CDTF">2023-06-06T02:36:15Z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AD9AE1F358CC488191BF43DECEE875E1_13</vt:lpwstr>
  </property>
</Properties>
</file>