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C7002">
      <w:pPr>
        <w:jc w:val="left"/>
        <w:rPr>
          <w:rFonts w:hint="eastAsia" w:ascii="宋体" w:hAnsi="宋体"/>
          <w:sz w:val="28"/>
          <w:szCs w:val="28"/>
        </w:rPr>
      </w:pPr>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14:paraId="0C88CB21">
      <w:pPr>
        <w:pStyle w:val="3"/>
        <w:widowControl/>
        <w:wordWrap w:val="0"/>
        <w:spacing w:beforeAutospacing="0" w:afterAutospacing="0" w:line="560" w:lineRule="exact"/>
        <w:jc w:val="center"/>
        <w:rPr>
          <w:rFonts w:hint="eastAsia" w:ascii="宋体" w:hAnsi="宋体"/>
          <w:b/>
          <w:sz w:val="36"/>
          <w:szCs w:val="36"/>
        </w:rPr>
      </w:pPr>
      <w:r>
        <w:rPr>
          <w:rFonts w:hint="eastAsia" w:ascii="宋体" w:hAnsi="宋体"/>
          <w:b/>
          <w:sz w:val="36"/>
          <w:szCs w:val="36"/>
        </w:rPr>
        <w:t>广西财经学院武鸣校区南门运动场田径场工程监理服务项目询价采购报价单</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992"/>
      </w:tblGrid>
      <w:tr w14:paraId="5B0D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44" w:type="pct"/>
            <w:vAlign w:val="center"/>
          </w:tcPr>
          <w:p w14:paraId="29827049">
            <w:pPr>
              <w:jc w:val="center"/>
              <w:rPr>
                <w:rFonts w:hint="eastAsia" w:ascii="宋体" w:hAnsi="宋体"/>
                <w:sz w:val="28"/>
                <w:szCs w:val="36"/>
              </w:rPr>
            </w:pPr>
            <w:r>
              <w:rPr>
                <w:rFonts w:ascii="宋体" w:hAnsi="宋体"/>
                <w:b/>
                <w:sz w:val="28"/>
                <w:szCs w:val="36"/>
              </w:rPr>
              <w:t>项目名称</w:t>
            </w:r>
          </w:p>
        </w:tc>
        <w:tc>
          <w:tcPr>
            <w:tcW w:w="4055" w:type="pct"/>
            <w:vAlign w:val="center"/>
          </w:tcPr>
          <w:p w14:paraId="6020074A">
            <w:pPr>
              <w:jc w:val="center"/>
              <w:rPr>
                <w:rFonts w:hint="eastAsia" w:ascii="宋体" w:hAnsi="宋体"/>
                <w:b/>
                <w:sz w:val="28"/>
                <w:szCs w:val="36"/>
              </w:rPr>
            </w:pPr>
            <w:r>
              <w:rPr>
                <w:rFonts w:ascii="宋体" w:hAnsi="宋体"/>
                <w:b/>
                <w:sz w:val="28"/>
                <w:szCs w:val="36"/>
              </w:rPr>
              <w:t>项目规模及服务内容</w:t>
            </w:r>
          </w:p>
        </w:tc>
      </w:tr>
      <w:tr w14:paraId="3678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44" w:type="pct"/>
            <w:vAlign w:val="center"/>
          </w:tcPr>
          <w:p w14:paraId="64AA5A51">
            <w:pPr>
              <w:spacing w:line="560" w:lineRule="exact"/>
              <w:rPr>
                <w:rFonts w:hint="eastAsia" w:ascii="宋体" w:hAnsi="宋体"/>
                <w:b/>
                <w:sz w:val="28"/>
                <w:szCs w:val="36"/>
              </w:rPr>
            </w:pPr>
            <w:r>
              <w:rPr>
                <w:rFonts w:hint="eastAsia" w:ascii="仿宋_GB2312" w:hAnsi="仿宋_GB2312" w:eastAsia="仿宋_GB2312" w:cs="仿宋_GB2312"/>
                <w:sz w:val="24"/>
              </w:rPr>
              <w:t>广西财经学院武鸣校区南门运动场田径场工程监理服务项目</w:t>
            </w:r>
          </w:p>
        </w:tc>
        <w:tc>
          <w:tcPr>
            <w:tcW w:w="4055" w:type="pct"/>
            <w:vAlign w:val="center"/>
          </w:tcPr>
          <w:p w14:paraId="41401487">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（一）建设地点：</w:t>
            </w:r>
          </w:p>
          <w:p w14:paraId="6A195DA9">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南宁市武鸣区红岭大道636号，广西财经学院武鸣校区。</w:t>
            </w:r>
          </w:p>
          <w:p w14:paraId="3974894C">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（二）建设规模：</w:t>
            </w:r>
          </w:p>
          <w:p w14:paraId="5FE9B847">
            <w:pPr>
              <w:widowControl/>
              <w:spacing w:line="560" w:lineRule="exact"/>
              <w:ind w:firstLine="480" w:firstLineChars="200"/>
              <w:jc w:val="left"/>
              <w:rPr>
                <w:rFonts w:hint="eastAsia" w:ascii="仿宋" w:hAnsi="仿宋" w:eastAsia="仿宋" w:cs="仿宋"/>
                <w:bCs/>
                <w:sz w:val="24"/>
                <w:lang w:eastAsia="zh-CN"/>
              </w:rPr>
            </w:pPr>
            <w:r>
              <w:rPr>
                <w:rFonts w:hint="eastAsia" w:ascii="仿宋" w:hAnsi="仿宋" w:eastAsia="仿宋" w:cs="仿宋"/>
                <w:bCs/>
                <w:sz w:val="24"/>
                <w:lang w:eastAsia="zh-CN"/>
              </w:rPr>
              <w:t>武鸣校区南门东侧绿地改为田径场，田径场面积约12426平方米，分别设置有300米塑胶跑道，7人制足球场，100米塑胶跑道直道。</w:t>
            </w:r>
          </w:p>
          <w:p w14:paraId="3B0612F4">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（三）采购内容：</w:t>
            </w:r>
          </w:p>
          <w:p w14:paraId="6F415F72">
            <w:pPr>
              <w:widowControl/>
              <w:spacing w:line="560" w:lineRule="exact"/>
              <w:ind w:firstLine="480" w:firstLineChars="200"/>
              <w:jc w:val="left"/>
              <w:rPr>
                <w:rFonts w:hint="eastAsia" w:ascii="仿宋" w:hAnsi="仿宋" w:eastAsia="仿宋" w:cs="仿宋"/>
                <w:bCs/>
                <w:sz w:val="24"/>
              </w:rPr>
            </w:pPr>
            <w:bookmarkStart w:id="0" w:name="_Hlk209370393"/>
            <w:r>
              <w:rPr>
                <w:rFonts w:hint="eastAsia" w:ascii="仿宋" w:hAnsi="仿宋" w:eastAsia="仿宋" w:cs="仿宋"/>
                <w:bCs/>
                <w:sz w:val="24"/>
              </w:rPr>
              <w:t>自发出成交通知书之日起至广西财经学院武鸣校区南门运动场田径场工程监理服务项目工程缺陷责任期满为止的全过程监理服务</w:t>
            </w:r>
            <w:r>
              <w:rPr>
                <w:rFonts w:ascii="仿宋" w:hAnsi="仿宋" w:eastAsia="仿宋" w:cs="仿宋"/>
                <w:bCs/>
                <w:sz w:val="24"/>
              </w:rPr>
              <w:t>。</w:t>
            </w:r>
          </w:p>
          <w:bookmarkEnd w:id="0"/>
          <w:p w14:paraId="23490E29">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（四）上限控制价：</w:t>
            </w:r>
          </w:p>
          <w:p w14:paraId="5FF568EE">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人民币</w:t>
            </w:r>
            <w:r>
              <w:rPr>
                <w:rFonts w:hint="eastAsia" w:ascii="仿宋" w:hAnsi="仿宋" w:eastAsia="仿宋" w:cs="仿宋"/>
                <w:bCs/>
                <w:kern w:val="2"/>
                <w:u w:val="single"/>
              </w:rPr>
              <w:t>(大写)叁万叁仟叁佰元整，（小写）¥33300元</w:t>
            </w:r>
            <w:r>
              <w:rPr>
                <w:rFonts w:hint="eastAsia" w:ascii="仿宋" w:hAnsi="仿宋" w:eastAsia="仿宋" w:cs="仿宋"/>
                <w:bCs/>
                <w:kern w:val="2"/>
              </w:rPr>
              <w:t>。</w:t>
            </w:r>
          </w:p>
          <w:p w14:paraId="2CFD20DA">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（五）服务周期：</w:t>
            </w:r>
          </w:p>
          <w:p w14:paraId="5B204955">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自成交通知书发出之日起至本工程缺陷责任期满之日止。</w:t>
            </w:r>
          </w:p>
          <w:p w14:paraId="78D0C414">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（六）成果要求：</w:t>
            </w:r>
          </w:p>
          <w:p w14:paraId="20A6FCAA">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符合国家相关规范、要求合格标准。</w:t>
            </w:r>
          </w:p>
          <w:p w14:paraId="3667A0BD">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七</w:t>
            </w:r>
            <w:r>
              <w:rPr>
                <w:rFonts w:ascii="仿宋" w:hAnsi="仿宋" w:eastAsia="仿宋" w:cs="仿宋"/>
                <w:b/>
                <w:sz w:val="24"/>
              </w:rPr>
              <w:t>）</w:t>
            </w:r>
            <w:r>
              <w:rPr>
                <w:rFonts w:hint="eastAsia" w:ascii="仿宋" w:hAnsi="仿宋" w:eastAsia="仿宋" w:cs="仿宋"/>
                <w:b/>
                <w:sz w:val="24"/>
              </w:rPr>
              <w:t>款项支付方式</w:t>
            </w:r>
            <w:r>
              <w:rPr>
                <w:rFonts w:ascii="仿宋" w:hAnsi="仿宋" w:eastAsia="仿宋" w:cs="仿宋"/>
                <w:b/>
                <w:sz w:val="24"/>
              </w:rPr>
              <w:t>：</w:t>
            </w:r>
          </w:p>
          <w:p w14:paraId="16E5C30C">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（一）本项目不设预付款。</w:t>
            </w:r>
          </w:p>
          <w:p w14:paraId="34E9E172">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二）工程竣工结算后，监理单位提供所有监理项目完整合格监理资料并完成相关资料移交后，支付监理服务费至合同总价的100%。请款申请经业主审核通过后，自收到成交供应商合格发票之日起14个工作日内支付。</w:t>
            </w:r>
          </w:p>
          <w:p w14:paraId="2A990252">
            <w:pPr>
              <w:widowControl/>
              <w:spacing w:line="560" w:lineRule="exact"/>
              <w:ind w:firstLine="482" w:firstLineChars="200"/>
              <w:jc w:val="left"/>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八</w:t>
            </w:r>
            <w:r>
              <w:rPr>
                <w:rFonts w:ascii="仿宋" w:hAnsi="仿宋" w:eastAsia="仿宋" w:cs="仿宋"/>
                <w:b/>
                <w:sz w:val="24"/>
              </w:rPr>
              <w:t>）</w:t>
            </w:r>
            <w:r>
              <w:rPr>
                <w:rFonts w:hint="eastAsia" w:ascii="仿宋" w:hAnsi="仿宋" w:eastAsia="仿宋" w:cs="仿宋"/>
                <w:b/>
                <w:sz w:val="24"/>
              </w:rPr>
              <w:t>承包方式</w:t>
            </w:r>
            <w:r>
              <w:rPr>
                <w:rFonts w:ascii="仿宋" w:hAnsi="仿宋" w:eastAsia="仿宋" w:cs="仿宋"/>
                <w:b/>
                <w:sz w:val="24"/>
              </w:rPr>
              <w:t>：</w:t>
            </w:r>
          </w:p>
          <w:p w14:paraId="0DFA6D23">
            <w:pPr>
              <w:pStyle w:val="3"/>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总价包干（报价包括但不限于完成本项目所需的各项成本、人工费、材料费、管理费、专家评审费、开办费、税金及场地费、利润等所有费用）。</w:t>
            </w:r>
          </w:p>
          <w:p w14:paraId="538BCD74">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九</w:t>
            </w:r>
            <w:r>
              <w:rPr>
                <w:rFonts w:ascii="仿宋" w:hAnsi="仿宋" w:eastAsia="仿宋" w:cs="仿宋"/>
                <w:b/>
                <w:sz w:val="24"/>
              </w:rPr>
              <w:t>）履约保证金：</w:t>
            </w:r>
          </w:p>
          <w:p w14:paraId="5848641A">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（一）成交供应商自收到成交通知书之日起7日历天内按成交金额的5%缴纳履约保证金（如为中小企业，则履约保证金比例为2%），否则将取消其成交资格。</w:t>
            </w:r>
          </w:p>
          <w:p w14:paraId="0BCEC34E">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（二）履约保证金的形式：支票、汇票、本票、银行保函、银行转账等非现金方式。</w:t>
            </w:r>
          </w:p>
          <w:p w14:paraId="2ED17298">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三）履约保证金的有效期必须涵盖上述工程竣工验收合格并对验收发现的问题完成整改后且供应商完善竣工资料手续的时间段。如果供应商无法获得一份不带具体截止日期的担保，履约担保中应当有“变更工程竣工日期的，保证期间按照变更后的竣工日期做相应调整”或类似约定的条款。</w:t>
            </w:r>
          </w:p>
          <w:p w14:paraId="52EA43F3">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四）上述工程竣工验收合格且提交完整合格监理资料并完成相关资料移交后30天内退还给供应商（无息）。业主不承担成交供应商与履约保证金有关的任何利息或其他类似的费用或者收益，成交供应商在合同期限内不能履行合同义务或违约的，履约保证金不予退还。</w:t>
            </w:r>
          </w:p>
          <w:p w14:paraId="0DC863B7">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（五）成交供应商在合同期限内不能履行合同义务或违约的，履约保证金不予退还。</w:t>
            </w:r>
          </w:p>
          <w:p w14:paraId="18398BF0">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（六）履约保证金指定账户：</w:t>
            </w:r>
          </w:p>
          <w:p w14:paraId="62E00F7B">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开户名称：广西财经学院</w:t>
            </w:r>
          </w:p>
          <w:p w14:paraId="45C6EAF0">
            <w:pPr>
              <w:numPr>
                <w:ilvl w:val="255"/>
                <w:numId w:val="0"/>
              </w:numPr>
              <w:spacing w:line="56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开户银行：中国银行南宁明秀西路支行</w:t>
            </w:r>
          </w:p>
          <w:p w14:paraId="6FE08FCD">
            <w:pPr>
              <w:numPr>
                <w:ilvl w:val="255"/>
                <w:numId w:val="0"/>
              </w:numPr>
              <w:spacing w:line="560" w:lineRule="exact"/>
              <w:ind w:firstLine="480" w:firstLineChars="200"/>
              <w:rPr>
                <w:rFonts w:hint="eastAsia" w:ascii="仿宋" w:hAnsi="仿宋" w:eastAsia="仿宋" w:cs="仿宋"/>
                <w:bCs/>
                <w:kern w:val="2"/>
              </w:rPr>
            </w:pPr>
            <w:r>
              <w:rPr>
                <w:rFonts w:hint="eastAsia" w:ascii="仿宋" w:hAnsi="仿宋" w:eastAsia="仿宋" w:cs="仿宋"/>
                <w:bCs/>
                <w:kern w:val="2"/>
                <w:sz w:val="24"/>
                <w:szCs w:val="24"/>
                <w:lang w:val="en-US" w:eastAsia="zh-CN" w:bidi="ar-SA"/>
              </w:rPr>
              <w:t>银行账号：611957485481</w:t>
            </w:r>
          </w:p>
          <w:p w14:paraId="254156BA">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十、责任与义务</w:t>
            </w:r>
          </w:p>
          <w:p w14:paraId="0F2C1935">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（一）项目总监理工程师每月在岗不少于15天，每缺岗一天，扣除罚金人民币300元/天。在岗天数均按8小时/天计。</w:t>
            </w:r>
          </w:p>
          <w:p w14:paraId="2AA92F03">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（二）因主要监理人员不称职，业主要求调换而未及时调换的，视为供应商违约，必须向业主缴纳罚金人民币2000元/</w:t>
            </w:r>
            <w:r>
              <w:rPr>
                <w:rFonts w:hint="eastAsia" w:ascii="仿宋" w:hAnsi="仿宋" w:eastAsia="仿宋" w:cs="仿宋"/>
                <w:bCs/>
                <w:sz w:val="24"/>
                <w:lang w:eastAsia="zh-CN"/>
              </w:rPr>
              <w:t>（</w:t>
            </w:r>
            <w:r>
              <w:rPr>
                <w:rFonts w:hint="eastAsia" w:ascii="仿宋" w:hAnsi="仿宋" w:eastAsia="仿宋" w:cs="仿宋"/>
                <w:bCs/>
                <w:sz w:val="24"/>
              </w:rPr>
              <w:t>人•次</w:t>
            </w:r>
            <w:r>
              <w:rPr>
                <w:rFonts w:hint="eastAsia" w:ascii="仿宋" w:hAnsi="仿宋" w:eastAsia="仿宋" w:cs="仿宋"/>
                <w:bCs/>
                <w:sz w:val="24"/>
                <w:lang w:eastAsia="zh-CN"/>
              </w:rPr>
              <w:t>）</w:t>
            </w:r>
            <w:r>
              <w:rPr>
                <w:rFonts w:hint="eastAsia" w:ascii="仿宋" w:hAnsi="仿宋" w:eastAsia="仿宋" w:cs="仿宋"/>
                <w:bCs/>
                <w:sz w:val="24"/>
              </w:rPr>
              <w:t>。</w:t>
            </w:r>
          </w:p>
          <w:p w14:paraId="38E55ACA">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（三）未经业主书面同意，供应商擅自更换项目总监理工程师的视为违约，需缴纳违约金人民币3000元/</w:t>
            </w:r>
            <w:r>
              <w:rPr>
                <w:rFonts w:hint="eastAsia" w:ascii="仿宋" w:hAnsi="仿宋" w:eastAsia="仿宋" w:cs="仿宋"/>
                <w:bCs/>
                <w:sz w:val="24"/>
                <w:lang w:eastAsia="zh-CN"/>
              </w:rPr>
              <w:t>（</w:t>
            </w:r>
            <w:r>
              <w:rPr>
                <w:rFonts w:hint="eastAsia" w:ascii="仿宋" w:hAnsi="仿宋" w:eastAsia="仿宋" w:cs="仿宋"/>
                <w:bCs/>
                <w:sz w:val="24"/>
              </w:rPr>
              <w:t>人•次</w:t>
            </w:r>
            <w:r>
              <w:rPr>
                <w:rFonts w:hint="eastAsia" w:ascii="仿宋" w:hAnsi="仿宋" w:eastAsia="仿宋" w:cs="仿宋"/>
                <w:bCs/>
                <w:sz w:val="24"/>
                <w:lang w:eastAsia="zh-CN"/>
              </w:rPr>
              <w:t>）</w:t>
            </w:r>
            <w:bookmarkStart w:id="4" w:name="_GoBack"/>
            <w:bookmarkEnd w:id="4"/>
            <w:r>
              <w:rPr>
                <w:rFonts w:hint="eastAsia" w:ascii="仿宋" w:hAnsi="仿宋" w:eastAsia="仿宋" w:cs="仿宋"/>
                <w:bCs/>
                <w:sz w:val="24"/>
              </w:rPr>
              <w:t>。</w:t>
            </w:r>
          </w:p>
          <w:p w14:paraId="3BB2A103">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四）如在工程实施期间，因国家政策变化、政府对工程的计划调整或不可抗力等非业主原因造成工程停建的，则成交供应商必须接受终止服务并积极配合业主做好善后工作，按已实际完成的监理服务内容和相关约定结清监理报酬。</w:t>
            </w:r>
          </w:p>
        </w:tc>
      </w:tr>
      <w:tr w14:paraId="624A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2"/>
          </w:tcPr>
          <w:p w14:paraId="26F02F87">
            <w:pPr>
              <w:rPr>
                <w:rFonts w:hint="eastAsia" w:ascii="宋体" w:hAnsi="宋体"/>
                <w:b/>
                <w:sz w:val="24"/>
                <w:szCs w:val="32"/>
                <w:lang w:val="en-US" w:eastAsia="zh-CN"/>
              </w:rPr>
            </w:pPr>
            <w:r>
              <w:rPr>
                <w:rFonts w:hint="eastAsia" w:ascii="宋体" w:hAnsi="宋体"/>
                <w:b/>
                <w:sz w:val="24"/>
                <w:szCs w:val="32"/>
                <w:lang w:val="en-US" w:eastAsia="zh-CN"/>
              </w:rPr>
              <w:t>包干价：</w:t>
            </w:r>
          </w:p>
          <w:p w14:paraId="12B6D06B">
            <w:pPr>
              <w:rPr>
                <w:rFonts w:hint="eastAsia" w:ascii="宋体" w:hAnsi="宋体"/>
                <w:b/>
                <w:sz w:val="24"/>
                <w:szCs w:val="32"/>
                <w:u w:val="single"/>
              </w:rPr>
            </w:pPr>
            <w:r>
              <w:rPr>
                <w:rFonts w:hint="eastAsia" w:ascii="宋体" w:hAnsi="宋体"/>
                <w:b/>
                <w:sz w:val="24"/>
                <w:szCs w:val="32"/>
              </w:rPr>
              <w:t>监理</w:t>
            </w:r>
            <w:r>
              <w:rPr>
                <w:rFonts w:hint="eastAsia" w:ascii="宋体" w:hAnsi="宋体"/>
                <w:b/>
                <w:sz w:val="24"/>
                <w:szCs w:val="32"/>
                <w:lang w:val="en-US" w:eastAsia="zh-CN"/>
              </w:rPr>
              <w:t>服务费</w:t>
            </w:r>
            <w:r>
              <w:rPr>
                <w:rFonts w:hint="eastAsia" w:ascii="宋体" w:hAnsi="宋体"/>
                <w:b/>
                <w:sz w:val="24"/>
                <w:szCs w:val="32"/>
              </w:rPr>
              <w:t>：</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tc>
      </w:tr>
      <w:tr w14:paraId="33A1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0" w:type="pct"/>
            <w:gridSpan w:val="2"/>
          </w:tcPr>
          <w:p w14:paraId="3678E3BD">
            <w:pPr>
              <w:numPr>
                <w:ilvl w:val="255"/>
                <w:numId w:val="0"/>
              </w:numPr>
              <w:rPr>
                <w:rFonts w:hint="eastAsia" w:ascii="宋体" w:hAnsi="宋体"/>
                <w:bCs/>
                <w:sz w:val="24"/>
              </w:rPr>
            </w:pPr>
            <w:r>
              <w:rPr>
                <w:rFonts w:hint="eastAsia" w:ascii="宋体" w:hAnsi="宋体"/>
                <w:bCs/>
                <w:sz w:val="24"/>
              </w:rPr>
              <w:t>备注：</w:t>
            </w:r>
          </w:p>
          <w:p w14:paraId="603885FE">
            <w:pPr>
              <w:numPr>
                <w:ilvl w:val="0"/>
                <w:numId w:val="1"/>
              </w:numPr>
              <w:rPr>
                <w:rFonts w:hint="eastAsia" w:ascii="宋体" w:hAnsi="宋体"/>
                <w:bCs/>
                <w:sz w:val="24"/>
              </w:rPr>
            </w:pPr>
            <w:r>
              <w:rPr>
                <w:rFonts w:hint="eastAsia" w:ascii="宋体" w:hAnsi="宋体"/>
                <w:bCs/>
                <w:sz w:val="24"/>
              </w:rPr>
              <w:t>报价人对服务内容已经完全知晓，本次报价包括但不限于完成本项目所需的各项成本、人工费、材料费、管理费、专家评审费、开办费、税金及场地费、利润等所有费用</w:t>
            </w:r>
            <w:r>
              <w:rPr>
                <w:rFonts w:hint="eastAsia" w:ascii="宋体" w:hAnsi="宋体"/>
                <w:bCs/>
                <w:sz w:val="24"/>
                <w:lang w:eastAsia="zh-CN"/>
              </w:rPr>
              <w:t>。</w:t>
            </w:r>
          </w:p>
          <w:p w14:paraId="1C0AEEBE">
            <w:pPr>
              <w:numPr>
                <w:ilvl w:val="0"/>
                <w:numId w:val="1"/>
              </w:numPr>
              <w:rPr>
                <w:rFonts w:hint="eastAsia" w:ascii="宋体" w:hAnsi="宋体"/>
                <w:bCs/>
                <w:sz w:val="24"/>
              </w:rPr>
            </w:pPr>
            <w:r>
              <w:rPr>
                <w:rFonts w:hint="eastAsia" w:ascii="宋体" w:hAnsi="宋体"/>
                <w:bCs/>
                <w:sz w:val="24"/>
              </w:rPr>
              <w:t>本次报价为包干报价，期间不做任何价格调整。</w:t>
            </w:r>
          </w:p>
        </w:tc>
      </w:tr>
    </w:tbl>
    <w:p w14:paraId="7ABD0EC6">
      <w:pPr>
        <w:rPr>
          <w:rFonts w:hint="eastAsia" w:ascii="宋体" w:hAnsi="宋体"/>
          <w:b/>
          <w:sz w:val="28"/>
          <w:szCs w:val="36"/>
        </w:rPr>
      </w:pPr>
      <w:r>
        <w:rPr>
          <w:rFonts w:hint="eastAsia" w:ascii="宋体" w:hAnsi="宋体"/>
          <w:b/>
          <w:sz w:val="28"/>
          <w:szCs w:val="36"/>
        </w:rPr>
        <w:t xml:space="preserve">法定代表人（或委托代理人）签字：            </w:t>
      </w:r>
    </w:p>
    <w:p w14:paraId="15DE86F5">
      <w:pPr>
        <w:rPr>
          <w:rFonts w:hint="eastAsia" w:ascii="宋体" w:hAnsi="宋体"/>
          <w:b/>
          <w:sz w:val="28"/>
          <w:szCs w:val="36"/>
        </w:rPr>
      </w:pPr>
    </w:p>
    <w:p w14:paraId="305ACEE4">
      <w:pPr>
        <w:rPr>
          <w:rFonts w:hint="eastAsia" w:ascii="宋体" w:hAnsi="宋体"/>
          <w:b/>
          <w:sz w:val="28"/>
          <w:szCs w:val="36"/>
        </w:rPr>
      </w:pPr>
      <w:r>
        <w:rPr>
          <w:rFonts w:hint="eastAsia" w:ascii="宋体" w:hAnsi="宋体"/>
          <w:b/>
          <w:sz w:val="28"/>
          <w:szCs w:val="36"/>
        </w:rPr>
        <w:t>单位名称（</w:t>
      </w:r>
      <w:r>
        <w:rPr>
          <w:rFonts w:ascii="宋体" w:hAnsi="宋体"/>
          <w:b/>
          <w:sz w:val="28"/>
          <w:szCs w:val="36"/>
        </w:rPr>
        <w:t>盖</w:t>
      </w:r>
      <w:r>
        <w:rPr>
          <w:rFonts w:hint="eastAsia" w:ascii="宋体" w:hAnsi="宋体"/>
          <w:b/>
          <w:sz w:val="28"/>
          <w:szCs w:val="36"/>
        </w:rPr>
        <w:t>章）：</w:t>
      </w:r>
    </w:p>
    <w:p w14:paraId="1E789B82">
      <w:pPr>
        <w:rPr>
          <w:rFonts w:hint="eastAsia" w:ascii="宋体" w:hAnsi="宋体"/>
          <w:b/>
          <w:sz w:val="28"/>
          <w:szCs w:val="36"/>
        </w:rPr>
      </w:pPr>
    </w:p>
    <w:p w14:paraId="0762DB0A">
      <w:pPr>
        <w:jc w:val="left"/>
        <w:rPr>
          <w:rFonts w:hint="eastAsia" w:ascii="宋体" w:hAnsi="宋体"/>
          <w:b/>
          <w:sz w:val="28"/>
          <w:szCs w:val="36"/>
        </w:rPr>
      </w:pPr>
      <w:r>
        <w:rPr>
          <w:rFonts w:hint="eastAsia" w:ascii="宋体" w:hAnsi="宋体"/>
          <w:b/>
          <w:sz w:val="28"/>
          <w:szCs w:val="36"/>
        </w:rPr>
        <w:t>联系人及电话：</w:t>
      </w:r>
    </w:p>
    <w:p w14:paraId="228B6847">
      <w:pPr>
        <w:jc w:val="left"/>
        <w:rPr>
          <w:rFonts w:hint="eastAsia" w:ascii="宋体" w:hAnsi="宋体"/>
          <w:b/>
          <w:sz w:val="28"/>
          <w:szCs w:val="36"/>
        </w:rPr>
      </w:pPr>
    </w:p>
    <w:p w14:paraId="6774C1D6">
      <w:pPr>
        <w:jc w:val="left"/>
      </w:pPr>
      <w:r>
        <w:rPr>
          <w:rFonts w:ascii="宋体" w:hAnsi="宋体"/>
          <w:b/>
          <w:sz w:val="28"/>
          <w:szCs w:val="36"/>
        </w:rPr>
        <w:t>日期：</w:t>
      </w:r>
      <w:bookmarkStart w:id="1" w:name="_Toc254970732"/>
      <w:bookmarkEnd w:id="1"/>
      <w:bookmarkStart w:id="2" w:name="_Toc173211904"/>
      <w:bookmarkEnd w:id="2"/>
      <w:bookmarkStart w:id="3" w:name="_Toc254970729"/>
      <w:bookmarkEnd w:id="3"/>
    </w:p>
    <w:sectPr>
      <w:pgSz w:w="11906" w:h="16838"/>
      <w:pgMar w:top="1134" w:right="1134" w:bottom="1134"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22B99"/>
    <w:multiLevelType w:val="singleLevel"/>
    <w:tmpl w:val="5AB22B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B1"/>
    <w:rsid w:val="000359DC"/>
    <w:rsid w:val="004251C9"/>
    <w:rsid w:val="004E770F"/>
    <w:rsid w:val="00A06985"/>
    <w:rsid w:val="00CA64E8"/>
    <w:rsid w:val="00DE3CB1"/>
    <w:rsid w:val="00E35F32"/>
    <w:rsid w:val="044E3E0A"/>
    <w:rsid w:val="0AC10F38"/>
    <w:rsid w:val="0FDA6D75"/>
    <w:rsid w:val="135C2A18"/>
    <w:rsid w:val="17657E11"/>
    <w:rsid w:val="184243B2"/>
    <w:rsid w:val="191C401F"/>
    <w:rsid w:val="1CEF742A"/>
    <w:rsid w:val="1EBB6528"/>
    <w:rsid w:val="1EE46634"/>
    <w:rsid w:val="222C71A7"/>
    <w:rsid w:val="25C119DF"/>
    <w:rsid w:val="25C36217"/>
    <w:rsid w:val="28E75A13"/>
    <w:rsid w:val="2EF13811"/>
    <w:rsid w:val="32456B21"/>
    <w:rsid w:val="390818C6"/>
    <w:rsid w:val="3AFE7B03"/>
    <w:rsid w:val="3F3A089F"/>
    <w:rsid w:val="3F791767"/>
    <w:rsid w:val="40B14CDF"/>
    <w:rsid w:val="417A37DF"/>
    <w:rsid w:val="43C46774"/>
    <w:rsid w:val="47816B62"/>
    <w:rsid w:val="49FD67BC"/>
    <w:rsid w:val="4AE7513B"/>
    <w:rsid w:val="4B1024D9"/>
    <w:rsid w:val="4B4F3F7E"/>
    <w:rsid w:val="4DB83818"/>
    <w:rsid w:val="4DCE31F6"/>
    <w:rsid w:val="50B47E13"/>
    <w:rsid w:val="51AE7077"/>
    <w:rsid w:val="552A2393"/>
    <w:rsid w:val="575B3FCB"/>
    <w:rsid w:val="57BB18D1"/>
    <w:rsid w:val="5A8318F9"/>
    <w:rsid w:val="5CC91C79"/>
    <w:rsid w:val="5D5C7F59"/>
    <w:rsid w:val="5E1E4AEE"/>
    <w:rsid w:val="5FC20152"/>
    <w:rsid w:val="5FFF268C"/>
    <w:rsid w:val="618220A0"/>
    <w:rsid w:val="61B56FEA"/>
    <w:rsid w:val="644B6723"/>
    <w:rsid w:val="65231C0C"/>
    <w:rsid w:val="65744A4C"/>
    <w:rsid w:val="6E5056F0"/>
    <w:rsid w:val="6FC75B1F"/>
    <w:rsid w:val="718906D9"/>
    <w:rsid w:val="71F02BFB"/>
    <w:rsid w:val="77112A42"/>
    <w:rsid w:val="777F5BFE"/>
    <w:rsid w:val="7A5A39E8"/>
    <w:rsid w:val="7C2914F4"/>
    <w:rsid w:val="7D7F4C76"/>
    <w:rsid w:val="7E3961FC"/>
    <w:rsid w:val="7EFA268B"/>
    <w:rsid w:val="7F62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eastAsia="宋体" w:asciiTheme="majorHAnsi" w:hAnsiTheme="majorHAnsi" w:cstheme="majorBidi"/>
      <w:b/>
      <w:bCs/>
      <w:sz w:val="36"/>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paragraph" w:customStyle="1" w:styleId="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1380</Words>
  <Characters>1422</Characters>
  <Lines>70</Lines>
  <Paragraphs>87</Paragraphs>
  <TotalTime>52</TotalTime>
  <ScaleCrop>false</ScaleCrop>
  <LinksUpToDate>false</LinksUpToDate>
  <CharactersWithSpaces>1458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2025-09-21T09:48:00Z</dcterms:created>
  <dc:creator>Admin</dc:creator>
  <cp:lastModifiedBy>红雨</cp:lastModifiedBy>
  <dcterms:modified xsi:type="dcterms:W3CDTF">2025-12-17T04:45:38Z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eyJoZGlkIjoiMDU2YTYzZTdmMmFjNGYyNTExMjE0OWJkMzc5MWY2ZjEiLCJ1c2VySWQiOiI3OTc0OTg4NTEifQ==</vt:lpwstr>
  </property>
  <property fmtid="{D5CDD505-2E9C-101B-9397-08002B2CF9AE}" pid="4" name="ICV">
    <vt:lpwstr>DE3E969D138D4466BA06CD09F11F5745_13</vt:lpwstr>
  </property>
</Properties>
</file>