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ind w:firstLine="722" w:firstLineChars="200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广西财经学院2025年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《习近平谈治国理政》</w:t>
      </w:r>
    </w:p>
    <w:p>
      <w:pPr>
        <w:ind w:firstLine="722" w:firstLineChars="200"/>
        <w:jc w:val="center"/>
        <w:rPr>
          <w:rFonts w:ascii="仿宋_GB2312" w:hAnsi="仿宋" w:eastAsia="仿宋_GB2312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第五卷采购报价表</w:t>
      </w:r>
    </w:p>
    <w:p>
      <w:pPr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tbl>
      <w:tblPr>
        <w:tblStyle w:val="5"/>
        <w:tblpPr w:leftFromText="180" w:rightFromText="180" w:vertAnchor="text" w:tblpX="251" w:tblpY="167"/>
        <w:tblW w:w="475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496"/>
        <w:gridCol w:w="96"/>
        <w:gridCol w:w="1884"/>
        <w:gridCol w:w="719"/>
        <w:gridCol w:w="693"/>
        <w:gridCol w:w="690"/>
        <w:gridCol w:w="690"/>
        <w:gridCol w:w="144"/>
        <w:gridCol w:w="500"/>
        <w:gridCol w:w="208"/>
        <w:gridCol w:w="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广西财经学院2025年《习近平谈治国理政》第五卷采购报价表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项目上限控制价：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16000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一、项目采购需求：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品 名</w:t>
            </w:r>
          </w:p>
        </w:tc>
        <w:tc>
          <w:tcPr>
            <w:tcW w:w="12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具体（详细）规格参数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金额（元）</w:t>
            </w:r>
          </w:p>
        </w:tc>
        <w:tc>
          <w:tcPr>
            <w:tcW w:w="3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是否响应</w:t>
            </w:r>
          </w:p>
        </w:tc>
        <w:tc>
          <w:tcPr>
            <w:tcW w:w="4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《习近平谈治国理政》第五卷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中文版平装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，纸质书</w:t>
            </w:r>
          </w:p>
        </w:tc>
        <w:tc>
          <w:tcPr>
            <w:tcW w:w="122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一、主要内容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提供的图书必须是正规出版机构的正式出版图书，凡是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提供的图书与新闻出版署的数据不相符的、存在意识形态问题的、盗版图书，或者图书有污损、图文不清、缺页、倒页、缺附件等质量不合格的，以及与订购单不符（含重发）的，采购人一律予以退货，且由此产生的损失由相关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全部承担。</w:t>
            </w:r>
          </w:p>
          <w:p>
            <w:pPr>
              <w:pStyle w:val="2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二、服务要求</w:t>
            </w:r>
          </w:p>
          <w:p>
            <w:pPr>
              <w:tabs>
                <w:tab w:val="left" w:pos="849"/>
              </w:tabs>
              <w:spacing w:line="300" w:lineRule="exact"/>
              <w:ind w:right="9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应根据采购单位的实际运行程序，采取有力措施提供高效、优质的服务。包括：(1)新书调配应尽可能以最快的速度，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Cs w:val="21"/>
              </w:rPr>
              <w:t>应按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采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购单位</w:t>
            </w:r>
            <w:r>
              <w:rPr>
                <w:rFonts w:hint="eastAsia" w:ascii="宋体" w:hAnsi="宋体" w:eastAsia="宋体" w:cs="宋体"/>
                <w:szCs w:val="21"/>
              </w:rPr>
              <w:t>求购书目及发货包装要求，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供应商须在接到成交通知书之日起至2025年10月13日前完成交货，</w:t>
            </w:r>
            <w:r>
              <w:rPr>
                <w:rFonts w:hint="eastAsia" w:ascii="宋体" w:hAnsi="宋体" w:eastAsia="宋体" w:cs="宋体"/>
                <w:szCs w:val="21"/>
              </w:rPr>
              <w:t>到书率要求达到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Cs w:val="21"/>
              </w:rPr>
              <w:t>%，超过订单数5%</w:t>
            </w:r>
            <w:r>
              <w:rPr>
                <w:rFonts w:hint="eastAsia" w:ascii="宋体" w:hAnsi="宋体" w:cs="宋体"/>
                <w:szCs w:val="21"/>
              </w:rPr>
              <w:t>不能供货的，视为不具备供货条件，采购单位可随时提出终止供货要求。(2)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Cs w:val="21"/>
              </w:rPr>
              <w:t>必须全部送货上门，所有退货由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Cs w:val="21"/>
              </w:rPr>
              <w:t>负责处理，并承担送货、退货的一切费用。</w:t>
            </w:r>
          </w:p>
          <w:p>
            <w:pPr>
              <w:tabs>
                <w:tab w:val="left" w:pos="849"/>
              </w:tabs>
              <w:spacing w:line="300" w:lineRule="exact"/>
              <w:ind w:right="9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提供的图书纸质、规格、印刷质量、错漏率、字体、符号、页面、装订等质量须严格按照中华人民共和国国标GB/T18359、印刷行业相关质量标准执行。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提供的图书纸质、规格、印刷质量、错漏率、字体、符号、页面、装订等质量须严格按照中华人民共和国国标GB/T18359、印刷行业相关质量标准执行。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应在图书发运前对其进行满足于运输距离、防潮、防霉、防破损装卸要求，以保证图书安全快捷到达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党委宣传部</w:t>
            </w:r>
            <w:r>
              <w:rPr>
                <w:rFonts w:hint="eastAsia" w:ascii="宋体" w:hAnsi="宋体" w:cs="宋体"/>
                <w:szCs w:val="21"/>
              </w:rPr>
              <w:t>指定地点，现场验收。随书应提供该批图书数量、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名称</w:t>
            </w:r>
            <w:r>
              <w:rPr>
                <w:rFonts w:hint="eastAsia" w:ascii="宋体" w:hAnsi="宋体" w:cs="宋体"/>
                <w:szCs w:val="21"/>
              </w:rPr>
              <w:t>、价格相符的详细的送书清单一式两份，同时提供电子版发货记录。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szCs w:val="21"/>
              </w:rPr>
              <w:t>提供图书保质期内流通出现破损、脱页等装帧质量问题，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负责及时补书或提供补书费用。</w:t>
            </w:r>
          </w:p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szCs w:val="21"/>
              </w:rPr>
              <w:t>经验收发现图书与发货单不相符的，采购人应及时通知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Cs w:val="21"/>
              </w:rPr>
              <w:t>派员到验收地核实，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应于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个工作日内核对，如不能在此期间确认核实的，以采购人的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党委宣传部</w:t>
            </w:r>
            <w:r>
              <w:rPr>
                <w:rFonts w:hint="eastAsia" w:ascii="宋体" w:hAnsi="宋体" w:cs="宋体"/>
                <w:szCs w:val="21"/>
              </w:rPr>
              <w:t>验收的实际数额码洋乘以折扣率计算书款金额。</w:t>
            </w:r>
          </w:p>
          <w:p>
            <w:pPr>
              <w:tabs>
                <w:tab w:val="left" w:pos="849"/>
              </w:tabs>
              <w:spacing w:line="300" w:lineRule="exact"/>
              <w:ind w:right="9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故意隐藏图书出版信息或不提供可获得的图书，采购人有权终止合同，如采购人的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党委宣传部</w:t>
            </w:r>
            <w:r>
              <w:rPr>
                <w:rFonts w:hint="eastAsia" w:ascii="宋体" w:hAnsi="宋体" w:cs="宋体"/>
                <w:szCs w:val="21"/>
              </w:rPr>
              <w:t>直接从出版社获得相应的图书，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需赔付图书价格五倍的书款。</w:t>
            </w:r>
          </w:p>
          <w:p>
            <w:pPr>
              <w:tabs>
                <w:tab w:val="left" w:pos="849"/>
              </w:tabs>
              <w:spacing w:line="300" w:lineRule="exact"/>
              <w:ind w:right="9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szCs w:val="21"/>
              </w:rPr>
              <w:t>采购图书符合国家意识形态工作要求,禁止有任何国家法规明令禁止出版发行的图书，已到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货</w:t>
            </w:r>
            <w:r>
              <w:rPr>
                <w:rFonts w:hint="eastAsia" w:ascii="宋体" w:hAnsi="宋体" w:cs="宋体"/>
                <w:szCs w:val="21"/>
              </w:rPr>
              <w:t>的此类图书须给予退货。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Cs w:val="21"/>
              </w:rPr>
              <w:t>应与国内重要图书出版单位有固定合作供货关系，图书渠道来源广泛，确保为采购人提供品种丰富、优质的正版图书。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册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/>
                <w:sz w:val="22"/>
              </w:rPr>
            </w:pP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u w:val="single"/>
                <w:lang w:val="en-US"/>
              </w:rPr>
            </w:pPr>
            <w:r>
              <w:rPr>
                <w:rFonts w:hint="eastAsia"/>
                <w:sz w:val="22"/>
              </w:rPr>
              <w:t>报价合计（包含税费等所有费用）：（大写）人民币</w:t>
            </w:r>
            <w:r>
              <w:rPr>
                <w:rFonts w:hint="eastAsia"/>
                <w:sz w:val="22"/>
                <w:lang w:eastAsia="zh-CN"/>
              </w:rPr>
              <w:t>：</w:t>
            </w:r>
            <w:r>
              <w:rPr>
                <w:rFonts w:hint="eastAsia"/>
                <w:sz w:val="22"/>
                <w:u w:val="single"/>
                <w:lang w:val="en-US" w:eastAsia="zh-CN"/>
              </w:rPr>
              <w:t xml:space="preserve">                             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000" w:type="pct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二、商务要求：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要求名称</w:t>
            </w:r>
          </w:p>
        </w:tc>
        <w:tc>
          <w:tcPr>
            <w:tcW w:w="297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要求内容</w:t>
            </w:r>
          </w:p>
        </w:tc>
        <w:tc>
          <w:tcPr>
            <w:tcW w:w="43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是否响应</w:t>
            </w:r>
          </w:p>
        </w:tc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（一）合同签订时间</w:t>
            </w:r>
          </w:p>
        </w:tc>
        <w:tc>
          <w:tcPr>
            <w:tcW w:w="297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自通知书发出之日起5日内完成合同签订</w:t>
            </w:r>
          </w:p>
        </w:tc>
        <w:tc>
          <w:tcPr>
            <w:tcW w:w="43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（二）供货时间</w:t>
            </w:r>
          </w:p>
        </w:tc>
        <w:tc>
          <w:tcPr>
            <w:tcW w:w="297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供应商接到成交通知书之日起至2025年10月13日前完成交货。</w:t>
            </w:r>
          </w:p>
        </w:tc>
        <w:tc>
          <w:tcPr>
            <w:tcW w:w="43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（三）交货地点</w:t>
            </w:r>
          </w:p>
        </w:tc>
        <w:tc>
          <w:tcPr>
            <w:tcW w:w="297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广西南宁市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大学西路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189号广西财经学院相思湖校区行政楼3楼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  <w:tc>
          <w:tcPr>
            <w:tcW w:w="43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（四）付款方式</w:t>
            </w:r>
          </w:p>
        </w:tc>
        <w:tc>
          <w:tcPr>
            <w:tcW w:w="297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本项目无预付款，成交人供货《习近平谈治国理政》第五卷完毕并通过验收后向采购人提供与合同金额一致的有效发票，采购人提请按相关程序一次性拨付100％合同款项。</w:t>
            </w:r>
          </w:p>
        </w:tc>
        <w:tc>
          <w:tcPr>
            <w:tcW w:w="43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88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（五）验收标准</w:t>
            </w:r>
          </w:p>
        </w:tc>
        <w:tc>
          <w:tcPr>
            <w:tcW w:w="2970" w:type="pct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1.以项目询价文件及采购合同为验收依据。</w:t>
            </w:r>
          </w:p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如成交供应商未按《广西财经学院2025年〈习近平谈治国理政〉第五卷采购项目询价公告》和《广西财经学院2025年〈习近平谈治国理政〉采购报价表》承诺提供服务工作的按违约处理，如提供虚假材料的，除按相关规定做违约处理外，采购人依据相关法律规定追究成交供应商的责任，由此带来的一切责任及损失由成交供应商自行承担。</w:t>
            </w:r>
          </w:p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3.符合现行国家标准、行业标准、地方标准或者其他标准、规范和法律法规。若有多项标准不一的，按最新标准或较高标准执行。</w:t>
            </w:r>
          </w:p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.其他未尽事宜应严格按照《关于印发广西壮族自治区政府采购项目履约验收管理办法的通知》[桂财采〔2015〕22号]以及《财政部关于进一步加强政府采购需求和履约验收管理的指导意见》[财库〔2016〕205号]规定执行。</w:t>
            </w:r>
          </w:p>
        </w:tc>
        <w:tc>
          <w:tcPr>
            <w:tcW w:w="436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88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（六）</w:t>
            </w:r>
            <w:r>
              <w:rPr>
                <w:rFonts w:hint="eastAsia" w:ascii="宋体" w:hAnsi="宋体" w:eastAsia="宋体" w:cs="宋体"/>
                <w:szCs w:val="21"/>
              </w:rPr>
              <w:t>售后服务要求</w:t>
            </w:r>
          </w:p>
        </w:tc>
        <w:tc>
          <w:tcPr>
            <w:tcW w:w="2970" w:type="pct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1.送货上门，按采购人要求包装并运送至指定地点。</w:t>
            </w:r>
          </w:p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2.遇质量问题或其他突发情况，成交供应商在接到采购人通知后，在2小时内需要作出响应，12小时内到达现场。</w:t>
            </w:r>
          </w:p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3.项目供货过程中产生的残留物或垃圾，需由成交供应商自行清理至校外。</w:t>
            </w:r>
          </w:p>
        </w:tc>
        <w:tc>
          <w:tcPr>
            <w:tcW w:w="436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（七）其它要求</w:t>
            </w:r>
          </w:p>
        </w:tc>
        <w:tc>
          <w:tcPr>
            <w:tcW w:w="297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1.报价含运输、搬运、清理现场、废旧处理、税发票等所有费用。</w:t>
            </w:r>
          </w:p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2.报价超过本项目上限控制价作无效报价处理。</w:t>
            </w:r>
          </w:p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3.成交供应商须按采购人的要求供货，否则采购人有权拒收。</w:t>
            </w:r>
          </w:p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4.供应商应按清单中的项目自行备货，根据我方的实际使用需求进行供货，并负责安装到位，确保正常使用。</w:t>
            </w:r>
          </w:p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5.所有条款报价人均必须响应，否则视为无效报价。</w:t>
            </w:r>
          </w:p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line="320" w:lineRule="exact"/>
        <w:rPr>
          <w:rFonts w:ascii="仿宋_GB2312" w:hAnsi="Calibri" w:eastAsia="仿宋_GB2312"/>
          <w:color w:val="000000"/>
          <w:szCs w:val="21"/>
        </w:rPr>
      </w:pPr>
    </w:p>
    <w:p>
      <w:pPr>
        <w:spacing w:line="320" w:lineRule="exact"/>
        <w:rPr>
          <w:rFonts w:ascii="仿宋_GB2312" w:hAnsi="Calibri" w:eastAsia="仿宋_GB2312"/>
          <w:color w:val="000000"/>
          <w:szCs w:val="21"/>
        </w:rPr>
      </w:pPr>
    </w:p>
    <w:p>
      <w:pPr>
        <w:spacing w:line="320" w:lineRule="exact"/>
        <w:rPr>
          <w:rFonts w:ascii="仿宋_GB2312" w:hAnsi="Calibri" w:eastAsia="仿宋_GB2312"/>
          <w:color w:val="000000"/>
          <w:szCs w:val="21"/>
        </w:rPr>
      </w:pPr>
    </w:p>
    <w:p>
      <w:pPr>
        <w:spacing w:line="320" w:lineRule="exact"/>
        <w:rPr>
          <w:rFonts w:ascii="仿宋_GB2312" w:hAnsi="Calibri" w:eastAsia="仿宋_GB2312"/>
          <w:color w:val="000000"/>
          <w:szCs w:val="21"/>
        </w:rPr>
      </w:pPr>
    </w:p>
    <w:p>
      <w:pPr>
        <w:spacing w:line="320" w:lineRule="exact"/>
        <w:rPr>
          <w:rFonts w:ascii="仿宋_GB2312" w:hAnsi="Calibri" w:eastAsia="仿宋_GB2312"/>
          <w:color w:val="000000"/>
          <w:szCs w:val="21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报价公司（盖公章）：                  法定代表人签字：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联系人及电话：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报价时间：  年   月   日</w:t>
      </w:r>
    </w:p>
    <w:p/>
    <w:p>
      <w:pPr>
        <w:rPr>
          <w:rFonts w:hint="eastAsia" w:ascii="宋体" w:hAnsi="宋体" w:cs="宋体"/>
          <w:kern w:val="0"/>
          <w:sz w:val="24"/>
          <w:szCs w:val="24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mE0NDNhNzMxNmVmYWJmZWY5ZTJhMjQxZjgxNmQifQ=="/>
  </w:docVars>
  <w:rsids>
    <w:rsidRoot w:val="00000000"/>
    <w:rsid w:val="1D670FFB"/>
    <w:rsid w:val="1ECD2607"/>
    <w:rsid w:val="5EEE8B15"/>
    <w:rsid w:val="5F376F97"/>
    <w:rsid w:val="5F6FF30F"/>
    <w:rsid w:val="6C59B648"/>
    <w:rsid w:val="73F74B38"/>
    <w:rsid w:val="77AF3933"/>
    <w:rsid w:val="77BF6496"/>
    <w:rsid w:val="7F5F3172"/>
    <w:rsid w:val="7FEFA3A8"/>
    <w:rsid w:val="7FFFC4D3"/>
    <w:rsid w:val="8EFC2D7C"/>
    <w:rsid w:val="93FEBF45"/>
    <w:rsid w:val="9FFFA3B3"/>
    <w:rsid w:val="AABFCCE2"/>
    <w:rsid w:val="B779830D"/>
    <w:rsid w:val="BFFBB227"/>
    <w:rsid w:val="D7E7F342"/>
    <w:rsid w:val="DDCF992C"/>
    <w:rsid w:val="DF3E90B2"/>
    <w:rsid w:val="EFF9E2DD"/>
    <w:rsid w:val="F0FF2A1B"/>
    <w:rsid w:val="F3DB3438"/>
    <w:rsid w:val="F76F7414"/>
    <w:rsid w:val="F7FF50C9"/>
    <w:rsid w:val="FB7FFDAC"/>
    <w:rsid w:val="FDDE6F6A"/>
    <w:rsid w:val="FFDE2767"/>
    <w:rsid w:val="FFEF53FF"/>
    <w:rsid w:val="FFF9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778</Words>
  <Characters>828</Characters>
  <Lines>0</Lines>
  <Paragraphs>0</Paragraphs>
  <TotalTime>9</TotalTime>
  <ScaleCrop>false</ScaleCrop>
  <LinksUpToDate>false</LinksUpToDate>
  <CharactersWithSpaces>956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2024-03-26T16:58:00Z</dcterms:created>
  <dc:creator>admin-aa</dc:creator>
  <cp:lastModifiedBy>HUAWEI</cp:lastModifiedBy>
  <dcterms:modified xsi:type="dcterms:W3CDTF">2025-09-24T14:56:43Z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F7500D64884946CEBB51C5B751FAE000_12</vt:lpwstr>
  </property>
</Properties>
</file>