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BC7F6">
      <w:pPr>
        <w:pStyle w:val="5"/>
        <w:shd w:val="clear" w:color="auto" w:fill="FFFFFF"/>
        <w:spacing w:beforeAutospacing="0" w:afterAutospacing="0" w:line="560" w:lineRule="exact"/>
        <w:jc w:val="both"/>
        <w:rPr>
          <w:rFonts w:eastAsia="黑体"/>
          <w:sz w:val="32"/>
          <w:szCs w:val="32"/>
          <w:shd w:val="clear" w:color="auto" w:fill="FFFFFF"/>
        </w:rPr>
      </w:pPr>
      <w:r>
        <w:rPr>
          <w:rFonts w:eastAsia="黑体"/>
          <w:sz w:val="32"/>
          <w:szCs w:val="32"/>
          <w:shd w:val="clear" w:color="auto" w:fill="FFFFFF"/>
        </w:rPr>
        <w:t>附件1</w:t>
      </w:r>
    </w:p>
    <w:p w14:paraId="02BA98CF">
      <w:pPr>
        <w:pStyle w:val="5"/>
        <w:shd w:val="clear" w:color="auto" w:fill="FFFFFF"/>
        <w:spacing w:beforeAutospacing="0" w:afterAutospacing="0" w:line="560" w:lineRule="exact"/>
        <w:jc w:val="both"/>
        <w:rPr>
          <w:rFonts w:eastAsia="黑体"/>
          <w:sz w:val="32"/>
          <w:szCs w:val="32"/>
          <w:shd w:val="clear" w:color="auto" w:fill="FFFFFF"/>
        </w:rPr>
      </w:pPr>
    </w:p>
    <w:p w14:paraId="429B9FE9">
      <w:pPr>
        <w:pStyle w:val="5"/>
        <w:shd w:val="clear" w:color="auto" w:fill="FFFFFF"/>
        <w:spacing w:beforeAutospacing="0" w:afterAutospacing="0" w:line="600" w:lineRule="exact"/>
        <w:ind w:firstLine="880" w:firstLineChars="20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2025年度广西科技界智库重点课题</w:t>
      </w:r>
    </w:p>
    <w:p w14:paraId="1E949384">
      <w:pPr>
        <w:pStyle w:val="5"/>
        <w:shd w:val="clear" w:color="auto" w:fill="FFFFFF"/>
        <w:spacing w:beforeAutospacing="0" w:afterAutospacing="0" w:line="6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申报指南</w:t>
      </w:r>
    </w:p>
    <w:p w14:paraId="6B8710D4">
      <w:pPr>
        <w:pStyle w:val="5"/>
        <w:shd w:val="clear" w:color="auto" w:fill="FFFFFF"/>
        <w:spacing w:beforeAutospacing="0" w:afterAutospacing="0" w:line="560" w:lineRule="exact"/>
        <w:ind w:firstLine="880" w:firstLineChars="200"/>
        <w:jc w:val="center"/>
        <w:rPr>
          <w:rFonts w:eastAsia="方正小标宋简体"/>
          <w:sz w:val="44"/>
          <w:szCs w:val="44"/>
          <w:shd w:val="clear" w:color="auto" w:fill="FFFFFF"/>
        </w:rPr>
      </w:pPr>
    </w:p>
    <w:p w14:paraId="416B8FD3">
      <w:pPr>
        <w:pStyle w:val="5"/>
        <w:shd w:val="clear" w:color="auto" w:fill="FFFFFF"/>
        <w:spacing w:beforeAutospacing="0" w:afterAutospacing="0" w:line="560" w:lineRule="exact"/>
        <w:ind w:firstLine="640" w:firstLineChars="200"/>
        <w:jc w:val="both"/>
        <w:rPr>
          <w:rFonts w:eastAsia="黑体"/>
          <w:sz w:val="32"/>
          <w:szCs w:val="32"/>
          <w:shd w:val="clear" w:color="auto" w:fill="FFFFFF"/>
        </w:rPr>
      </w:pPr>
      <w:r>
        <w:rPr>
          <w:rFonts w:eastAsia="黑体"/>
          <w:sz w:val="32"/>
          <w:szCs w:val="32"/>
          <w:shd w:val="clear" w:color="auto" w:fill="FFFFFF"/>
        </w:rPr>
        <w:t>一、揭榜类课题基本要求</w:t>
      </w:r>
    </w:p>
    <w:p w14:paraId="7E7C9360">
      <w:pPr>
        <w:pStyle w:val="5"/>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2025年拟组织开展五项揭榜类课题，基本要求如下：</w:t>
      </w:r>
    </w:p>
    <w:p w14:paraId="39207D16">
      <w:pPr>
        <w:pStyle w:val="5"/>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（一）研究内容</w:t>
      </w:r>
    </w:p>
    <w:p w14:paraId="28DC0200">
      <w:pPr>
        <w:pStyle w:val="5"/>
        <w:shd w:val="clear" w:color="auto" w:fill="FFFFFF"/>
        <w:spacing w:beforeAutospacing="0" w:afterAutospacing="0" w:line="560" w:lineRule="exact"/>
        <w:ind w:firstLine="627" w:firstLineChars="200"/>
        <w:jc w:val="both"/>
        <w:rPr>
          <w:rFonts w:eastAsia="仿宋_GB2312"/>
          <w:b/>
          <w:bCs/>
          <w:spacing w:val="-4"/>
          <w:kern w:val="2"/>
          <w:sz w:val="32"/>
          <w:szCs w:val="32"/>
        </w:rPr>
      </w:pPr>
      <w:r>
        <w:rPr>
          <w:rFonts w:eastAsia="仿宋_GB2312"/>
          <w:b/>
          <w:bCs/>
          <w:spacing w:val="-4"/>
          <w:kern w:val="2"/>
          <w:sz w:val="32"/>
          <w:szCs w:val="32"/>
        </w:rPr>
        <w:t>1.平</w:t>
      </w:r>
      <w:r>
        <w:rPr>
          <w:rFonts w:hint="eastAsia" w:eastAsia="仿宋_GB2312"/>
          <w:b/>
          <w:bCs/>
          <w:spacing w:val="-4"/>
          <w:kern w:val="2"/>
          <w:sz w:val="32"/>
          <w:szCs w:val="32"/>
          <w:lang w:val="en-US" w:eastAsia="zh-CN"/>
        </w:rPr>
        <w:t>陆</w:t>
      </w:r>
      <w:bookmarkStart w:id="0" w:name="_GoBack"/>
      <w:bookmarkEnd w:id="0"/>
      <w:r>
        <w:rPr>
          <w:rFonts w:eastAsia="仿宋_GB2312"/>
          <w:b/>
          <w:bCs/>
          <w:spacing w:val="-4"/>
          <w:kern w:val="2"/>
          <w:sz w:val="32"/>
          <w:szCs w:val="32"/>
        </w:rPr>
        <w:t>运河建成对广西水陆生态系统的潜在影响及对策研究</w:t>
      </w:r>
    </w:p>
    <w:p w14:paraId="4EB4BC0D">
      <w:pPr>
        <w:pStyle w:val="5"/>
        <w:shd w:val="clear" w:color="auto" w:fill="FFFFFF"/>
        <w:spacing w:beforeAutospacing="0" w:afterAutospacing="0" w:line="560" w:lineRule="exact"/>
        <w:ind w:firstLine="616" w:firstLineChars="200"/>
        <w:jc w:val="both"/>
        <w:rPr>
          <w:rFonts w:eastAsia="仿宋_GB2312"/>
          <w:color w:val="0000FF"/>
          <w:spacing w:val="-6"/>
          <w:kern w:val="2"/>
          <w:sz w:val="32"/>
          <w:szCs w:val="32"/>
        </w:rPr>
      </w:pPr>
      <w:r>
        <w:rPr>
          <w:rFonts w:eastAsia="仿宋_GB2312"/>
          <w:spacing w:val="-6"/>
          <w:kern w:val="2"/>
          <w:sz w:val="32"/>
          <w:szCs w:val="32"/>
        </w:rPr>
        <w:t>平陆运河是新中国成立以来建设的第一条江海连通的大运河，是西部陆海新通道的骨干工程和交通强国的标志性工程，建成后将从根本上改变广西临海但没有江河直航入海的现状。确保平陆运河长期可持续利用、实现经济与生态双赢，平陆运河建设所带来的潜在生态影响不容忽视。课题要求全面深入评估平陆运河建成后可能对广西水陆生态系统产生的潜在影响，探讨如何确保平陆运河长期可持续利用、实现经济与生态双赢，针对运河建设对生态系统造成的具体影响提出相应的对策与建议，为高标准高质量建好平陆运河提供参考和解决方案。</w:t>
      </w:r>
    </w:p>
    <w:p w14:paraId="7045B16B">
      <w:pPr>
        <w:pStyle w:val="5"/>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2.广西面向东盟的人工智能高质量发展的政策创新研究</w:t>
      </w:r>
    </w:p>
    <w:p w14:paraId="5D94BE6B">
      <w:pPr>
        <w:pStyle w:val="5"/>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eastAsia="仿宋_GB2312"/>
          <w:kern w:val="2"/>
          <w:sz w:val="32"/>
          <w:szCs w:val="32"/>
        </w:rPr>
        <w:t>人工智能是新一轮科技革命和产业变革的重要驱动力量，广西不能缺席、不能落后。2025年自治区《政府工作报告》提出，</w:t>
      </w:r>
      <w:r>
        <w:rPr>
          <w:rFonts w:hint="eastAsia" w:ascii="仿宋_GB2312" w:eastAsia="仿宋_GB2312"/>
          <w:kern w:val="2"/>
          <w:sz w:val="32"/>
          <w:szCs w:val="32"/>
        </w:rPr>
        <w:t>要“落实‘人工智能+’行动，立足广西、面向东盟”。课题</w:t>
      </w:r>
      <w:r>
        <w:rPr>
          <w:rFonts w:eastAsia="仿宋_GB2312"/>
          <w:kern w:val="2"/>
          <w:sz w:val="32"/>
          <w:szCs w:val="32"/>
        </w:rPr>
        <w:t>要</w:t>
      </w:r>
      <w:r>
        <w:rPr>
          <w:rFonts w:hint="eastAsia" w:ascii="仿宋_GB2312" w:eastAsia="仿宋_GB2312"/>
          <w:kern w:val="2"/>
          <w:sz w:val="32"/>
          <w:szCs w:val="32"/>
        </w:rPr>
        <w:t>求深入分析广西人工智能发展现状、需求、存在的问题及面临的挑战，探讨如何以政策创新为抓手，引导推动广西人工智能产业快速发展，促进“人工智能+”赋能广西传统优势产业智能化转型，提升广西面向东盟的人工智能合作与技术输出能力水平，为构建广西面向东盟的人工智能高质量发展的政策体系提出可操作性的对策建议。</w:t>
      </w:r>
    </w:p>
    <w:p w14:paraId="1E1E09CE">
      <w:pPr>
        <w:pStyle w:val="5"/>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shd w:val="clear" w:color="auto" w:fill="FFFFFF"/>
        </w:rPr>
        <w:t>3.</w:t>
      </w:r>
      <w:r>
        <w:rPr>
          <w:rFonts w:eastAsia="仿宋_GB2312"/>
          <w:b/>
          <w:bCs/>
          <w:sz w:val="32"/>
          <w:szCs w:val="32"/>
        </w:rPr>
        <w:t>人工智能人才培养与广西产业优化升级的融合路径研究</w:t>
      </w:r>
    </w:p>
    <w:p w14:paraId="248D318E">
      <w:pPr>
        <w:shd w:val="clear" w:color="auto" w:fill="FFFFFF"/>
        <w:spacing w:line="560" w:lineRule="exact"/>
        <w:ind w:firstLine="640" w:firstLineChars="200"/>
        <w:rPr>
          <w:rFonts w:ascii="仿宋_GB2312" w:hAnsi="黑体" w:eastAsia="仿宋_GB2312"/>
          <w:color w:val="0000FF"/>
          <w:kern w:val="0"/>
          <w:sz w:val="32"/>
          <w:szCs w:val="32"/>
        </w:rPr>
      </w:pPr>
      <w:r>
        <w:rPr>
          <w:rFonts w:eastAsia="仿宋_GB2312"/>
          <w:kern w:val="0"/>
          <w:sz w:val="32"/>
          <w:szCs w:val="32"/>
          <w:shd w:val="clear" w:color="auto" w:fill="FFFFFF"/>
        </w:rPr>
        <w:t>人工智能是新一轮科技革命和产业变革的重要驱动力量，广西作为面向东盟的重要门户，促进人工智能人才培养是广西加快形成新质生产力、实现产业优化升级的重要举措。人工智能人才培养与广西产业优化升级存在双向驱动关系，高素质人才为传统产业智能化转型和新兴产业发展注入动能，而产业需求为人才培养方向、模式创新提供实践场景和应用牵引。课题要求深入分析广西人工智能人才培养的基础和优势、面临的</w:t>
      </w:r>
      <w:r>
        <w:rPr>
          <w:rFonts w:hint="eastAsia" w:ascii="仿宋_GB2312" w:hAnsi="黑体" w:eastAsia="仿宋_GB2312"/>
          <w:kern w:val="0"/>
          <w:sz w:val="32"/>
          <w:szCs w:val="32"/>
          <w:shd w:val="clear" w:color="auto" w:fill="FFFFFF"/>
        </w:rPr>
        <w:t>障碍，总结区外“产教融合”的先进经验和做法，针对存在的问题和短板，提出人工智能人才培养与广西产业升级深度融合的路径和对策，为推动广西打造面向东盟的人工智能人才高地、推动经济高质量发展提供决策参考。</w:t>
      </w:r>
    </w:p>
    <w:p w14:paraId="13F61B0A">
      <w:pPr>
        <w:pStyle w:val="5"/>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4.广西数字经济赋能海洋经济高质量发展的实现路径研究</w:t>
      </w:r>
    </w:p>
    <w:p w14:paraId="38979212">
      <w:pPr>
        <w:spacing w:line="560" w:lineRule="exact"/>
        <w:ind w:firstLine="640" w:firstLineChars="200"/>
        <w:textAlignment w:val="baseline"/>
        <w:rPr>
          <w:rFonts w:eastAsia="仿宋_GB2312"/>
          <w:sz w:val="32"/>
          <w:szCs w:val="32"/>
        </w:rPr>
      </w:pPr>
      <w:r>
        <w:rPr>
          <w:rFonts w:eastAsia="仿宋_GB2312"/>
          <w:sz w:val="32"/>
          <w:szCs w:val="32"/>
        </w:rPr>
        <w:t>习近平总书记2023年在广西考察时强调，要解放思想、创新求变，向海图强、开放发展。数字经济赋能海洋经济高质量发展，是夯实数字经济基础、加快海洋强区建设、推动高质量发展的关键一环。课题要求深入分析广西海洋经济数字化发展的现状、存在问题，探讨数字时代海洋经济面临的新机遇，提出数字经济赋能海洋经济高质量发展的实现路径，为广西加快海洋强区建设提供对策建议</w:t>
      </w:r>
      <w:r>
        <w:rPr>
          <w:rFonts w:eastAsia="仿宋_GB2312"/>
          <w:color w:val="0000FF"/>
          <w:sz w:val="32"/>
          <w:szCs w:val="32"/>
        </w:rPr>
        <w:t>。</w:t>
      </w:r>
    </w:p>
    <w:p w14:paraId="672D4D9A">
      <w:pPr>
        <w:pStyle w:val="5"/>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5.广西面向东盟国家的卫星遥感产业发展研究</w:t>
      </w:r>
    </w:p>
    <w:p w14:paraId="1620295D">
      <w:pPr>
        <w:pStyle w:val="5"/>
        <w:shd w:val="clear" w:color="auto" w:fill="FFFFFF"/>
        <w:spacing w:beforeAutospacing="0" w:afterAutospacing="0" w:line="560" w:lineRule="exact"/>
        <w:ind w:firstLine="640" w:firstLineChars="200"/>
        <w:jc w:val="both"/>
        <w:rPr>
          <w:rFonts w:eastAsia="仿宋_GB2312"/>
          <w:color w:val="0000FF"/>
          <w:sz w:val="32"/>
          <w:szCs w:val="32"/>
        </w:rPr>
      </w:pPr>
      <w:r>
        <w:rPr>
          <w:rFonts w:eastAsia="仿宋_GB2312"/>
          <w:sz w:val="32"/>
          <w:szCs w:val="32"/>
          <w:shd w:val="clear" w:color="auto" w:fill="FFFFFF"/>
        </w:rPr>
        <w:t>广西作为我国与东盟</w:t>
      </w:r>
      <w:r>
        <w:rPr>
          <w:rFonts w:hint="eastAsia" w:ascii="仿宋_GB2312" w:eastAsia="仿宋_GB2312"/>
          <w:sz w:val="32"/>
          <w:szCs w:val="32"/>
          <w:shd w:val="clear" w:color="auto" w:fill="FFFFFF"/>
        </w:rPr>
        <w:t>国家合作的“桥头堡”，在“一带一路”倡议、中国—东盟自贸区升级版及《区域全面经济伙伴关系协定》</w:t>
      </w:r>
      <w:r>
        <w:rPr>
          <w:rFonts w:eastAsia="仿宋_GB2312"/>
          <w:sz w:val="32"/>
          <w:szCs w:val="32"/>
          <w:shd w:val="clear" w:color="auto" w:fill="FFFFFF"/>
        </w:rPr>
        <w:t>（RCEP）框架下，区域合作亟需高效的空间信息支撑。卫星遥感技术作为现代空间信息获取的核心手段，可服务于跨境资源管理、环境监测、灾害应急等领域。课题要求深入分析广西卫星遥感产业及面向东盟国家发展卫星遥感产业的现状、存在问题以及面临的机遇、挑战和未来发展趋势，借鉴国内外卫星遥感产业发展现状、趋势及经验，聚焦卫星遥感产业体系构建，针对产业发展面临的制度管理、基础设施建设、人才培养、技术创新与应用及产业发展政策体系建构等系列关键瓶颈问题提出切实可行的解决方案，为我区加快打造卫星遥感现代化产业体系、深化面向东盟产业经济合作提供参考。</w:t>
      </w:r>
    </w:p>
    <w:p w14:paraId="19B3B228">
      <w:pPr>
        <w:pStyle w:val="5"/>
        <w:shd w:val="clear" w:color="auto" w:fill="FFFFFF"/>
        <w:spacing w:beforeAutospacing="0" w:afterAutospacing="0" w:line="560" w:lineRule="exact"/>
        <w:ind w:firstLine="640" w:firstLineChars="200"/>
        <w:jc w:val="both"/>
        <w:rPr>
          <w:rFonts w:eastAsia="仿宋_GB2312"/>
          <w:kern w:val="2"/>
          <w:sz w:val="32"/>
          <w:szCs w:val="32"/>
        </w:rPr>
      </w:pPr>
      <w:r>
        <w:rPr>
          <w:rFonts w:eastAsia="楷体_GB2312"/>
          <w:sz w:val="32"/>
          <w:szCs w:val="32"/>
          <w:shd w:val="clear" w:color="auto" w:fill="FFFFFF"/>
        </w:rPr>
        <w:t>（二）经费安排。</w:t>
      </w:r>
      <w:r>
        <w:rPr>
          <w:rFonts w:eastAsia="仿宋_GB2312"/>
          <w:kern w:val="2"/>
          <w:sz w:val="32"/>
          <w:szCs w:val="32"/>
        </w:rPr>
        <w:t>每个课题给予5万元研究经费。研究经费实</w:t>
      </w:r>
      <w:r>
        <w:rPr>
          <w:rFonts w:hint="eastAsia" w:ascii="仿宋_GB2312" w:eastAsia="仿宋_GB2312"/>
          <w:kern w:val="2"/>
          <w:sz w:val="32"/>
          <w:szCs w:val="32"/>
        </w:rPr>
        <w:t>行“包干制”，不足部</w:t>
      </w:r>
      <w:r>
        <w:rPr>
          <w:rFonts w:eastAsia="仿宋_GB2312"/>
          <w:kern w:val="2"/>
          <w:sz w:val="32"/>
          <w:szCs w:val="32"/>
        </w:rPr>
        <w:t>分承担单位可自行安排配套资金或自筹解决。</w:t>
      </w:r>
    </w:p>
    <w:p w14:paraId="1291DC32">
      <w:pPr>
        <w:spacing w:line="560" w:lineRule="exact"/>
        <w:ind w:firstLine="640" w:firstLineChars="200"/>
        <w:rPr>
          <w:rFonts w:eastAsia="仿宋_GB2312"/>
          <w:sz w:val="32"/>
          <w:szCs w:val="32"/>
          <w:shd w:val="clear" w:color="auto" w:fill="FFFFFF"/>
        </w:rPr>
      </w:pPr>
      <w:r>
        <w:rPr>
          <w:rFonts w:eastAsia="楷体_GB2312"/>
          <w:sz w:val="32"/>
          <w:szCs w:val="32"/>
          <w:shd w:val="clear" w:color="auto" w:fill="FFFFFF"/>
        </w:rPr>
        <w:t>（三）结项要求。</w:t>
      </w:r>
      <w:r>
        <w:rPr>
          <w:rFonts w:eastAsia="仿宋_GB2312"/>
          <w:sz w:val="32"/>
          <w:szCs w:val="32"/>
          <w:shd w:val="clear" w:color="auto" w:fill="FFFFFF"/>
        </w:rPr>
        <w:t>2025年11月30日前提交不少于2万字的研究报告1份，约3500字的决策咨询专报2份。</w:t>
      </w:r>
      <w:r>
        <w:rPr>
          <w:rFonts w:eastAsia="仿宋_GB2312"/>
          <w:sz w:val="32"/>
          <w:szCs w:val="32"/>
        </w:rPr>
        <w:t>要求知网查重全文总文字复制比不超过20%，其中主要研究结论和对策措施的文字复制比不超过10%，课题组发表的与本课题相关且标注为自治区科协专项立项的研究成果（论文、著作等）中的文字不计入文字复制比。</w:t>
      </w:r>
      <w:r>
        <w:rPr>
          <w:rFonts w:eastAsia="仿宋_GB2312"/>
          <w:sz w:val="32"/>
          <w:szCs w:val="32"/>
          <w:shd w:val="clear" w:color="auto" w:fill="FFFFFF"/>
        </w:rPr>
        <w:t>经现场专家评审，符合结项要求的课题，将颁发结题证书。逾期提交视为违约。</w:t>
      </w:r>
    </w:p>
    <w:p w14:paraId="04D8FF77">
      <w:pPr>
        <w:pStyle w:val="5"/>
        <w:shd w:val="clear" w:color="auto" w:fill="FFFFFF"/>
        <w:spacing w:beforeAutospacing="0" w:afterAutospacing="0" w:line="560" w:lineRule="exact"/>
        <w:ind w:firstLine="640" w:firstLineChars="200"/>
        <w:jc w:val="both"/>
        <w:rPr>
          <w:rFonts w:eastAsia="黑体"/>
          <w:sz w:val="32"/>
          <w:szCs w:val="32"/>
          <w:shd w:val="clear" w:color="auto" w:fill="FFFFFF"/>
        </w:rPr>
      </w:pPr>
    </w:p>
    <w:p w14:paraId="197C6500">
      <w:pPr>
        <w:pStyle w:val="5"/>
        <w:shd w:val="clear" w:color="auto" w:fill="FFFFFF"/>
        <w:spacing w:beforeAutospacing="0" w:afterAutospacing="0" w:line="560" w:lineRule="exact"/>
        <w:ind w:firstLine="640" w:firstLineChars="200"/>
        <w:jc w:val="both"/>
        <w:rPr>
          <w:rFonts w:eastAsia="黑体"/>
          <w:sz w:val="32"/>
          <w:szCs w:val="32"/>
          <w:shd w:val="clear" w:color="auto" w:fill="FFFFFF"/>
        </w:rPr>
      </w:pPr>
      <w:r>
        <w:rPr>
          <w:rFonts w:eastAsia="黑体"/>
          <w:sz w:val="32"/>
          <w:szCs w:val="32"/>
          <w:shd w:val="clear" w:color="auto" w:fill="FFFFFF"/>
        </w:rPr>
        <w:t>二、自选类课题基本要求</w:t>
      </w:r>
    </w:p>
    <w:p w14:paraId="29FC3CB5">
      <w:pPr>
        <w:pStyle w:val="5"/>
        <w:shd w:val="clear" w:color="auto" w:fill="FFFFFF"/>
        <w:spacing w:beforeAutospacing="0" w:afterAutospacing="0" w:line="560" w:lineRule="exact"/>
        <w:ind w:firstLine="640" w:firstLineChars="200"/>
        <w:jc w:val="both"/>
        <w:rPr>
          <w:rFonts w:eastAsia="仿宋_GB2312"/>
          <w:kern w:val="2"/>
          <w:sz w:val="32"/>
          <w:szCs w:val="32"/>
        </w:rPr>
      </w:pPr>
      <w:r>
        <w:rPr>
          <w:rFonts w:eastAsia="仿宋_GB2312"/>
          <w:kern w:val="2"/>
          <w:sz w:val="32"/>
          <w:szCs w:val="32"/>
        </w:rPr>
        <w:t>自选类课题是指由课题组或课题负责人自拟题目，自筹经费的课题。</w:t>
      </w:r>
    </w:p>
    <w:p w14:paraId="54FBCC56">
      <w:pPr>
        <w:pStyle w:val="5"/>
        <w:shd w:val="clear" w:color="auto" w:fill="FFFFFF"/>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（一）研究方向</w:t>
      </w:r>
    </w:p>
    <w:p w14:paraId="557E9D10">
      <w:pPr>
        <w:spacing w:line="560" w:lineRule="exact"/>
        <w:ind w:firstLine="640" w:firstLineChars="200"/>
        <w:rPr>
          <w:rFonts w:eastAsia="仿宋_GB2312"/>
          <w:b/>
          <w:bCs/>
          <w:sz w:val="36"/>
          <w:szCs w:val="36"/>
        </w:rPr>
      </w:pPr>
      <w:r>
        <w:rPr>
          <w:rFonts w:eastAsia="仿宋_GB2312"/>
          <w:sz w:val="32"/>
          <w:szCs w:val="32"/>
          <w:shd w:val="clear" w:color="auto" w:fill="FFFFFF"/>
        </w:rPr>
        <w:t>研究需贯彻落实</w:t>
      </w:r>
      <w:r>
        <w:rPr>
          <w:rFonts w:eastAsia="仿宋_GB2312"/>
          <w:sz w:val="32"/>
          <w:szCs w:val="32"/>
        </w:rPr>
        <w:t>习近平总书记</w:t>
      </w:r>
      <w:r>
        <w:rPr>
          <w:rFonts w:hint="eastAsia" w:eastAsia="仿宋_GB2312"/>
          <w:sz w:val="32"/>
          <w:szCs w:val="32"/>
        </w:rPr>
        <w:t>关于</w:t>
      </w:r>
      <w:r>
        <w:rPr>
          <w:rFonts w:eastAsia="仿宋_GB2312"/>
          <w:sz w:val="32"/>
          <w:szCs w:val="32"/>
        </w:rPr>
        <w:t>广西</w:t>
      </w:r>
      <w:r>
        <w:rPr>
          <w:rFonts w:hint="eastAsia" w:eastAsia="仿宋_GB2312"/>
          <w:sz w:val="32"/>
          <w:szCs w:val="32"/>
        </w:rPr>
        <w:t>工作论述的重要</w:t>
      </w:r>
      <w:r>
        <w:rPr>
          <w:rFonts w:eastAsia="仿宋_GB2312"/>
          <w:sz w:val="32"/>
          <w:szCs w:val="32"/>
        </w:rPr>
        <w:t>要求，围绕党委、政府工作布局、中心任务、重点工作，紧扣有关科技经济融合、科技创新、科学普及、人才培养、科研环境、科技政策等方面的重点、难点和热点问题，有针对性地开展调研课题研究。研究为公共政策性研究，一般需包含存在的问题、现状，并提出对策建议。</w:t>
      </w:r>
      <w:r>
        <w:rPr>
          <w:rFonts w:eastAsia="仿宋_GB2312"/>
          <w:b/>
          <w:bCs/>
          <w:sz w:val="32"/>
          <w:szCs w:val="32"/>
        </w:rPr>
        <w:t>纯技术性研究类课题不在本次申报立项范围内。</w:t>
      </w:r>
    </w:p>
    <w:p w14:paraId="5CDA085D">
      <w:pPr>
        <w:pStyle w:val="5"/>
        <w:shd w:val="clear" w:color="auto" w:fill="FFFFFF"/>
        <w:spacing w:beforeAutospacing="0" w:afterAutospacing="0" w:line="560" w:lineRule="exact"/>
        <w:ind w:firstLine="640" w:firstLineChars="200"/>
        <w:jc w:val="both"/>
        <w:rPr>
          <w:rFonts w:eastAsia="仿宋_GB2312"/>
          <w:kern w:val="2"/>
          <w:sz w:val="32"/>
          <w:szCs w:val="32"/>
        </w:rPr>
      </w:pPr>
      <w:r>
        <w:rPr>
          <w:rFonts w:eastAsia="楷体_GB2312"/>
          <w:sz w:val="32"/>
          <w:szCs w:val="32"/>
          <w:shd w:val="clear" w:color="auto" w:fill="FFFFFF"/>
        </w:rPr>
        <w:t>（二）经费安排。</w:t>
      </w:r>
      <w:r>
        <w:rPr>
          <w:rFonts w:eastAsia="仿宋_GB2312"/>
          <w:kern w:val="2"/>
          <w:sz w:val="32"/>
          <w:szCs w:val="32"/>
        </w:rPr>
        <w:t>课题研究经费由承担单位或课题组自行安排和筹集。在公开刊物发表与课题研究相符论文的，可作为结题评优参考依据。</w:t>
      </w:r>
    </w:p>
    <w:p w14:paraId="6B9458D4">
      <w:pPr>
        <w:pStyle w:val="5"/>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楷体_GB2312"/>
          <w:sz w:val="32"/>
          <w:szCs w:val="32"/>
          <w:shd w:val="clear" w:color="auto" w:fill="FFFFFF"/>
        </w:rPr>
        <w:t>（三）结项要求。</w:t>
      </w:r>
      <w:r>
        <w:rPr>
          <w:rFonts w:eastAsia="仿宋_GB2312"/>
          <w:sz w:val="32"/>
          <w:szCs w:val="32"/>
          <w:shd w:val="clear" w:color="auto" w:fill="FFFFFF"/>
        </w:rPr>
        <w:t>2025年11月30日前提交1万字符合质量要求的研究报告1份，约3000字的决策咨询专报1份或理论文章1份；</w:t>
      </w:r>
      <w:r>
        <w:rPr>
          <w:rFonts w:eastAsia="仿宋_GB2312"/>
          <w:kern w:val="2"/>
          <w:sz w:val="32"/>
          <w:szCs w:val="32"/>
        </w:rPr>
        <w:t>要求知网查重全文总文字复制比不超过20%，其中主要研究结论和对策措施的文字复制比不超过10%，课题组发表的与本课题相关且标注为自治区科协专项立项的研究成果（论文、著作等）中的文字不计入文字复制比。</w:t>
      </w:r>
      <w:r>
        <w:rPr>
          <w:rFonts w:eastAsia="仿宋_GB2312"/>
          <w:sz w:val="32"/>
          <w:szCs w:val="32"/>
          <w:shd w:val="clear" w:color="auto" w:fill="FFFFFF"/>
        </w:rPr>
        <w:t>经集中评审，验收合格的，我会给课题组颁发结题证书。逾期提交视为违约。</w:t>
      </w:r>
    </w:p>
    <w:p w14:paraId="55EA2F98"/>
    <w:sectPr>
      <w:pgSz w:w="11906" w:h="16838"/>
      <w:pgMar w:top="147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F689C"/>
    <w:rsid w:val="20860603"/>
    <w:rsid w:val="486F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2111</Words>
  <Characters>2155</Characters>
  <Lines>0</Lines>
  <Paragraphs>0</Paragraphs>
  <TotalTime>4</TotalTime>
  <ScaleCrop>false</ScaleCrop>
  <LinksUpToDate>false</LinksUpToDate>
  <CharactersWithSpaces>2155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2025-04-16T06:05:00Z</dcterms:created>
  <dc:creator>Big Apple李黎华</dc:creator>
  <cp:lastModifiedBy>Big Apple李黎华</cp:lastModifiedBy>
  <dcterms:modified xsi:type="dcterms:W3CDTF">2025-04-16T07:46:28Z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F37AAD4221A34968A47BD169C1012791_11</vt:lpwstr>
  </property>
  <property fmtid="{D5CDD505-2E9C-101B-9397-08002B2CF9AE}" pid="4" name="KSOTemplateDocerSaveRecord">
    <vt:lpwstr>eyJoZGlkIjoiMGE5YTZiYmFmZTEwZmM2YjE5NmYxYTk4NzgyNGJkYjQiLCJ1c2VySWQiOiI5MzcyNDAyMzQifQ==</vt:lpwstr>
  </property>
</Properties>
</file>