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7D1B0D">
      <w:pPr>
        <w:pStyle w:val="2"/>
        <w:jc w:val="left"/>
        <w:rPr>
          <w:rFonts w:hint="eastAsia" w:ascii="宋体" w:hAnsi="宋体" w:eastAsia="宋体" w:cs="Times New Roman"/>
          <w:b/>
          <w:bCs/>
          <w:color w:val="auto"/>
          <w:kern w:val="2"/>
          <w:sz w:val="28"/>
          <w:szCs w:val="28"/>
          <w:highlight w:val="none"/>
          <w:lang w:val="en-US" w:eastAsia="zh-CN" w:bidi="ar-SA"/>
        </w:rPr>
      </w:pPr>
      <w:bookmarkStart w:id="0" w:name="_Toc16437"/>
      <w:r>
        <w:rPr>
          <w:rFonts w:hint="eastAsia" w:ascii="宋体" w:hAnsi="宋体" w:eastAsia="宋体" w:cs="Times New Roman"/>
          <w:b/>
          <w:bCs/>
          <w:color w:val="auto"/>
          <w:kern w:val="2"/>
          <w:sz w:val="28"/>
          <w:szCs w:val="28"/>
          <w:highlight w:val="none"/>
          <w:lang w:val="en-US" w:eastAsia="zh-CN" w:bidi="ar-SA"/>
        </w:rPr>
        <w:t>最终采购需求以公开发布的招标文件为准</w:t>
      </w:r>
      <w:bookmarkStart w:id="18" w:name="_GoBack"/>
      <w:bookmarkEnd w:id="18"/>
    </w:p>
    <w:p w14:paraId="7C2DA41E">
      <w:pPr>
        <w:pStyle w:val="2"/>
        <w:jc w:val="center"/>
        <w:rPr>
          <w:rFonts w:ascii="方正小标宋简体" w:hAnsi="方正小标宋简体" w:eastAsia="方正小标宋简体" w:cs="方正小标宋简体"/>
          <w:b w:val="0"/>
          <w:bCs w:val="0"/>
          <w:color w:val="auto"/>
        </w:rPr>
      </w:pPr>
      <w:r>
        <w:rPr>
          <w:rFonts w:hint="eastAsia" w:ascii="方正小标宋简体" w:hAnsi="方正小标宋简体" w:eastAsia="方正小标宋简体" w:cs="方正小标宋简体"/>
          <w:b w:val="0"/>
          <w:bCs w:val="0"/>
          <w:color w:val="auto"/>
        </w:rPr>
        <w:t>武鸣校区学生宿舍家具采购项目采购需求</w:t>
      </w:r>
      <w:bookmarkEnd w:id="0"/>
    </w:p>
    <w:p w14:paraId="4CFA2219">
      <w:pPr>
        <w:spacing w:line="520" w:lineRule="exact"/>
        <w:ind w:left="6" w:firstLine="431"/>
        <w:rPr>
          <w:rFonts w:ascii="宋体" w:hAnsi="宋体"/>
          <w:b/>
          <w:bCs/>
          <w:color w:val="auto"/>
          <w:sz w:val="28"/>
          <w:szCs w:val="28"/>
          <w:highlight w:val="none"/>
        </w:rPr>
      </w:pPr>
      <w:r>
        <w:rPr>
          <w:rFonts w:hint="eastAsia" w:ascii="宋体" w:hAnsi="宋体"/>
          <w:b/>
          <w:bCs/>
          <w:color w:val="auto"/>
          <w:sz w:val="28"/>
          <w:szCs w:val="28"/>
          <w:highlight w:val="none"/>
        </w:rPr>
        <w:t>1．本需求的货物品牌型号、技术参数及其性能（配置）仅起参考作用，投标人可选用其他品牌型号替代，但这些替代的产品要实质上相当于或优于参考品牌型号及其技术参数性能（配置）要求。</w:t>
      </w:r>
    </w:p>
    <w:p w14:paraId="1104EE00">
      <w:pPr>
        <w:spacing w:line="520" w:lineRule="exact"/>
        <w:ind w:left="6" w:firstLine="431"/>
        <w:rPr>
          <w:rFonts w:ascii="宋体" w:hAnsi="宋体"/>
          <w:b/>
          <w:bCs/>
          <w:color w:val="auto"/>
          <w:sz w:val="28"/>
          <w:szCs w:val="28"/>
          <w:highlight w:val="none"/>
        </w:rPr>
      </w:pPr>
      <w:r>
        <w:rPr>
          <w:rFonts w:hint="eastAsia" w:ascii="宋体" w:hAnsi="宋体"/>
          <w:b/>
          <w:bCs/>
          <w:color w:val="auto"/>
          <w:sz w:val="28"/>
          <w:szCs w:val="28"/>
          <w:highlight w:val="none"/>
        </w:rPr>
        <w:t>2．本需求中参考品牌型号规格及技术参数不明确或有误的，或投标人选用其他品牌型号替代的，请以详细、正确的品牌型号、技术参数（配置）同时填写投标报价明细表和商务、技术响应偏离表。技术响应偏离表须按技术参数及配置要求一一对应响应。</w:t>
      </w:r>
    </w:p>
    <w:p w14:paraId="4C3F04A5">
      <w:pPr>
        <w:spacing w:line="520" w:lineRule="exact"/>
        <w:ind w:left="6" w:firstLine="431"/>
        <w:rPr>
          <w:rFonts w:ascii="宋体" w:hAnsi="宋体"/>
          <w:b/>
          <w:bCs/>
          <w:color w:val="auto"/>
          <w:sz w:val="28"/>
          <w:szCs w:val="28"/>
          <w:highlight w:val="none"/>
        </w:rPr>
      </w:pPr>
      <w:r>
        <w:rPr>
          <w:rFonts w:hint="eastAsia" w:ascii="宋体" w:hAnsi="宋体"/>
          <w:b/>
          <w:bCs/>
          <w:color w:val="auto"/>
          <w:sz w:val="28"/>
          <w:szCs w:val="28"/>
          <w:highlight w:val="none"/>
        </w:rPr>
        <w:t>3.凡在“技术参数及性能（配置）要求”中表述为“标配”或“标准配置”的设备，投标人应在投标报价明细表中将其标配参数详细列明。</w:t>
      </w:r>
    </w:p>
    <w:p w14:paraId="0E46C65B">
      <w:pPr>
        <w:spacing w:line="520" w:lineRule="exact"/>
        <w:ind w:left="6" w:firstLine="431"/>
        <w:rPr>
          <w:rFonts w:hAnsi="宋体"/>
          <w:b/>
          <w:color w:val="auto"/>
          <w:sz w:val="28"/>
          <w:szCs w:val="28"/>
          <w:highlight w:val="none"/>
        </w:rPr>
      </w:pPr>
      <w:r>
        <w:rPr>
          <w:rFonts w:hint="eastAsia" w:hAnsi="宋体"/>
          <w:b/>
          <w:color w:val="auto"/>
          <w:sz w:val="28"/>
          <w:szCs w:val="28"/>
          <w:highlight w:val="none"/>
        </w:rPr>
        <w:t>4.</w:t>
      </w:r>
      <w:r>
        <w:rPr>
          <w:rFonts w:hint="eastAsia" w:hAnsi="宋体" w:cs="宋体"/>
          <w:b/>
          <w:color w:val="auto"/>
          <w:sz w:val="28"/>
          <w:szCs w:val="28"/>
          <w:highlight w:val="none"/>
        </w:rPr>
        <w:t>招标文件中带“</w:t>
      </w:r>
      <w:r>
        <w:rPr>
          <w:rFonts w:hint="eastAsia" w:hAnsi="宋体"/>
          <w:color w:val="auto"/>
          <w:sz w:val="28"/>
          <w:szCs w:val="28"/>
          <w:highlight w:val="none"/>
        </w:rPr>
        <w:t>▲</w:t>
      </w:r>
      <w:r>
        <w:rPr>
          <w:rFonts w:hint="eastAsia" w:hAnsi="宋体" w:cs="宋体"/>
          <w:b/>
          <w:color w:val="auto"/>
          <w:sz w:val="28"/>
          <w:szCs w:val="28"/>
          <w:highlight w:val="none"/>
        </w:rPr>
        <w:t>”的条款为本次采购的实质性(关键性)的商务、技术或服务要求，投标人须满足或优于，否则，将会被认定为无效投标</w:t>
      </w:r>
      <w:r>
        <w:rPr>
          <w:rFonts w:hint="eastAsia" w:hAnsi="宋体"/>
          <w:b/>
          <w:color w:val="auto"/>
          <w:sz w:val="28"/>
          <w:szCs w:val="28"/>
          <w:highlight w:val="none"/>
        </w:rPr>
        <w:t>。</w:t>
      </w:r>
    </w:p>
    <w:p w14:paraId="558FC457">
      <w:pPr>
        <w:spacing w:line="520" w:lineRule="exact"/>
        <w:ind w:left="6" w:firstLine="431"/>
        <w:rPr>
          <w:rFonts w:ascii="宋体" w:hAnsi="宋体"/>
          <w:b/>
          <w:bCs/>
          <w:color w:val="auto"/>
          <w:sz w:val="28"/>
          <w:szCs w:val="28"/>
          <w:highlight w:val="none"/>
        </w:rPr>
      </w:pPr>
      <w:r>
        <w:rPr>
          <w:rFonts w:hint="eastAsia" w:ascii="宋体" w:hAnsi="宋体"/>
          <w:b/>
          <w:bCs/>
          <w:color w:val="auto"/>
          <w:sz w:val="28"/>
          <w:szCs w:val="28"/>
          <w:highlight w:val="none"/>
        </w:rPr>
        <w:t>5.</w:t>
      </w:r>
      <w:r>
        <w:rPr>
          <w:rFonts w:ascii="宋体" w:hAnsi="宋体"/>
          <w:b/>
          <w:bCs/>
          <w:color w:val="auto"/>
          <w:sz w:val="28"/>
          <w:szCs w:val="28"/>
          <w:highlight w:val="none"/>
        </w:rPr>
        <w:t>采购标的对应的中小企业划分标准所属行业为</w:t>
      </w:r>
      <w:r>
        <w:rPr>
          <w:rFonts w:hint="eastAsia" w:ascii="宋体" w:hAnsi="宋体"/>
          <w:b/>
          <w:bCs/>
          <w:color w:val="auto"/>
          <w:sz w:val="28"/>
          <w:szCs w:val="28"/>
          <w:highlight w:val="none"/>
        </w:rPr>
        <w:t>：工业。</w:t>
      </w:r>
    </w:p>
    <w:p w14:paraId="1EDA271F">
      <w:pPr>
        <w:pStyle w:val="2"/>
        <w:rPr>
          <w:rFonts w:ascii="黑体" w:hAnsi="黑体" w:eastAsia="黑体" w:cs="黑体"/>
          <w:b w:val="0"/>
          <w:bCs w:val="0"/>
          <w:color w:val="auto"/>
          <w:sz w:val="32"/>
          <w:szCs w:val="32"/>
          <w:highlight w:val="none"/>
        </w:rPr>
      </w:pPr>
      <w:bookmarkStart w:id="1" w:name="_Toc7964"/>
      <w:r>
        <w:rPr>
          <w:rFonts w:hint="eastAsia" w:ascii="黑体" w:hAnsi="黑体" w:eastAsia="黑体" w:cs="黑体"/>
          <w:b w:val="0"/>
          <w:bCs w:val="0"/>
          <w:color w:val="auto"/>
          <w:sz w:val="32"/>
          <w:szCs w:val="32"/>
          <w:highlight w:val="none"/>
        </w:rPr>
        <w:t>一、项目基本情况</w:t>
      </w:r>
      <w:bookmarkEnd w:id="1"/>
    </w:p>
    <w:tbl>
      <w:tblPr>
        <w:tblStyle w:val="20"/>
        <w:tblW w:w="9962" w:type="dxa"/>
        <w:tblInd w:w="0" w:type="dxa"/>
        <w:tblLayout w:type="fixed"/>
        <w:tblCellMar>
          <w:top w:w="0" w:type="dxa"/>
          <w:left w:w="108" w:type="dxa"/>
          <w:bottom w:w="0" w:type="dxa"/>
          <w:right w:w="108" w:type="dxa"/>
        </w:tblCellMar>
      </w:tblPr>
      <w:tblGrid>
        <w:gridCol w:w="457"/>
        <w:gridCol w:w="1320"/>
        <w:gridCol w:w="874"/>
        <w:gridCol w:w="780"/>
        <w:gridCol w:w="1290"/>
        <w:gridCol w:w="1440"/>
        <w:gridCol w:w="3801"/>
      </w:tblGrid>
      <w:tr w14:paraId="723C6DC3">
        <w:tblPrEx>
          <w:tblCellMar>
            <w:top w:w="0" w:type="dxa"/>
            <w:left w:w="108" w:type="dxa"/>
            <w:bottom w:w="0" w:type="dxa"/>
            <w:right w:w="108" w:type="dxa"/>
          </w:tblCellMar>
        </w:tblPrEx>
        <w:trPr>
          <w:trHeight w:val="1075" w:hRule="atLeast"/>
          <w:tblHeader/>
        </w:trPr>
        <w:tc>
          <w:tcPr>
            <w:tcW w:w="17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D65DB9">
            <w:pPr>
              <w:widowControl/>
              <w:jc w:val="center"/>
              <w:textAlignment w:val="center"/>
              <w:rPr>
                <w:rFonts w:ascii="宋体" w:hAnsi="宋体" w:cs="宋体"/>
                <w:b/>
                <w:bCs/>
                <w:color w:val="auto"/>
                <w:kern w:val="0"/>
                <w:sz w:val="24"/>
                <w:highlight w:val="none"/>
                <w:lang w:bidi="ar"/>
              </w:rPr>
            </w:pPr>
            <w:r>
              <w:rPr>
                <w:rFonts w:hint="eastAsia" w:ascii="宋体" w:hAnsi="宋体" w:cs="宋体"/>
                <w:b/>
                <w:bCs/>
                <w:color w:val="auto"/>
                <w:kern w:val="0"/>
                <w:sz w:val="24"/>
                <w:highlight w:val="none"/>
                <w:lang w:bidi="ar"/>
              </w:rPr>
              <w:t>项目名称</w:t>
            </w:r>
          </w:p>
        </w:tc>
        <w:tc>
          <w:tcPr>
            <w:tcW w:w="81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AE5BEDB">
            <w:pPr>
              <w:widowControl/>
              <w:jc w:val="center"/>
              <w:textAlignment w:val="center"/>
              <w:rPr>
                <w:rFonts w:ascii="宋体" w:hAnsi="宋体" w:cs="宋体"/>
                <w:b/>
                <w:bCs/>
                <w:color w:val="auto"/>
                <w:kern w:val="0"/>
                <w:sz w:val="24"/>
                <w:highlight w:val="none"/>
                <w:lang w:bidi="ar"/>
              </w:rPr>
            </w:pPr>
            <w:r>
              <w:rPr>
                <w:rFonts w:hint="eastAsia" w:ascii="宋体" w:hAnsi="宋体" w:cs="宋体"/>
                <w:b/>
                <w:bCs/>
                <w:color w:val="auto"/>
                <w:kern w:val="0"/>
                <w:sz w:val="24"/>
                <w:highlight w:val="none"/>
                <w:lang w:bidi="ar"/>
              </w:rPr>
              <w:t>武鸣校区学生宿舍家具采购项目</w:t>
            </w:r>
          </w:p>
        </w:tc>
      </w:tr>
      <w:tr w14:paraId="772DC55D">
        <w:tblPrEx>
          <w:tblCellMar>
            <w:top w:w="0" w:type="dxa"/>
            <w:left w:w="108" w:type="dxa"/>
            <w:bottom w:w="0" w:type="dxa"/>
            <w:right w:w="108" w:type="dxa"/>
          </w:tblCellMar>
        </w:tblPrEx>
        <w:trPr>
          <w:trHeight w:val="1075" w:hRule="atLeast"/>
        </w:trPr>
        <w:tc>
          <w:tcPr>
            <w:tcW w:w="17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3367EE">
            <w:pPr>
              <w:widowControl/>
              <w:jc w:val="center"/>
              <w:textAlignment w:val="center"/>
              <w:rPr>
                <w:rFonts w:ascii="宋体" w:hAnsi="宋体" w:cs="宋体"/>
                <w:b/>
                <w:bCs/>
                <w:color w:val="auto"/>
                <w:kern w:val="0"/>
                <w:sz w:val="24"/>
                <w:highlight w:val="none"/>
                <w:lang w:bidi="ar"/>
              </w:rPr>
            </w:pPr>
            <w:r>
              <w:rPr>
                <w:rFonts w:hint="eastAsia" w:ascii="宋体" w:hAnsi="宋体" w:cs="宋体"/>
                <w:b/>
                <w:bCs/>
                <w:color w:val="auto"/>
                <w:kern w:val="0"/>
                <w:sz w:val="24"/>
                <w:highlight w:val="none"/>
                <w:lang w:bidi="ar"/>
              </w:rPr>
              <w:t>项目预算</w:t>
            </w:r>
          </w:p>
        </w:tc>
        <w:tc>
          <w:tcPr>
            <w:tcW w:w="81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B1102A7">
            <w:pPr>
              <w:widowControl/>
              <w:jc w:val="center"/>
              <w:textAlignment w:val="center"/>
              <w:rPr>
                <w:rFonts w:ascii="宋体" w:hAnsi="宋体" w:cs="宋体"/>
                <w:b/>
                <w:bCs/>
                <w:color w:val="auto"/>
                <w:kern w:val="0"/>
                <w:sz w:val="24"/>
                <w:highlight w:val="none"/>
                <w:lang w:bidi="ar"/>
              </w:rPr>
            </w:pPr>
            <w:r>
              <w:rPr>
                <w:rFonts w:hint="eastAsia" w:ascii="宋体" w:hAnsi="宋体" w:cs="宋体"/>
                <w:b/>
                <w:bCs/>
                <w:color w:val="auto"/>
                <w:kern w:val="0"/>
                <w:sz w:val="24"/>
                <w:highlight w:val="none"/>
                <w:lang w:bidi="ar"/>
              </w:rPr>
              <w:t>926.24万元</w:t>
            </w:r>
          </w:p>
        </w:tc>
      </w:tr>
      <w:tr w14:paraId="407E3FB1">
        <w:tblPrEx>
          <w:tblCellMar>
            <w:top w:w="0" w:type="dxa"/>
            <w:left w:w="108" w:type="dxa"/>
            <w:bottom w:w="0" w:type="dxa"/>
            <w:right w:w="108" w:type="dxa"/>
          </w:tblCellMar>
        </w:tblPrEx>
        <w:trPr>
          <w:trHeight w:val="1075"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2B853">
            <w:pPr>
              <w:widowControl/>
              <w:jc w:val="center"/>
              <w:textAlignment w:val="center"/>
              <w:rPr>
                <w:rFonts w:ascii="宋体" w:hAnsi="宋体" w:cs="宋体"/>
                <w:b/>
                <w:bCs/>
                <w:color w:val="auto"/>
                <w:sz w:val="24"/>
                <w:highlight w:val="none"/>
              </w:rPr>
            </w:pPr>
            <w:r>
              <w:rPr>
                <w:rFonts w:hint="eastAsia" w:ascii="宋体" w:hAnsi="宋体" w:cs="宋体"/>
                <w:b/>
                <w:bCs/>
                <w:color w:val="auto"/>
                <w:kern w:val="0"/>
                <w:sz w:val="24"/>
                <w:highlight w:val="none"/>
                <w:lang w:bidi="ar"/>
              </w:rPr>
              <w:t>序号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6E758">
            <w:pPr>
              <w:widowControl/>
              <w:jc w:val="center"/>
              <w:textAlignment w:val="center"/>
              <w:rPr>
                <w:rFonts w:ascii="宋体" w:hAnsi="宋体" w:cs="宋体"/>
                <w:b/>
                <w:bCs/>
                <w:color w:val="auto"/>
                <w:sz w:val="24"/>
                <w:highlight w:val="none"/>
              </w:rPr>
            </w:pPr>
            <w:r>
              <w:rPr>
                <w:rFonts w:hint="eastAsia" w:ascii="宋体" w:hAnsi="宋体" w:cs="宋体"/>
                <w:b/>
                <w:bCs/>
                <w:color w:val="auto"/>
                <w:kern w:val="0"/>
                <w:sz w:val="24"/>
                <w:highlight w:val="none"/>
                <w:lang w:bidi="ar"/>
              </w:rPr>
              <w:t>商品名称</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E2951">
            <w:pPr>
              <w:widowControl/>
              <w:jc w:val="center"/>
              <w:textAlignment w:val="center"/>
              <w:rPr>
                <w:rFonts w:ascii="宋体" w:hAnsi="宋体" w:cs="宋体"/>
                <w:b/>
                <w:bCs/>
                <w:color w:val="auto"/>
                <w:sz w:val="24"/>
                <w:highlight w:val="none"/>
              </w:rPr>
            </w:pPr>
            <w:r>
              <w:rPr>
                <w:rFonts w:hint="eastAsia" w:ascii="宋体" w:hAnsi="宋体" w:cs="宋体"/>
                <w:b/>
                <w:bCs/>
                <w:color w:val="auto"/>
                <w:kern w:val="0"/>
                <w:sz w:val="24"/>
                <w:highlight w:val="none"/>
                <w:lang w:bidi="ar"/>
              </w:rPr>
              <w:t>数量</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8671F">
            <w:pPr>
              <w:widowControl/>
              <w:jc w:val="center"/>
              <w:textAlignment w:val="center"/>
              <w:rPr>
                <w:rFonts w:ascii="宋体" w:hAnsi="宋体" w:cs="宋体"/>
                <w:b/>
                <w:bCs/>
                <w:color w:val="auto"/>
                <w:sz w:val="24"/>
                <w:highlight w:val="none"/>
              </w:rPr>
            </w:pPr>
            <w:r>
              <w:rPr>
                <w:rFonts w:hint="eastAsia" w:ascii="宋体" w:hAnsi="宋体" w:cs="宋体"/>
                <w:b/>
                <w:bCs/>
                <w:color w:val="auto"/>
                <w:kern w:val="0"/>
                <w:sz w:val="24"/>
                <w:highlight w:val="none"/>
                <w:lang w:bidi="ar"/>
              </w:rPr>
              <w:t>单位</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D8ADB">
            <w:pPr>
              <w:widowControl/>
              <w:jc w:val="center"/>
              <w:textAlignment w:val="center"/>
              <w:rPr>
                <w:rFonts w:ascii="宋体" w:hAnsi="宋体" w:cs="宋体"/>
                <w:b/>
                <w:bCs/>
                <w:color w:val="auto"/>
                <w:sz w:val="24"/>
                <w:highlight w:val="none"/>
              </w:rPr>
            </w:pPr>
            <w:r>
              <w:rPr>
                <w:rFonts w:hint="eastAsia" w:ascii="宋体" w:hAnsi="宋体" w:cs="宋体"/>
                <w:b/>
                <w:bCs/>
                <w:color w:val="auto"/>
                <w:sz w:val="24"/>
                <w:highlight w:val="none"/>
              </w:rPr>
              <w:t>预算单价（元）</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0C557">
            <w:pPr>
              <w:widowControl/>
              <w:jc w:val="center"/>
              <w:textAlignment w:val="center"/>
              <w:rPr>
                <w:rFonts w:ascii="宋体" w:hAnsi="宋体" w:cs="宋体"/>
                <w:b/>
                <w:bCs/>
                <w:color w:val="auto"/>
                <w:sz w:val="24"/>
                <w:highlight w:val="none"/>
              </w:rPr>
            </w:pPr>
            <w:r>
              <w:rPr>
                <w:rFonts w:hint="eastAsia" w:ascii="宋体" w:hAnsi="宋体" w:cs="宋体"/>
                <w:b/>
                <w:bCs/>
                <w:color w:val="auto"/>
                <w:kern w:val="0"/>
                <w:sz w:val="24"/>
                <w:highlight w:val="none"/>
                <w:lang w:bidi="ar"/>
              </w:rPr>
              <w:t>预算金额（元）</w:t>
            </w:r>
          </w:p>
        </w:tc>
        <w:tc>
          <w:tcPr>
            <w:tcW w:w="3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57D58">
            <w:pPr>
              <w:widowControl/>
              <w:jc w:val="center"/>
              <w:textAlignment w:val="center"/>
              <w:rPr>
                <w:rFonts w:ascii="宋体" w:hAnsi="宋体" w:cs="宋体"/>
                <w:b/>
                <w:bCs/>
                <w:color w:val="auto"/>
                <w:sz w:val="24"/>
                <w:highlight w:val="none"/>
              </w:rPr>
            </w:pPr>
            <w:r>
              <w:rPr>
                <w:rFonts w:hint="eastAsia" w:ascii="宋体" w:hAnsi="宋体" w:cs="宋体"/>
                <w:b/>
                <w:bCs/>
                <w:color w:val="auto"/>
                <w:kern w:val="0"/>
                <w:sz w:val="24"/>
                <w:highlight w:val="none"/>
                <w:lang w:bidi="ar"/>
              </w:rPr>
              <w:t>功能需求</w:t>
            </w:r>
          </w:p>
        </w:tc>
      </w:tr>
      <w:tr w14:paraId="6D61D5E5">
        <w:tblPrEx>
          <w:tblCellMar>
            <w:top w:w="0" w:type="dxa"/>
            <w:left w:w="108" w:type="dxa"/>
            <w:bottom w:w="0" w:type="dxa"/>
            <w:right w:w="108" w:type="dxa"/>
          </w:tblCellMar>
        </w:tblPrEx>
        <w:trPr>
          <w:trHeight w:val="102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C405C">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D73CF">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三连体（三人位）组合公寓床</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E89C4">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1420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4EB8D">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套</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9E434">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6000</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FF480">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8520000</w:t>
            </w:r>
          </w:p>
        </w:tc>
        <w:tc>
          <w:tcPr>
            <w:tcW w:w="38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693113">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满足学生住宿、学习要求，保障生活、学习正常进行。</w:t>
            </w:r>
          </w:p>
        </w:tc>
      </w:tr>
      <w:tr w14:paraId="1E06E007">
        <w:tblPrEx>
          <w:tblCellMar>
            <w:top w:w="0" w:type="dxa"/>
            <w:left w:w="108" w:type="dxa"/>
            <w:bottom w:w="0" w:type="dxa"/>
            <w:right w:w="108" w:type="dxa"/>
          </w:tblCellMar>
        </w:tblPrEx>
        <w:trPr>
          <w:trHeight w:val="84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92C2E">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2</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E2C19">
            <w:pPr>
              <w:widowControl/>
              <w:jc w:val="left"/>
              <w:textAlignment w:val="center"/>
              <w:rPr>
                <w:rFonts w:ascii="宋体" w:hAnsi="宋体" w:cs="宋体"/>
                <w:color w:val="auto"/>
                <w:sz w:val="24"/>
                <w:highlight w:val="none"/>
              </w:rPr>
            </w:pPr>
            <w:r>
              <w:rPr>
                <w:rFonts w:hint="eastAsia" w:ascii="宋体" w:hAnsi="宋体" w:cs="宋体"/>
                <w:color w:val="auto"/>
                <w:kern w:val="0"/>
                <w:sz w:val="24"/>
                <w:highlight w:val="none"/>
                <w:lang w:bidi="ar"/>
              </w:rPr>
              <w:t>单体公寓床</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4C02A">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298</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5D4E9">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套</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35997">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2000</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BD8B3">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596000</w:t>
            </w:r>
          </w:p>
        </w:tc>
        <w:tc>
          <w:tcPr>
            <w:tcW w:w="38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4E37A2">
            <w:pPr>
              <w:jc w:val="center"/>
              <w:rPr>
                <w:rFonts w:ascii="宋体" w:hAnsi="宋体" w:cs="宋体"/>
                <w:color w:val="auto"/>
                <w:sz w:val="24"/>
                <w:highlight w:val="none"/>
              </w:rPr>
            </w:pPr>
          </w:p>
        </w:tc>
      </w:tr>
      <w:tr w14:paraId="34CC8533">
        <w:tblPrEx>
          <w:tblCellMar>
            <w:top w:w="0" w:type="dxa"/>
            <w:left w:w="108" w:type="dxa"/>
            <w:bottom w:w="0" w:type="dxa"/>
            <w:right w:w="108" w:type="dxa"/>
          </w:tblCellMar>
        </w:tblPrEx>
        <w:trPr>
          <w:trHeight w:val="84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E8641">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3</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AC5C5">
            <w:pPr>
              <w:widowControl/>
              <w:jc w:val="left"/>
              <w:textAlignment w:val="center"/>
              <w:rPr>
                <w:rFonts w:ascii="宋体" w:hAnsi="宋体" w:cs="宋体"/>
                <w:color w:val="auto"/>
                <w:sz w:val="24"/>
                <w:highlight w:val="none"/>
              </w:rPr>
            </w:pPr>
            <w:r>
              <w:rPr>
                <w:rFonts w:hint="eastAsia" w:ascii="宋体" w:hAnsi="宋体" w:cs="宋体"/>
                <w:color w:val="auto"/>
                <w:kern w:val="0"/>
                <w:sz w:val="24"/>
                <w:highlight w:val="none"/>
                <w:lang w:bidi="ar"/>
              </w:rPr>
              <w:t>无障碍组合公寓床</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F6E12">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56</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02F50">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套</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2B77F">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1550</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70D17">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86800</w:t>
            </w:r>
          </w:p>
        </w:tc>
        <w:tc>
          <w:tcPr>
            <w:tcW w:w="38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CC7CF7">
            <w:pPr>
              <w:jc w:val="center"/>
              <w:rPr>
                <w:rFonts w:ascii="宋体" w:hAnsi="宋体" w:cs="宋体"/>
                <w:color w:val="auto"/>
                <w:sz w:val="24"/>
                <w:highlight w:val="none"/>
              </w:rPr>
            </w:pPr>
          </w:p>
        </w:tc>
      </w:tr>
      <w:tr w14:paraId="749FE86E">
        <w:tblPrEx>
          <w:tblCellMar>
            <w:top w:w="0" w:type="dxa"/>
            <w:left w:w="108" w:type="dxa"/>
            <w:bottom w:w="0" w:type="dxa"/>
            <w:right w:w="108" w:type="dxa"/>
          </w:tblCellMar>
        </w:tblPrEx>
        <w:trPr>
          <w:trHeight w:val="84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5A847">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4</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0CEFA">
            <w:pPr>
              <w:widowControl/>
              <w:jc w:val="left"/>
              <w:textAlignment w:val="center"/>
              <w:rPr>
                <w:rFonts w:ascii="宋体" w:hAnsi="宋体" w:cs="宋体"/>
                <w:color w:val="auto"/>
                <w:sz w:val="24"/>
                <w:highlight w:val="none"/>
              </w:rPr>
            </w:pPr>
            <w:r>
              <w:rPr>
                <w:rFonts w:hint="eastAsia" w:ascii="宋体" w:hAnsi="宋体" w:cs="宋体"/>
                <w:color w:val="auto"/>
                <w:kern w:val="0"/>
                <w:sz w:val="24"/>
                <w:highlight w:val="none"/>
                <w:lang w:bidi="ar"/>
              </w:rPr>
              <w:t>公寓椅</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BC651">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596</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97183">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张</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8EAFA">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100</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B711C">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59600</w:t>
            </w:r>
          </w:p>
        </w:tc>
        <w:tc>
          <w:tcPr>
            <w:tcW w:w="38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6458CD">
            <w:pPr>
              <w:jc w:val="center"/>
              <w:rPr>
                <w:rFonts w:ascii="宋体" w:hAnsi="宋体" w:cs="宋体"/>
                <w:color w:val="auto"/>
                <w:sz w:val="24"/>
                <w:highlight w:val="none"/>
              </w:rPr>
            </w:pPr>
          </w:p>
        </w:tc>
      </w:tr>
      <w:tr w14:paraId="4FEF16C7">
        <w:tblPrEx>
          <w:tblCellMar>
            <w:top w:w="0" w:type="dxa"/>
            <w:left w:w="108" w:type="dxa"/>
            <w:bottom w:w="0" w:type="dxa"/>
            <w:right w:w="108" w:type="dxa"/>
          </w:tblCellMar>
        </w:tblPrEx>
        <w:trPr>
          <w:trHeight w:val="520" w:hRule="atLeast"/>
        </w:trPr>
        <w:tc>
          <w:tcPr>
            <w:tcW w:w="47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5FEDCED">
            <w:pPr>
              <w:widowControl/>
              <w:jc w:val="center"/>
              <w:textAlignment w:val="center"/>
              <w:rPr>
                <w:rFonts w:ascii="宋体" w:hAnsi="宋体" w:cs="宋体"/>
                <w:b/>
                <w:bCs/>
                <w:color w:val="auto"/>
                <w:sz w:val="24"/>
                <w:highlight w:val="none"/>
              </w:rPr>
            </w:pPr>
            <w:r>
              <w:rPr>
                <w:rFonts w:hint="eastAsia" w:ascii="宋体" w:hAnsi="宋体" w:cs="宋体"/>
                <w:b/>
                <w:bCs/>
                <w:color w:val="auto"/>
                <w:kern w:val="0"/>
                <w:sz w:val="24"/>
                <w:highlight w:val="none"/>
                <w:lang w:bidi="ar"/>
              </w:rPr>
              <w:t>预算金额合计（元）</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DFF63">
            <w:pPr>
              <w:widowControl/>
              <w:jc w:val="center"/>
              <w:textAlignment w:val="center"/>
              <w:rPr>
                <w:rFonts w:ascii="宋体" w:hAnsi="宋体" w:cs="宋体"/>
                <w:b/>
                <w:bCs/>
                <w:color w:val="auto"/>
                <w:sz w:val="24"/>
                <w:highlight w:val="none"/>
              </w:rPr>
            </w:pPr>
            <w:r>
              <w:rPr>
                <w:rFonts w:hint="eastAsia" w:ascii="宋体" w:hAnsi="宋体" w:cs="宋体"/>
                <w:b/>
                <w:bCs/>
                <w:color w:val="auto"/>
                <w:kern w:val="0"/>
                <w:sz w:val="24"/>
                <w:highlight w:val="none"/>
                <w:lang w:bidi="ar"/>
              </w:rPr>
              <w:t>9262400</w:t>
            </w:r>
          </w:p>
        </w:tc>
        <w:tc>
          <w:tcPr>
            <w:tcW w:w="3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F01F0">
            <w:pPr>
              <w:jc w:val="center"/>
              <w:rPr>
                <w:rFonts w:ascii="宋体" w:hAnsi="宋体" w:cs="宋体"/>
                <w:b/>
                <w:bCs/>
                <w:color w:val="auto"/>
                <w:sz w:val="24"/>
                <w:highlight w:val="none"/>
              </w:rPr>
            </w:pPr>
            <w:r>
              <w:rPr>
                <w:rFonts w:hint="eastAsia" w:ascii="宋体" w:hAnsi="宋体" w:cs="宋体"/>
                <w:b/>
                <w:bCs/>
                <w:color w:val="auto"/>
                <w:sz w:val="24"/>
                <w:highlight w:val="none"/>
              </w:rPr>
              <w:t>/</w:t>
            </w:r>
          </w:p>
        </w:tc>
      </w:tr>
    </w:tbl>
    <w:p w14:paraId="624D6CCF">
      <w:pPr>
        <w:pStyle w:val="2"/>
        <w:rPr>
          <w:rFonts w:ascii="黑体" w:hAnsi="黑体" w:eastAsia="黑体" w:cs="黑体"/>
          <w:b w:val="0"/>
          <w:bCs w:val="0"/>
          <w:color w:val="auto"/>
          <w:sz w:val="32"/>
          <w:szCs w:val="32"/>
          <w:highlight w:val="none"/>
        </w:rPr>
      </w:pPr>
      <w:bookmarkStart w:id="2" w:name="_Toc16013"/>
      <w:r>
        <w:rPr>
          <w:rFonts w:hint="eastAsia" w:ascii="黑体" w:hAnsi="黑体" w:eastAsia="黑体" w:cs="黑体"/>
          <w:b w:val="0"/>
          <w:bCs w:val="0"/>
          <w:color w:val="auto"/>
          <w:sz w:val="32"/>
          <w:szCs w:val="32"/>
          <w:highlight w:val="none"/>
        </w:rPr>
        <w:t>二、技术参数</w:t>
      </w:r>
      <w:bookmarkEnd w:id="2"/>
    </w:p>
    <w:tbl>
      <w:tblPr>
        <w:tblStyle w:val="20"/>
        <w:tblW w:w="1034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1"/>
        <w:gridCol w:w="1180"/>
        <w:gridCol w:w="810"/>
        <w:gridCol w:w="850"/>
        <w:gridCol w:w="6965"/>
      </w:tblGrid>
      <w:tr w14:paraId="075B6B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541" w:type="dxa"/>
            <w:tcBorders>
              <w:top w:val="single" w:color="auto" w:sz="4" w:space="0"/>
              <w:left w:val="single" w:color="auto" w:sz="4" w:space="0"/>
              <w:bottom w:val="single" w:color="auto" w:sz="4" w:space="0"/>
              <w:right w:val="single" w:color="auto" w:sz="4" w:space="0"/>
            </w:tcBorders>
            <w:vAlign w:val="center"/>
          </w:tcPr>
          <w:p w14:paraId="65B13E2E">
            <w:pPr>
              <w:jc w:val="center"/>
              <w:rPr>
                <w:rFonts w:ascii="宋体" w:hAnsi="宋体" w:cs="宋体"/>
                <w:b/>
                <w:color w:val="auto"/>
                <w:sz w:val="24"/>
                <w:highlight w:val="none"/>
              </w:rPr>
            </w:pPr>
            <w:r>
              <w:rPr>
                <w:rFonts w:hint="eastAsia" w:ascii="宋体" w:hAnsi="宋体" w:cs="宋体"/>
                <w:b/>
                <w:color w:val="auto"/>
                <w:sz w:val="24"/>
                <w:highlight w:val="none"/>
              </w:rPr>
              <w:t>项号</w:t>
            </w:r>
          </w:p>
        </w:tc>
        <w:tc>
          <w:tcPr>
            <w:tcW w:w="1180" w:type="dxa"/>
            <w:tcBorders>
              <w:top w:val="single" w:color="auto" w:sz="4" w:space="0"/>
              <w:left w:val="single" w:color="auto" w:sz="4" w:space="0"/>
              <w:bottom w:val="single" w:color="auto" w:sz="4" w:space="0"/>
              <w:right w:val="single" w:color="auto" w:sz="4" w:space="0"/>
            </w:tcBorders>
            <w:vAlign w:val="center"/>
          </w:tcPr>
          <w:p w14:paraId="11D42A84">
            <w:pPr>
              <w:jc w:val="center"/>
              <w:rPr>
                <w:rFonts w:ascii="宋体" w:hAnsi="宋体" w:cs="宋体"/>
                <w:b/>
                <w:color w:val="auto"/>
                <w:sz w:val="24"/>
                <w:highlight w:val="none"/>
              </w:rPr>
            </w:pPr>
            <w:r>
              <w:rPr>
                <w:rFonts w:hint="eastAsia" w:ascii="宋体" w:hAnsi="宋体" w:cs="宋体"/>
                <w:b/>
                <w:color w:val="auto"/>
                <w:sz w:val="24"/>
                <w:highlight w:val="none"/>
              </w:rPr>
              <w:t>货物</w:t>
            </w:r>
          </w:p>
          <w:p w14:paraId="34DBCB2D">
            <w:pPr>
              <w:jc w:val="center"/>
              <w:rPr>
                <w:rFonts w:ascii="宋体" w:hAnsi="宋体" w:cs="宋体"/>
                <w:b/>
                <w:color w:val="auto"/>
                <w:sz w:val="24"/>
                <w:highlight w:val="none"/>
              </w:rPr>
            </w:pPr>
            <w:r>
              <w:rPr>
                <w:rFonts w:hint="eastAsia" w:ascii="宋体" w:hAnsi="宋体" w:cs="宋体"/>
                <w:b/>
                <w:color w:val="auto"/>
                <w:sz w:val="24"/>
                <w:highlight w:val="none"/>
              </w:rPr>
              <w:t>名称</w:t>
            </w:r>
          </w:p>
        </w:tc>
        <w:tc>
          <w:tcPr>
            <w:tcW w:w="810" w:type="dxa"/>
            <w:tcBorders>
              <w:top w:val="single" w:color="auto" w:sz="4" w:space="0"/>
              <w:left w:val="single" w:color="auto" w:sz="4" w:space="0"/>
              <w:bottom w:val="single" w:color="auto" w:sz="4" w:space="0"/>
              <w:right w:val="single" w:color="auto" w:sz="4" w:space="0"/>
            </w:tcBorders>
            <w:vAlign w:val="center"/>
          </w:tcPr>
          <w:p w14:paraId="2B1EA8DD">
            <w:pPr>
              <w:jc w:val="center"/>
              <w:rPr>
                <w:rFonts w:ascii="宋体" w:hAnsi="宋体" w:cs="宋体"/>
                <w:b/>
                <w:bCs/>
                <w:color w:val="auto"/>
                <w:sz w:val="24"/>
                <w:highlight w:val="none"/>
              </w:rPr>
            </w:pPr>
            <w:r>
              <w:rPr>
                <w:rFonts w:hint="eastAsia" w:ascii="宋体" w:hAnsi="宋体" w:cs="宋体"/>
                <w:b/>
                <w:color w:val="auto"/>
                <w:sz w:val="24"/>
                <w:highlight w:val="none"/>
              </w:rPr>
              <w:t>数 量</w:t>
            </w:r>
          </w:p>
        </w:tc>
        <w:tc>
          <w:tcPr>
            <w:tcW w:w="850" w:type="dxa"/>
            <w:tcBorders>
              <w:top w:val="single" w:color="auto" w:sz="4" w:space="0"/>
              <w:left w:val="single" w:color="auto" w:sz="4" w:space="0"/>
              <w:bottom w:val="single" w:color="auto" w:sz="4" w:space="0"/>
              <w:right w:val="single" w:color="auto" w:sz="4" w:space="0"/>
            </w:tcBorders>
            <w:vAlign w:val="center"/>
          </w:tcPr>
          <w:p w14:paraId="57F89EF3">
            <w:pPr>
              <w:jc w:val="center"/>
              <w:rPr>
                <w:rFonts w:ascii="宋体" w:hAnsi="宋体" w:cs="宋体"/>
                <w:b/>
                <w:bCs/>
                <w:color w:val="auto"/>
                <w:sz w:val="24"/>
                <w:highlight w:val="none"/>
              </w:rPr>
            </w:pPr>
            <w:r>
              <w:rPr>
                <w:rFonts w:hint="eastAsia" w:ascii="宋体" w:hAnsi="宋体" w:cs="宋体"/>
                <w:b/>
                <w:bCs/>
                <w:color w:val="auto"/>
                <w:sz w:val="24"/>
                <w:highlight w:val="none"/>
              </w:rPr>
              <w:t>单位</w:t>
            </w:r>
          </w:p>
        </w:tc>
        <w:tc>
          <w:tcPr>
            <w:tcW w:w="6965" w:type="dxa"/>
            <w:tcBorders>
              <w:top w:val="single" w:color="auto" w:sz="4" w:space="0"/>
              <w:left w:val="single" w:color="auto" w:sz="4" w:space="0"/>
              <w:bottom w:val="single" w:color="auto" w:sz="4" w:space="0"/>
              <w:right w:val="single" w:color="auto" w:sz="4" w:space="0"/>
            </w:tcBorders>
            <w:vAlign w:val="center"/>
          </w:tcPr>
          <w:p w14:paraId="00B254B1">
            <w:pPr>
              <w:jc w:val="center"/>
              <w:rPr>
                <w:rFonts w:ascii="宋体" w:hAnsi="宋体" w:cs="宋体"/>
                <w:b/>
                <w:color w:val="auto"/>
                <w:sz w:val="24"/>
                <w:highlight w:val="none"/>
              </w:rPr>
            </w:pPr>
            <w:r>
              <w:rPr>
                <w:rFonts w:hint="eastAsia" w:ascii="宋体" w:hAnsi="宋体" w:cs="宋体"/>
                <w:b/>
                <w:color w:val="auto"/>
                <w:sz w:val="24"/>
                <w:highlight w:val="none"/>
              </w:rPr>
              <w:t>技术参数及性能（配置）要求</w:t>
            </w:r>
          </w:p>
        </w:tc>
      </w:tr>
      <w:tr w14:paraId="5FCCDB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41" w:type="dxa"/>
            <w:tcBorders>
              <w:top w:val="single" w:color="auto" w:sz="4" w:space="0"/>
              <w:left w:val="single" w:color="auto" w:sz="4" w:space="0"/>
              <w:bottom w:val="single" w:color="auto" w:sz="4" w:space="0"/>
              <w:right w:val="single" w:color="auto" w:sz="4" w:space="0"/>
            </w:tcBorders>
            <w:vAlign w:val="center"/>
          </w:tcPr>
          <w:p w14:paraId="788B7FD4">
            <w:pPr>
              <w:rPr>
                <w:rFonts w:ascii="宋体" w:hAnsi="宋体" w:cs="宋体"/>
                <w:b/>
                <w:bCs/>
                <w:color w:val="auto"/>
                <w:sz w:val="24"/>
                <w:highlight w:val="none"/>
              </w:rPr>
            </w:pPr>
            <w:r>
              <w:rPr>
                <w:rFonts w:hint="eastAsia" w:ascii="宋体" w:hAnsi="宋体" w:cs="宋体"/>
                <w:color w:val="auto"/>
                <w:sz w:val="24"/>
                <w:highlight w:val="none"/>
              </w:rPr>
              <w:t>1</w:t>
            </w:r>
          </w:p>
        </w:tc>
        <w:tc>
          <w:tcPr>
            <w:tcW w:w="1180" w:type="dxa"/>
            <w:tcBorders>
              <w:top w:val="single" w:color="auto" w:sz="4" w:space="0"/>
              <w:left w:val="single" w:color="auto" w:sz="4" w:space="0"/>
              <w:bottom w:val="single" w:color="auto" w:sz="4" w:space="0"/>
              <w:right w:val="single" w:color="auto" w:sz="4" w:space="0"/>
            </w:tcBorders>
            <w:vAlign w:val="center"/>
          </w:tcPr>
          <w:p w14:paraId="7D4D7DA6">
            <w:pPr>
              <w:widowControl/>
              <w:textAlignment w:val="center"/>
              <w:rPr>
                <w:rFonts w:ascii="宋体" w:hAnsi="宋体" w:cs="宋体"/>
                <w:b/>
                <w:bCs/>
                <w:color w:val="auto"/>
                <w:sz w:val="24"/>
                <w:highlight w:val="none"/>
              </w:rPr>
            </w:pPr>
            <w:r>
              <w:rPr>
                <w:rFonts w:hint="eastAsia" w:ascii="宋体" w:hAnsi="宋体" w:cs="宋体"/>
                <w:bCs/>
                <w:color w:val="auto"/>
                <w:sz w:val="24"/>
                <w:highlight w:val="none"/>
              </w:rPr>
              <w:t>三连体（三人位）组合公寓床</w:t>
            </w:r>
          </w:p>
        </w:tc>
        <w:tc>
          <w:tcPr>
            <w:tcW w:w="810" w:type="dxa"/>
            <w:tcBorders>
              <w:top w:val="single" w:color="auto" w:sz="4" w:space="0"/>
              <w:left w:val="single" w:color="auto" w:sz="4" w:space="0"/>
              <w:bottom w:val="single" w:color="auto" w:sz="4" w:space="0"/>
              <w:right w:val="single" w:color="auto" w:sz="4" w:space="0"/>
            </w:tcBorders>
            <w:vAlign w:val="center"/>
          </w:tcPr>
          <w:p w14:paraId="103267E8">
            <w:pPr>
              <w:widowControl/>
              <w:textAlignment w:val="center"/>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1420</w:t>
            </w:r>
          </w:p>
        </w:tc>
        <w:tc>
          <w:tcPr>
            <w:tcW w:w="850" w:type="dxa"/>
            <w:tcBorders>
              <w:top w:val="single" w:color="auto" w:sz="4" w:space="0"/>
              <w:left w:val="single" w:color="auto" w:sz="4" w:space="0"/>
              <w:bottom w:val="single" w:color="auto" w:sz="4" w:space="0"/>
              <w:right w:val="single" w:color="auto" w:sz="4" w:space="0"/>
            </w:tcBorders>
            <w:vAlign w:val="center"/>
          </w:tcPr>
          <w:p w14:paraId="36EE1FBC">
            <w:pPr>
              <w:widowControl/>
              <w:ind w:firstLine="240" w:firstLineChars="100"/>
              <w:textAlignment w:val="center"/>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套</w:t>
            </w:r>
          </w:p>
        </w:tc>
        <w:tc>
          <w:tcPr>
            <w:tcW w:w="6965" w:type="dxa"/>
            <w:tcBorders>
              <w:top w:val="single" w:color="auto" w:sz="4" w:space="0"/>
              <w:left w:val="single" w:color="auto" w:sz="4" w:space="0"/>
              <w:bottom w:val="single" w:color="auto" w:sz="4" w:space="0"/>
              <w:right w:val="single" w:color="auto" w:sz="4" w:space="0"/>
            </w:tcBorders>
            <w:vAlign w:val="center"/>
          </w:tcPr>
          <w:p w14:paraId="400A83A0">
            <w:pPr>
              <w:pStyle w:val="9"/>
              <w:adjustRightInd w:val="0"/>
              <w:snapToGrid w:val="0"/>
              <w:spacing w:line="320" w:lineRule="exact"/>
              <w:ind w:firstLine="600" w:firstLineChars="25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规格：长6000mm（±2mm）×宽900mm（±2mm）×高2050mm（±50mm）</w:t>
            </w:r>
          </w:p>
          <w:p w14:paraId="1AB0F385">
            <w:pPr>
              <w:pStyle w:val="9"/>
              <w:adjustRightInd w:val="0"/>
              <w:snapToGrid w:val="0"/>
              <w:spacing w:line="320" w:lineRule="exact"/>
              <w:ind w:firstLine="600" w:firstLineChars="25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颜色：灰白色+浅胡桃色（供货前由采购人确定颜色），颜色需与采购人提供的标准色板匹配（允许色差ΔE≤3）</w:t>
            </w:r>
          </w:p>
          <w:p w14:paraId="0BE8A033">
            <w:pPr>
              <w:pStyle w:val="9"/>
              <w:adjustRightInd w:val="0"/>
              <w:snapToGrid w:val="0"/>
              <w:spacing w:line="320" w:lineRule="exact"/>
              <w:ind w:firstLine="600" w:firstLineChars="25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一、床架部分</w:t>
            </w:r>
          </w:p>
          <w:p w14:paraId="04CFE2AA">
            <w:pPr>
              <w:pStyle w:val="9"/>
              <w:adjustRightInd w:val="0"/>
              <w:snapToGrid w:val="0"/>
              <w:spacing w:line="320" w:lineRule="exact"/>
              <w:ind w:firstLine="600" w:firstLineChars="25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（一）性能指标</w:t>
            </w:r>
          </w:p>
          <w:p w14:paraId="5816132E">
            <w:pPr>
              <w:pStyle w:val="9"/>
              <w:adjustRightInd w:val="0"/>
              <w:snapToGrid w:val="0"/>
              <w:spacing w:line="320" w:lineRule="exact"/>
              <w:ind w:firstLine="600" w:firstLineChars="25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1.公寓床整体外观要求、理化性能、力学性能有害物质限量等技术指标符合 GB/T 3325-2024《金属家具通用技术条件》、QB/T 2741-2013《学生公寓多功能家具》、GB/T 35607-2024《绿色产品评价家具》等标准要求,床架各部位管材要求：选用优质钢管，钢管材质为Q235B（或优于Q235B）优质钢材，经除油、酸洗、磷化、除锈处理，表面静电喷塑处理，管材材质符合GB/T 3094-2012《冷拔异型钢管》、GB/T 3325-2024《金属家具通用技术条件》或其他相关标准：金属件外观（冲压件应无脱层、裂缝；涂层应无漏喷、锈蚀和脱色、掉色现象；涂层应光滑均匀，色泽一致，应无流挂、疙瘩、皱皮、飞漆等缺陷）。</w:t>
            </w:r>
          </w:p>
          <w:p w14:paraId="545BB303">
            <w:pPr>
              <w:pStyle w:val="9"/>
              <w:adjustRightInd w:val="0"/>
              <w:snapToGrid w:val="0"/>
              <w:spacing w:line="320" w:lineRule="exact"/>
              <w:ind w:firstLine="600" w:firstLineChars="25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r>
              <w:rPr>
                <w:rFonts w:hint="eastAsia" w:ascii="宋体" w:hAnsi="宋体" w:eastAsia="宋体" w:cs="宋体"/>
                <w:color w:val="auto"/>
                <w:sz w:val="24"/>
                <w:szCs w:val="24"/>
                <w:highlight w:val="none"/>
              </w:rPr>
              <w:t>金属表面处理工艺：表面采用哑光静电喷塑工艺，经预脱脂-脱脂-水洗-酸洗-水洗-中和-表调-磷化-水洗-钝化十工位表面处理工序，或同等防锈效果的表面处理工艺。表面喷涂优质环保环氧聚酯粉，塑粉性能要求符合HG/T 2006-2022《热固性和热塑性粉末涂料》的要求。</w:t>
            </w:r>
          </w:p>
          <w:p w14:paraId="66221F7F">
            <w:pPr>
              <w:pStyle w:val="9"/>
              <w:adjustRightInd w:val="0"/>
              <w:snapToGrid w:val="0"/>
              <w:spacing w:line="320" w:lineRule="exact"/>
              <w:ind w:firstLine="600" w:firstLineChars="25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3.安装：（1）床的结构要求床母与立柱外挂卡式连接，每个连接处无需螺栓紧固，有锥度设计越用越紧固功能。（2）整床床体组装好后结实、牢固、安全和耐用。</w:t>
            </w:r>
          </w:p>
          <w:p w14:paraId="367CC4BF">
            <w:pPr>
              <w:pStyle w:val="9"/>
              <w:adjustRightInd w:val="0"/>
              <w:snapToGrid w:val="0"/>
              <w:spacing w:line="320" w:lineRule="exact"/>
              <w:ind w:firstLine="600" w:firstLineChars="25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（二）材质参数</w:t>
            </w:r>
          </w:p>
          <w:p w14:paraId="62A70A0F">
            <w:pPr>
              <w:pStyle w:val="9"/>
              <w:adjustRightInd w:val="0"/>
              <w:snapToGrid w:val="0"/>
              <w:spacing w:line="320" w:lineRule="exact"/>
              <w:ind w:firstLine="600" w:firstLineChars="25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边立柱：外形规格为长+宽≥130mm，且长、宽均≥55mm，管壁厚度≥1.2mm的高频焊接封口钢管，（不能用方管，需设计成多边形，不容易碰撞受伤），管材采用优质带钢，经成型线轧制而成，表面经优质环氧聚酯塑粉静电喷塑处理。立柱顶部为塑料内塞，底部外套式脚套，塑料件采用环保塑料一体注塑成型，高度≥100mm（不允许3D打印），与立柱连接处光滑、平顺、无毛刺，起防滑防潮及密封作用。</w:t>
            </w:r>
          </w:p>
          <w:p w14:paraId="3650EDDB">
            <w:pPr>
              <w:pStyle w:val="9"/>
              <w:adjustRightInd w:val="0"/>
              <w:snapToGrid w:val="0"/>
              <w:spacing w:line="320" w:lineRule="exact"/>
              <w:ind w:firstLine="600" w:firstLineChars="25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中立柱：外形规格为长+宽≥120mm，且长、宽均≥35mm，厚度≥1.2mm的高频焊接封口钢管（不能用方管，不容易碰撞受伤）。经成型线轧制而成，表面经优质环氧聚酯塑粉静电喷塑处理。立柱顶部为塑料内塞，底部外套式脚套，塑料件采用环保塑料一体注塑成型，高度≥100mm。</w:t>
            </w:r>
          </w:p>
          <w:p w14:paraId="6D64CE2C">
            <w:pPr>
              <w:pStyle w:val="9"/>
              <w:adjustRightInd w:val="0"/>
              <w:snapToGrid w:val="0"/>
              <w:spacing w:line="320" w:lineRule="exact"/>
              <w:ind w:firstLine="600" w:firstLineChars="25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▲3.床横梁：外形规格为长+宽≥110mm，且长、宽均≥40mm，厚度≥1.2mm的高频焊接内外镀锌闭口型材管，底部为圆弧形设计，起到防撞作用，正面有不少于3条加强筋，表面经优质环保氧聚酯塑粉静电喷塑处理。</w:t>
            </w:r>
          </w:p>
          <w:p w14:paraId="4B07B516">
            <w:pPr>
              <w:pStyle w:val="9"/>
              <w:adjustRightInd w:val="0"/>
              <w:snapToGrid w:val="0"/>
              <w:spacing w:line="320" w:lineRule="exact"/>
              <w:ind w:firstLine="600" w:firstLineChars="25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4.立柱上横管、下横管：上横管外形规格为长+宽≥40mm，且长、宽均≥20mm，厚度≥1.2mm，下横管外形规格为长+宽≥80mm，且长、宽均≥20mm，厚度≥1.2mm；管材尺寸与立柱尺寸匹配，中间竖管：采用≥φ19×1.2mm圆管。</w:t>
            </w:r>
          </w:p>
          <w:p w14:paraId="467E55BC">
            <w:pPr>
              <w:pStyle w:val="9"/>
              <w:adjustRightInd w:val="0"/>
              <w:snapToGrid w:val="0"/>
              <w:spacing w:line="320" w:lineRule="exact"/>
              <w:ind w:firstLine="600" w:firstLineChars="25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5.前护栏：主体设计为圆弧形，支架为不小于1.2mm的 厚优质冷轧钢板一次冲压而成，冲压件尺寸规格不低于宽30mm、深55mm、高290mm；上横管为≥φ38×1.2mm 厚优质管材制作而成，横管两端采用半圆球型镀铬封头，中间横管采用≥φ16×1.2mm优质管材焊接，支架靠床内侧需从顶到底部加采用环保塑料经注塑而成的胶套，形状与支架完全贴合，并带有卡口，防止掉落，整个护栏的高度不低于300mm，长度≥1300mm。</w:t>
            </w:r>
          </w:p>
          <w:p w14:paraId="0A47C8A7">
            <w:pPr>
              <w:pStyle w:val="4"/>
              <w:adjustRightInd w:val="0"/>
              <w:spacing w:line="320" w:lineRule="exact"/>
              <w:ind w:firstLine="480" w:firstLineChars="200"/>
              <w:rPr>
                <w:rFonts w:asciiTheme="minorEastAsia" w:hAnsiTheme="minorEastAsia" w:eastAsiaTheme="minorEastAsia" w:cstheme="minorEastAsia"/>
                <w:b w:val="0"/>
                <w:color w:val="auto"/>
                <w:sz w:val="24"/>
                <w:szCs w:val="24"/>
                <w:highlight w:val="none"/>
              </w:rPr>
            </w:pPr>
            <w:r>
              <w:rPr>
                <w:rFonts w:hint="eastAsia" w:asciiTheme="minorEastAsia" w:hAnsiTheme="minorEastAsia" w:eastAsiaTheme="minorEastAsia" w:cstheme="minorEastAsia"/>
                <w:b w:val="0"/>
                <w:color w:val="auto"/>
                <w:sz w:val="24"/>
                <w:szCs w:val="24"/>
                <w:highlight w:val="none"/>
              </w:rPr>
              <w:t>▲6.爬梯：爬梯钢架外形规格为长+宽≥60mm，且长、宽均≥25mm，厚度≥1.2mm高频焊接制作，底部脚套采用环保塑料经模具压注成形，供货前由采购人确定颜色，颜色需与采购人提供的标准色板匹配（允许色差ΔE≤3），防潮防擦伤地面。爬梯与床立柱通过钢管连接，增加稳固性；爬梯踏板采用≥380mm×80mm，厚度不低于2.0mm全钢制压型脚踏板，踩面安装≥280mm×40mm×2mm一次注塑成型夜光条，踏板表面带防滑条纹，具有防止学生意外滑倒等功能。爬梯管底部采用外套式可调节防潮脚套。每位床位采用独立爬梯，方便学生上下床。</w:t>
            </w:r>
          </w:p>
          <w:p w14:paraId="088318BA">
            <w:pPr>
              <w:pStyle w:val="4"/>
              <w:spacing w:line="320" w:lineRule="exact"/>
              <w:ind w:firstLine="480" w:firstLineChars="200"/>
              <w:rPr>
                <w:rFonts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7.床横管：外形规格为长+宽≥50mm，且长、宽均≥20mm，管壁厚度≥1.0mm的矩形钢管，数量不少于五根，内插式嵌入，带静音胶套。</w:t>
            </w:r>
          </w:p>
          <w:p w14:paraId="07FDBBF5">
            <w:pPr>
              <w:pStyle w:val="4"/>
              <w:spacing w:line="320" w:lineRule="exact"/>
              <w:ind w:firstLine="480" w:firstLineChars="200"/>
              <w:rPr>
                <w:rFonts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8.下拉杆：外形规格为长+宽≥70mm，且长、宽均≥25mm，管壁厚度≥1.2mm的矩形管。</w:t>
            </w:r>
          </w:p>
          <w:p w14:paraId="53DE9460">
            <w:pPr>
              <w:pStyle w:val="4"/>
              <w:spacing w:line="320" w:lineRule="exact"/>
              <w:ind w:firstLine="480" w:firstLineChars="200"/>
              <w:rPr>
                <w:rFonts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9.蚊帐杆：采用规格为≥φ16mm，厚度≥1.0mm的优质圆管,顶部加装≥φ40mm铁圈，方便支撑、悬挂蚊帐使用。</w:t>
            </w:r>
          </w:p>
          <w:p w14:paraId="49C415B9">
            <w:pPr>
              <w:pStyle w:val="4"/>
              <w:spacing w:line="320" w:lineRule="exact"/>
              <w:ind w:firstLine="480" w:firstLineChars="200"/>
              <w:rPr>
                <w:rFonts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10.床板：采用厚度≥18mm杉木板制作，长、宽按设计要求，整幅床板由≤7块杉木板拼接组成，拼板之间缺角不能大于3mm，板底下部加固不少于4根杉木条为支撑点，制作牢固可靠，床板应无钝棱；木材经干燥、防腐、防蛀处理；床板双面须刨光处理。</w:t>
            </w:r>
          </w:p>
          <w:p w14:paraId="660A0AEF">
            <w:pPr>
              <w:pStyle w:val="9"/>
              <w:adjustRightInd w:val="0"/>
              <w:snapToGrid w:val="0"/>
              <w:spacing w:line="320" w:lineRule="exact"/>
              <w:ind w:firstLine="600" w:firstLineChars="25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二、组合柜部分</w:t>
            </w:r>
          </w:p>
          <w:p w14:paraId="5DF17110">
            <w:pPr>
              <w:pStyle w:val="9"/>
              <w:adjustRightInd w:val="0"/>
              <w:snapToGrid w:val="0"/>
              <w:spacing w:line="320" w:lineRule="exact"/>
              <w:ind w:firstLine="600" w:firstLineChars="25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1.规格：整体1900（长）×600（深）×1700（高）（mm）（±5mm）；颜色：灰白色+浅胡桃色（供货前由采购人确定颜色），颜色需与采购人提供的标准色板匹配（允许色差ΔE≤3）。</w:t>
            </w:r>
          </w:p>
          <w:p w14:paraId="459EE9E8">
            <w:pPr>
              <w:pStyle w:val="9"/>
              <w:adjustRightInd w:val="0"/>
              <w:snapToGrid w:val="0"/>
              <w:spacing w:line="320" w:lineRule="exact"/>
              <w:ind w:firstLine="600" w:firstLineChars="25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2.组合柜必须符合GB/T 3325-2017或GB/T 35607-2024或 GB/T 3325-2024要求。</w:t>
            </w:r>
          </w:p>
          <w:p w14:paraId="337AD534">
            <w:pPr>
              <w:pStyle w:val="9"/>
              <w:adjustRightInd w:val="0"/>
              <w:snapToGrid w:val="0"/>
              <w:spacing w:line="320" w:lineRule="exact"/>
              <w:ind w:firstLine="600" w:firstLineChars="25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3.床下组合柜材质要求： </w:t>
            </w:r>
          </w:p>
          <w:p w14:paraId="4908527E">
            <w:pPr>
              <w:pStyle w:val="9"/>
              <w:adjustRightInd w:val="0"/>
              <w:snapToGrid w:val="0"/>
              <w:spacing w:line="320" w:lineRule="exact"/>
              <w:ind w:firstLine="600" w:firstLineChars="25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（1）采用厚度不小于0.6mm冷轧板折弯成型，钢板材质为 Q195（或优于 Q195）钢材。</w:t>
            </w:r>
          </w:p>
          <w:p w14:paraId="1CB523CD">
            <w:pPr>
              <w:pStyle w:val="9"/>
              <w:adjustRightInd w:val="0"/>
              <w:snapToGrid w:val="0"/>
              <w:spacing w:line="320" w:lineRule="exact"/>
              <w:ind w:firstLine="600" w:firstLineChars="25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（2）表面采用环氧聚酯塑粉静电喷塑；经除油、酸洗、磷化、除锈或电解防锈处理，焊接表面光滑无毛刺，具有耐腐蚀、防水抗老化等性能。</w:t>
            </w:r>
          </w:p>
          <w:p w14:paraId="31FEEB8C">
            <w:pPr>
              <w:pStyle w:val="9"/>
              <w:adjustRightInd w:val="0"/>
              <w:snapToGrid w:val="0"/>
              <w:spacing w:line="320" w:lineRule="exact"/>
              <w:ind w:firstLine="600" w:firstLineChars="25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（3）衣柜： </w:t>
            </w:r>
          </w:p>
          <w:p w14:paraId="55F3A736">
            <w:pPr>
              <w:pStyle w:val="9"/>
              <w:adjustRightInd w:val="0"/>
              <w:snapToGrid w:val="0"/>
              <w:spacing w:line="32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①规格：1700（高）×650（长）×600（深）（mm）（±5mm）。</w:t>
            </w:r>
          </w:p>
          <w:p w14:paraId="523F2061">
            <w:pPr>
              <w:pStyle w:val="9"/>
              <w:adjustRightInd w:val="0"/>
              <w:snapToGrid w:val="0"/>
              <w:spacing w:line="320" w:lineRule="exact"/>
              <w:ind w:firstLine="600" w:firstLineChars="25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衣柜结构及要求： </w:t>
            </w:r>
          </w:p>
          <w:p w14:paraId="201FA348">
            <w:pPr>
              <w:pStyle w:val="4"/>
              <w:spacing w:line="320" w:lineRule="exact"/>
              <w:ind w:firstLine="480" w:firstLineChars="200"/>
              <w:rPr>
                <w:rFonts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color w:val="auto"/>
                <w:sz w:val="24"/>
                <w:szCs w:val="24"/>
                <w:highlight w:val="none"/>
              </w:rPr>
              <w:t>▲</w:t>
            </w:r>
            <w:r>
              <w:rPr>
                <w:rFonts w:hint="eastAsia" w:asciiTheme="minorEastAsia" w:hAnsiTheme="minorEastAsia" w:eastAsiaTheme="minorEastAsia" w:cstheme="minorEastAsia"/>
                <w:b w:val="0"/>
                <w:bCs/>
                <w:color w:val="auto"/>
                <w:sz w:val="24"/>
                <w:szCs w:val="24"/>
                <w:highlight w:val="none"/>
              </w:rPr>
              <w:t>②柜体分为上下 2 部分，上层高1300mm-1400mm（不含边框）,通体门板，配拉手。内配置≥Φ19×1.2mm 厚不锈钢圆管挂衣杆 1 根，衣柜内侧设有不同高度的卡扣，配备一块可以搁置在卡扣上的活动隔板。最下端设计抽屉，单层层高范围160mm-200mm，可放置学生笔记本电脑等私人贵重物品，防止被盗，抽屉和衣柜门均配锁具。所有钢质板材经过酸洗、磷化等工艺静电喷塑，高温固化；柜底部配备可防潮措施，得到有效的防潮作用，增长产品使用时间。</w:t>
            </w:r>
          </w:p>
          <w:p w14:paraId="3EFFF34C">
            <w:pPr>
              <w:pStyle w:val="4"/>
              <w:spacing w:line="320" w:lineRule="exact"/>
              <w:ind w:firstLine="480" w:firstLineChars="200"/>
              <w:rPr>
                <w:rFonts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4.书柜：规格1700（高）×300（长）×600（深）（mm）（±5mm），柜体分为上下 2 部分，上部为2 块隔板共分 3 层，桌子面板下部分采用1块隔板分2层 ，设置为鞋柜，可放置学生鞋子。材质选用厚度不低于0.6mm厚冷轧钢板。</w:t>
            </w:r>
          </w:p>
          <w:p w14:paraId="23BFF451">
            <w:pPr>
              <w:spacing w:line="320" w:lineRule="exact"/>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5.桌面规格：950（长）×600（深）×25（厚）（mm）（±5mm），桌面</w:t>
            </w:r>
            <w:r>
              <w:rPr>
                <w:rFonts w:hint="eastAsia" w:asciiTheme="minorEastAsia" w:hAnsiTheme="minorEastAsia" w:eastAsiaTheme="minorEastAsia" w:cstheme="minorEastAsia"/>
                <w:bCs/>
                <w:color w:val="auto"/>
                <w:sz w:val="24"/>
                <w:highlight w:val="none"/>
              </w:rPr>
              <w:t>基材：选用优质环保E0级及以上“实木多层板”，符合</w:t>
            </w:r>
            <w:r>
              <w:rPr>
                <w:rFonts w:hint="eastAsia" w:asciiTheme="minorEastAsia" w:hAnsiTheme="minorEastAsia" w:eastAsiaTheme="minorEastAsia" w:cstheme="minorEastAsia"/>
                <w:color w:val="auto"/>
                <w:sz w:val="24"/>
                <w:highlight w:val="none"/>
              </w:rPr>
              <w:t>GB/T  9846-2015《普通胶合板》</w:t>
            </w:r>
            <w:r>
              <w:rPr>
                <w:rFonts w:hint="eastAsia" w:asciiTheme="minorEastAsia" w:hAnsiTheme="minorEastAsia" w:eastAsiaTheme="minorEastAsia" w:cstheme="minorEastAsia"/>
                <w:bCs/>
                <w:color w:val="auto"/>
                <w:sz w:val="24"/>
                <w:highlight w:val="none"/>
              </w:rPr>
              <w:t>、GB/T 39600-2021《人造板及其制品甲醛释放量分级》、HJ 571-2010《环境标志产品技术要求人造板及其制品》等标准适用条款的要求，其中含水率5.0%～14.0%；胶合强度≥0.7MPa；浸渍剥离、静曲强度和弹性模量等性能指标均符合标准要求；甲醛释放量GB/T 39600-2021 E0≤0.050mg/m³；总挥发性有机化合物（TVOC）释放率不得超过0.50mg/m²·h（72h）；</w:t>
            </w:r>
            <w:r>
              <w:rPr>
                <w:rFonts w:hint="eastAsia" w:asciiTheme="minorEastAsia" w:hAnsiTheme="minorEastAsia" w:eastAsiaTheme="minorEastAsia" w:cstheme="minorEastAsia"/>
                <w:color w:val="auto"/>
                <w:sz w:val="24"/>
                <w:highlight w:val="none"/>
              </w:rPr>
              <w:t>桌面离地高度760mm，设置有60mm高挡板一块，防止物品掉落，带线孔一个。</w:t>
            </w:r>
          </w:p>
          <w:p w14:paraId="4B67EB3E">
            <w:pPr>
              <w:pStyle w:val="9"/>
              <w:adjustRightInd w:val="0"/>
              <w:snapToGrid w:val="0"/>
              <w:spacing w:line="32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w:t>
            </w:r>
            <w:r>
              <w:rPr>
                <w:rFonts w:hint="eastAsia" w:asciiTheme="minorEastAsia" w:hAnsiTheme="minorEastAsia" w:eastAsiaTheme="minorEastAsia" w:cstheme="minorEastAsia"/>
                <w:color w:val="auto"/>
                <w:sz w:val="24"/>
                <w:szCs w:val="24"/>
                <w:highlight w:val="none"/>
                <w:lang w:eastAsia="ar-SA"/>
              </w:rPr>
              <w:t>封边</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bCs/>
                <w:color w:val="auto"/>
                <w:sz w:val="24"/>
                <w:szCs w:val="24"/>
                <w:highlight w:val="none"/>
              </w:rPr>
              <w:t>桌面板封边采用优质</w:t>
            </w:r>
            <w:r>
              <w:rPr>
                <w:rFonts w:hint="eastAsia" w:asciiTheme="minorEastAsia" w:hAnsiTheme="minorEastAsia" w:eastAsiaTheme="minorEastAsia" w:cstheme="minorEastAsia"/>
                <w:color w:val="auto"/>
                <w:sz w:val="24"/>
                <w:szCs w:val="24"/>
                <w:highlight w:val="none"/>
              </w:rPr>
              <w:t>PVC封边，或达到同等或更优的封边效果，封边条厚度不小于1.5mm，封边与桌面同色，封边工艺采用全自动化机器封边技术。</w:t>
            </w:r>
            <w:r>
              <w:rPr>
                <w:rFonts w:hint="eastAsia" w:asciiTheme="minorEastAsia" w:hAnsiTheme="minorEastAsia" w:eastAsiaTheme="minorEastAsia" w:cstheme="minorEastAsia"/>
                <w:color w:val="auto"/>
                <w:sz w:val="24"/>
                <w:szCs w:val="24"/>
                <w:highlight w:val="none"/>
                <w:lang w:eastAsia="ar-SA"/>
              </w:rPr>
              <w:t>符</w:t>
            </w:r>
            <w:r>
              <w:rPr>
                <w:rFonts w:hint="eastAsia" w:asciiTheme="minorEastAsia" w:hAnsiTheme="minorEastAsia" w:eastAsiaTheme="minorEastAsia" w:cstheme="minorEastAsia"/>
                <w:color w:val="auto"/>
                <w:sz w:val="24"/>
                <w:szCs w:val="24"/>
                <w:highlight w:val="none"/>
              </w:rPr>
              <w:t>合</w:t>
            </w:r>
            <w:r>
              <w:rPr>
                <w:rFonts w:hint="eastAsia" w:asciiTheme="minorEastAsia" w:hAnsiTheme="minorEastAsia" w:eastAsiaTheme="minorEastAsia" w:cstheme="minorEastAsia"/>
                <w:color w:val="auto"/>
                <w:sz w:val="24"/>
                <w:szCs w:val="24"/>
                <w:highlight w:val="none"/>
                <w:lang w:eastAsia="ar-SA"/>
              </w:rPr>
              <w:t>QB/T 4463-2013《家具用封边条技术要求》要求，外观表面应无皱纹、裂纹、折痕、油渍、污点，无明显的气泡、针孔、划痕、波纹等瑕疵，表面应光滑，花纹应清晰、均匀、无漏印。</w:t>
            </w:r>
            <w:r>
              <w:rPr>
                <w:rFonts w:hint="eastAsia" w:asciiTheme="minorEastAsia" w:hAnsiTheme="minorEastAsia" w:eastAsiaTheme="minorEastAsia" w:cstheme="minorEastAsia"/>
                <w:color w:val="auto"/>
                <w:sz w:val="24"/>
                <w:szCs w:val="24"/>
                <w:highlight w:val="none"/>
              </w:rPr>
              <w:t>封边胶采用优质环保封边胶，封边胶检测符合HJ 2541-2016《环境标志产品技术要求胶粘剂》标准。检测结果包括但不限于以下内容：①苯含量不得检出，②甲苯+乙苯+二甲苯含量不得检出。甲醛释放量≤0.050mg/m³；总挥发性有机化合物（TVOC）释放率不得超过0.50mg/m²·h（72h）。</w:t>
            </w:r>
          </w:p>
          <w:p w14:paraId="3DDA5EC0">
            <w:pPr>
              <w:pStyle w:val="9"/>
              <w:adjustRightInd w:val="0"/>
              <w:snapToGrid w:val="0"/>
              <w:spacing w:line="320" w:lineRule="exact"/>
              <w:ind w:firstLine="600" w:firstLineChars="25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三、公寓椅</w:t>
            </w:r>
          </w:p>
          <w:p w14:paraId="051D270F">
            <w:pPr>
              <w:pStyle w:val="9"/>
              <w:adjustRightInd w:val="0"/>
              <w:snapToGrid w:val="0"/>
              <w:spacing w:line="32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1.规格: ≥400L×400D×800H（mm）；颜色：灰白色+浅胡桃色（供货前由采购人确定颜色）。颜色需与采购人提供的标准色板匹配（允许色差ΔE≤3）。</w:t>
            </w:r>
          </w:p>
          <w:p w14:paraId="5DF6C19E">
            <w:pPr>
              <w:spacing w:line="320" w:lineRule="exact"/>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2.基材</w:t>
            </w:r>
            <w:r>
              <w:rPr>
                <w:rFonts w:hint="eastAsia" w:asciiTheme="minorEastAsia" w:hAnsiTheme="minorEastAsia" w:eastAsiaTheme="minorEastAsia" w:cstheme="minorEastAsia"/>
                <w:bCs/>
                <w:color w:val="auto"/>
                <w:sz w:val="24"/>
                <w:highlight w:val="none"/>
              </w:rPr>
              <w:t>：选用优质环保E0级及以上“实木多层板”，符合</w:t>
            </w:r>
            <w:r>
              <w:rPr>
                <w:rFonts w:hint="eastAsia" w:asciiTheme="minorEastAsia" w:hAnsiTheme="minorEastAsia" w:eastAsiaTheme="minorEastAsia" w:cstheme="minorEastAsia"/>
                <w:color w:val="auto"/>
                <w:sz w:val="24"/>
                <w:highlight w:val="none"/>
              </w:rPr>
              <w:t>GB/T  9846-2015《普通胶合板》</w:t>
            </w:r>
            <w:r>
              <w:rPr>
                <w:rFonts w:hint="eastAsia" w:asciiTheme="minorEastAsia" w:hAnsiTheme="minorEastAsia" w:eastAsiaTheme="minorEastAsia" w:cstheme="minorEastAsia"/>
                <w:bCs/>
                <w:color w:val="auto"/>
                <w:sz w:val="24"/>
                <w:highlight w:val="none"/>
              </w:rPr>
              <w:t>、GB/T 39600-2021《人造板及其制品甲醛释放量分级》、HJ 571-2010《环境标志产品技术要求人造板及其制品》等标准适用条款的要求，其中含水率5.0%～14.0%；胶合强度≥0.7MPa；浸渍剥离、静曲强度和弹性模量等性能指标均符合标准要求；甲醛释放量GB/T 39600-2021 E0≤0.050mg/m³；总挥发性有机化合物（TVOC）释放率不得超过0.50mg/m²·h（72h）；</w:t>
            </w:r>
            <w:r>
              <w:rPr>
                <w:rFonts w:hint="eastAsia" w:asciiTheme="minorEastAsia" w:hAnsiTheme="minorEastAsia" w:eastAsiaTheme="minorEastAsia" w:cstheme="minorEastAsia"/>
                <w:color w:val="auto"/>
                <w:sz w:val="24"/>
                <w:highlight w:val="none"/>
              </w:rPr>
              <w:t>座面、靠背厚度≥15mm。面板四周采用一次性注塑封边。</w:t>
            </w:r>
          </w:p>
          <w:p w14:paraId="7B068612">
            <w:pPr>
              <w:pStyle w:val="9"/>
              <w:adjustRightInd w:val="0"/>
              <w:snapToGrid w:val="0"/>
              <w:spacing w:line="32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3.椅脚外形规格为长+宽≥60mm，且长、宽均≥20mm，厚度≥1.2mm，圆形管或对称椭圆管，</w:t>
            </w:r>
            <w:r>
              <w:rPr>
                <w:rFonts w:hint="eastAsia" w:ascii="宋体" w:hAnsi="宋体" w:eastAsia="宋体" w:cs="宋体"/>
                <w:color w:val="auto"/>
                <w:sz w:val="24"/>
                <w:szCs w:val="24"/>
                <w:highlight w:val="none"/>
              </w:rPr>
              <w:t>经预脱脂-脱脂-水洗-酸洗-水洗-中和-表调-磷化-水洗-钝化等十工位表面处理工序，或同等防锈效果的表面处理工艺，表面喷涂优质环保环氧聚酯粉静电喷塑。</w:t>
            </w:r>
            <w:r>
              <w:rPr>
                <w:rFonts w:hint="eastAsia" w:asciiTheme="minorEastAsia" w:hAnsiTheme="minorEastAsia" w:eastAsiaTheme="minorEastAsia" w:cstheme="minorEastAsia"/>
                <w:color w:val="auto"/>
                <w:sz w:val="24"/>
                <w:szCs w:val="24"/>
                <w:highlight w:val="none"/>
              </w:rPr>
              <w:t>喷塑外膜的表面光滑平整，色泽均匀，喷塑层无漏喷、起泡、模糊、划痕或碰伤等缺陷，采用粉末涂料符合国家标准。</w:t>
            </w:r>
          </w:p>
        </w:tc>
      </w:tr>
      <w:tr w14:paraId="225762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67" w:hRule="atLeast"/>
          <w:jc w:val="center"/>
        </w:trPr>
        <w:tc>
          <w:tcPr>
            <w:tcW w:w="541" w:type="dxa"/>
            <w:tcBorders>
              <w:top w:val="single" w:color="auto" w:sz="4" w:space="0"/>
              <w:left w:val="single" w:color="auto" w:sz="4" w:space="0"/>
              <w:bottom w:val="single" w:color="auto" w:sz="4" w:space="0"/>
              <w:right w:val="single" w:color="auto" w:sz="4" w:space="0"/>
            </w:tcBorders>
            <w:vAlign w:val="center"/>
          </w:tcPr>
          <w:p w14:paraId="570C28D9">
            <w:pPr>
              <w:rPr>
                <w:rFonts w:ascii="宋体" w:hAnsi="宋体" w:cs="宋体"/>
                <w:color w:val="auto"/>
                <w:sz w:val="24"/>
                <w:highlight w:val="none"/>
              </w:rPr>
            </w:pPr>
            <w:r>
              <w:rPr>
                <w:rFonts w:hint="eastAsia" w:ascii="宋体" w:hAnsi="宋体" w:cs="宋体"/>
                <w:color w:val="auto"/>
                <w:sz w:val="24"/>
                <w:highlight w:val="none"/>
              </w:rPr>
              <w:t>2</w:t>
            </w:r>
          </w:p>
        </w:tc>
        <w:tc>
          <w:tcPr>
            <w:tcW w:w="1180" w:type="dxa"/>
            <w:tcBorders>
              <w:top w:val="single" w:color="auto" w:sz="4" w:space="0"/>
              <w:left w:val="single" w:color="auto" w:sz="4" w:space="0"/>
              <w:bottom w:val="single" w:color="auto" w:sz="4" w:space="0"/>
              <w:right w:val="single" w:color="auto" w:sz="4" w:space="0"/>
            </w:tcBorders>
            <w:vAlign w:val="center"/>
          </w:tcPr>
          <w:p w14:paraId="0710E17F">
            <w:pPr>
              <w:widowControl/>
              <w:jc w:val="center"/>
              <w:textAlignment w:val="center"/>
              <w:rPr>
                <w:rFonts w:ascii="宋体" w:hAnsi="宋体" w:cs="宋体"/>
                <w:bCs/>
                <w:color w:val="auto"/>
                <w:sz w:val="24"/>
                <w:highlight w:val="none"/>
              </w:rPr>
            </w:pPr>
            <w:r>
              <w:rPr>
                <w:rFonts w:hint="eastAsia" w:ascii="宋体" w:hAnsi="宋体" w:cs="宋体"/>
                <w:bCs/>
                <w:color w:val="auto"/>
                <w:sz w:val="24"/>
                <w:highlight w:val="none"/>
              </w:rPr>
              <w:t>单体公寓床</w:t>
            </w:r>
          </w:p>
        </w:tc>
        <w:tc>
          <w:tcPr>
            <w:tcW w:w="810" w:type="dxa"/>
            <w:tcBorders>
              <w:top w:val="single" w:color="auto" w:sz="4" w:space="0"/>
              <w:left w:val="single" w:color="auto" w:sz="4" w:space="0"/>
              <w:bottom w:val="single" w:color="auto" w:sz="4" w:space="0"/>
              <w:right w:val="single" w:color="auto" w:sz="4" w:space="0"/>
            </w:tcBorders>
            <w:vAlign w:val="center"/>
          </w:tcPr>
          <w:p w14:paraId="5EFC6C86">
            <w:pPr>
              <w:widowControl/>
              <w:jc w:val="center"/>
              <w:textAlignment w:val="center"/>
              <w:rPr>
                <w:rFonts w:ascii="宋体" w:hAnsi="宋体" w:cs="宋体"/>
                <w:b/>
                <w:bCs/>
                <w:color w:val="auto"/>
                <w:sz w:val="24"/>
                <w:highlight w:val="none"/>
              </w:rPr>
            </w:pPr>
            <w:r>
              <w:rPr>
                <w:rFonts w:hint="eastAsia" w:ascii="宋体" w:hAnsi="宋体" w:cs="宋体"/>
                <w:b/>
                <w:bCs/>
                <w:color w:val="auto"/>
                <w:sz w:val="24"/>
                <w:highlight w:val="none"/>
              </w:rPr>
              <w:t>298</w:t>
            </w:r>
          </w:p>
        </w:tc>
        <w:tc>
          <w:tcPr>
            <w:tcW w:w="850" w:type="dxa"/>
            <w:tcBorders>
              <w:top w:val="single" w:color="auto" w:sz="4" w:space="0"/>
              <w:left w:val="single" w:color="auto" w:sz="4" w:space="0"/>
              <w:bottom w:val="single" w:color="auto" w:sz="4" w:space="0"/>
              <w:right w:val="single" w:color="auto" w:sz="4" w:space="0"/>
            </w:tcBorders>
            <w:vAlign w:val="center"/>
          </w:tcPr>
          <w:p w14:paraId="6116CE4D">
            <w:pPr>
              <w:jc w:val="center"/>
              <w:rPr>
                <w:rFonts w:ascii="宋体" w:hAnsi="宋体" w:cs="宋体"/>
                <w:b/>
                <w:bCs/>
                <w:color w:val="auto"/>
                <w:sz w:val="24"/>
                <w:highlight w:val="none"/>
              </w:rPr>
            </w:pPr>
            <w:r>
              <w:rPr>
                <w:rFonts w:hint="eastAsia" w:ascii="宋体" w:hAnsi="宋体" w:cs="宋体"/>
                <w:b/>
                <w:bCs/>
                <w:color w:val="auto"/>
                <w:sz w:val="24"/>
                <w:highlight w:val="none"/>
              </w:rPr>
              <w:t>套</w:t>
            </w:r>
          </w:p>
        </w:tc>
        <w:tc>
          <w:tcPr>
            <w:tcW w:w="6965" w:type="dxa"/>
            <w:tcBorders>
              <w:top w:val="single" w:color="auto" w:sz="4" w:space="0"/>
              <w:left w:val="single" w:color="auto" w:sz="4" w:space="0"/>
              <w:bottom w:val="single" w:color="auto" w:sz="4" w:space="0"/>
              <w:right w:val="single" w:color="auto" w:sz="4" w:space="0"/>
            </w:tcBorders>
            <w:shd w:val="clear" w:color="auto" w:fill="auto"/>
            <w:vAlign w:val="center"/>
          </w:tcPr>
          <w:p w14:paraId="6D4814C9">
            <w:pPr>
              <w:pStyle w:val="9"/>
              <w:adjustRightInd w:val="0"/>
              <w:snapToGrid w:val="0"/>
              <w:spacing w:line="320" w:lineRule="exact"/>
              <w:ind w:left="0" w:leftChars="0" w:firstLine="420" w:firstLineChars="175"/>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规格：长2000mm（±2mm）×宽900mm（±2mm）×高2050mm（±2mm）</w:t>
            </w:r>
          </w:p>
          <w:p w14:paraId="6E456081">
            <w:pPr>
              <w:spacing w:line="320" w:lineRule="exact"/>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颜色：灰白色+蓝色（供货前由采购人确定颜色），颜色需与采购人提供的标准色板匹配（允许色差ΔE≤3）</w:t>
            </w:r>
          </w:p>
          <w:p w14:paraId="05CB6508">
            <w:pPr>
              <w:pStyle w:val="9"/>
              <w:adjustRightInd w:val="0"/>
              <w:snapToGrid w:val="0"/>
              <w:spacing w:line="320" w:lineRule="exact"/>
              <w:ind w:firstLine="600" w:firstLineChars="25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一、床架部分</w:t>
            </w:r>
          </w:p>
          <w:p w14:paraId="010EB11A">
            <w:pPr>
              <w:pStyle w:val="9"/>
              <w:adjustRightInd w:val="0"/>
              <w:snapToGrid w:val="0"/>
              <w:spacing w:line="320" w:lineRule="exact"/>
              <w:ind w:firstLine="600" w:firstLineChars="25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（一）性能指标</w:t>
            </w:r>
          </w:p>
          <w:p w14:paraId="71144372">
            <w:pPr>
              <w:pStyle w:val="9"/>
              <w:adjustRightInd w:val="0"/>
              <w:snapToGrid w:val="0"/>
              <w:spacing w:line="320" w:lineRule="exact"/>
              <w:ind w:firstLine="600" w:firstLineChars="25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公寓床整体外观要求、理化性能、力学性能有害物质限量等技术指标符合GB/T3325-2024《金属家具通用技术条件》、QB/T2741-2013《学生公寓多功能家具》、GB/T35607-2024《绿色产品评价家具》等标准要求,床架各部位管材要求：选用优质钢管，钢管材质为Q235B（或优于Q235B）优质钢材，经除油、酸洗、磷化、除锈处理，表面静电喷塑处理，管材材质符合GB/T3094-2012《冷拔异型钢管》、GB/T3325-2024《金属家具通用技术条件》或其他相关标准：金属件外观（冲压件应无脱层、裂缝；涂层应无漏喷、锈蚀和脱色、掉色现象；涂层应光滑均匀，色泽一致，应无流挂、疙瘩、皱皮、飞漆等缺陷）。</w:t>
            </w:r>
          </w:p>
          <w:p w14:paraId="6FF9BB7D">
            <w:pPr>
              <w:pStyle w:val="9"/>
              <w:adjustRightInd w:val="0"/>
              <w:snapToGrid w:val="0"/>
              <w:spacing w:line="320" w:lineRule="exact"/>
              <w:ind w:firstLine="600" w:firstLineChars="2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2.金属表面经</w:t>
            </w:r>
            <w:r>
              <w:rPr>
                <w:rFonts w:hint="eastAsia" w:ascii="宋体" w:hAnsi="宋体" w:eastAsia="宋体" w:cs="宋体"/>
                <w:color w:val="auto"/>
                <w:sz w:val="24"/>
                <w:szCs w:val="24"/>
                <w:highlight w:val="none"/>
              </w:rPr>
              <w:t>经预脱脂-脱脂-水洗-酸洗-水洗-中和-表调-磷化-水洗-钝化等十工位表面处理工序，或同等防锈效果的表面处理工艺，</w:t>
            </w:r>
            <w:r>
              <w:rPr>
                <w:rFonts w:hint="eastAsia" w:asciiTheme="minorEastAsia" w:hAnsiTheme="minorEastAsia" w:eastAsiaTheme="minorEastAsia" w:cstheme="minorEastAsia"/>
                <w:color w:val="auto"/>
                <w:sz w:val="24"/>
                <w:szCs w:val="24"/>
                <w:highlight w:val="none"/>
              </w:rPr>
              <w:t>表面喷涂优质环保环氧聚酯粉，塑粉性能要求符合HG/T2006-2022《热固性和热塑性粉末涂料》的要求。</w:t>
            </w:r>
          </w:p>
          <w:p w14:paraId="1015CBFD">
            <w:pPr>
              <w:pStyle w:val="9"/>
              <w:adjustRightInd w:val="0"/>
              <w:snapToGrid w:val="0"/>
              <w:spacing w:line="320" w:lineRule="exact"/>
              <w:ind w:firstLine="600" w:firstLineChars="25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3.安装：（1）床的结构要求床母与立柱外挂卡式连接，每个连接处无需螺栓紧固，有锥度设计越用越紧固功能。（2）整床床体组装好后结实、牢固、安全和耐用。</w:t>
            </w:r>
          </w:p>
          <w:p w14:paraId="406505E2">
            <w:pPr>
              <w:spacing w:line="320" w:lineRule="exact"/>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（二）材质参数</w:t>
            </w:r>
          </w:p>
          <w:p w14:paraId="165942EA">
            <w:pPr>
              <w:spacing w:line="320" w:lineRule="exact"/>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边立柱：≥75mm×75mm×1.2mm闭口型材管，外部半圆,需加有不少于三条加强筋，内部呈圆弧设计，外圆内方高频焊接封口型材管，立柱底部为高度不低于100mm的塑料防潮脚套，起防滑及密封作用（不允许采用3D打印塑料），完全不含重金属,顶部采用内嵌式伸缩蚊帐杆套，嵌入深度不小于100mm，与立柱连接处光滑、平顺、手感好、无毛刺。</w:t>
            </w:r>
          </w:p>
          <w:p w14:paraId="2EF2BF85">
            <w:pPr>
              <w:spacing w:line="320" w:lineRule="exact"/>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床横梁：靠近走道部位长边横梁≥100mm×40mm，厚度不小于1.2mm，正面有不少于4条加强筋，内侧有凹型卡槽，可装置防尘板；底部半圆形高频焊接封口型材管；底部采用半圆型设计，可有效防止碰撞。靠墙长边横梁≥30mm×70mm，厚度不小于1.2mm，底部半圆型高频焊接封口型材管，管材正面不少于3条凹型加强筋，内侧有凸台设计，可支撑床板以防脚踩倾倒。</w:t>
            </w:r>
          </w:p>
          <w:p w14:paraId="40674F1D">
            <w:pPr>
              <w:spacing w:line="320" w:lineRule="exact"/>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立柱上横管、下横管：上横管采用≥25mm×25mm×1.2mm矩形管；下横管采用≥30mm×70mm×1.2mm矩形管；管材内侧有凸台设计，凸台进深30mm（±2mm），高度20mm（±2mm），可支撑床板以防脚踩倾倒；立柱边档竖管采用≥φ19mm×1.2mm圆管。</w:t>
            </w:r>
          </w:p>
          <w:p w14:paraId="019B8593">
            <w:pPr>
              <w:spacing w:line="320" w:lineRule="exact"/>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4.侧护栏：</w:t>
            </w:r>
            <w:bookmarkStart w:id="3" w:name="OLE_LINK3"/>
            <w:bookmarkStart w:id="4" w:name="OLE_LINK5"/>
            <w:r>
              <w:rPr>
                <w:rFonts w:hint="eastAsia" w:asciiTheme="minorEastAsia" w:hAnsiTheme="minorEastAsia" w:eastAsiaTheme="minorEastAsia" w:cstheme="minorEastAsia"/>
                <w:color w:val="auto"/>
                <w:sz w:val="24"/>
                <w:highlight w:val="none"/>
              </w:rPr>
              <w:t>≥750mm×300mm×30mm</w:t>
            </w:r>
            <w:bookmarkEnd w:id="3"/>
            <w:bookmarkEnd w:id="4"/>
            <w:r>
              <w:rPr>
                <w:rFonts w:hint="eastAsia" w:asciiTheme="minorEastAsia" w:hAnsiTheme="minorEastAsia" w:eastAsiaTheme="minorEastAsia" w:cstheme="minorEastAsia"/>
                <w:color w:val="auto"/>
                <w:sz w:val="24"/>
                <w:highlight w:val="none"/>
              </w:rPr>
              <w:t>；基材采用不低于15mm</w:t>
            </w:r>
            <w:r>
              <w:rPr>
                <w:rFonts w:hint="eastAsia" w:asciiTheme="minorEastAsia" w:hAnsiTheme="minorEastAsia" w:eastAsiaTheme="minorEastAsia" w:cstheme="minorEastAsia"/>
                <w:bCs/>
                <w:color w:val="auto"/>
                <w:sz w:val="24"/>
                <w:highlight w:val="none"/>
              </w:rPr>
              <w:t>优质环保E0级及以上“实木多层板”，符合</w:t>
            </w:r>
            <w:r>
              <w:rPr>
                <w:rFonts w:hint="eastAsia" w:asciiTheme="minorEastAsia" w:hAnsiTheme="minorEastAsia" w:eastAsiaTheme="minorEastAsia" w:cstheme="minorEastAsia"/>
                <w:color w:val="auto"/>
                <w:sz w:val="24"/>
                <w:highlight w:val="none"/>
              </w:rPr>
              <w:t>GB/T9846-2015《普通胶合板》</w:t>
            </w:r>
            <w:r>
              <w:rPr>
                <w:rFonts w:hint="eastAsia" w:asciiTheme="minorEastAsia" w:hAnsiTheme="minorEastAsia" w:eastAsiaTheme="minorEastAsia" w:cstheme="minorEastAsia"/>
                <w:bCs/>
                <w:color w:val="auto"/>
                <w:sz w:val="24"/>
                <w:highlight w:val="none"/>
              </w:rPr>
              <w:t>、GB/T39600-2021《人造板及其制品甲醛释放量分级》、HJ571-2010《环境标志产品技术要求人造板及其制品》等标准适用条款的要求，其中含水率5.0%～14.0%；胶合强度≥0.7MPa；浸渍剥离、静曲强度和弹性模量等性能指标均符合标准要求；甲醛释放量GB/T39600-2021E0≤0.050mg/m³；总挥发性有机化合物（TVOC）释放率不得超过0.50mg/m²·h（72h）；</w:t>
            </w:r>
            <w:r>
              <w:rPr>
                <w:rFonts w:hint="eastAsia" w:asciiTheme="minorEastAsia" w:hAnsiTheme="minorEastAsia" w:eastAsiaTheme="minorEastAsia" w:cstheme="minorEastAsia"/>
                <w:color w:val="auto"/>
                <w:sz w:val="24"/>
                <w:highlight w:val="none"/>
              </w:rPr>
              <w:t>护栏整体成型，外形设计符合人体工程学。上方采用全PP塑料材质镂空设计，护栏两端设计整体成型的拉手，护栏中间部分可以设置学校校徽及学生姓名标牌。符合GB/T15102-2017、GB28481-2012《塑料家具中有害物质限量》、GB/T32487-2016《塑料家具通用技术条件》等国家标准。</w:t>
            </w:r>
          </w:p>
          <w:p w14:paraId="6F591AA5">
            <w:pPr>
              <w:spacing w:line="320" w:lineRule="exact"/>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前护栏：主体设计为圆弧形，支架为不低于1.2mm厚优质冷轧钢板一次冲压而成，尺寸规格不低于冲压件宽30mm、深55mm、高300mm；上横管为≥φ38×1.5mm厚优质管材制作而成，横管两端采用半圆球镀铬封头，中间横管采用≥φ16×1.2mm优质管材焊接，支架靠床内侧需从顶到底部加采用ABS工程塑料经注塑而成的胶套，符合GB28481-2012《塑料家具中有害物质限量》、GB/T32487-2016《塑料家具通用技术条件》等国家标准。形状与支架完全贴合，并带有卡口，防止掉落，整个护栏的高度不低于300mm，长度为≥1300mm。</w:t>
            </w:r>
          </w:p>
          <w:p w14:paraId="0B03496D">
            <w:pPr>
              <w:spacing w:line="320" w:lineRule="exact"/>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▲6.爬梯：边管采用≥25mm×50mm×1.2mm椭圆管,踏面安装≥400mm×120mm踏面采用优质冷轧钢板与边管整体焊接成型。踏面上方设有≥90mm×30mm的夜光条，并进行防滑防撞处理。</w:t>
            </w:r>
          </w:p>
          <w:p w14:paraId="6407E018">
            <w:pPr>
              <w:spacing w:line="320" w:lineRule="exact"/>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7.床横管：采用≥20mm×30mm，管壁厚度≥1.0mm的矩形管，数量不少于五根，内插式嵌入，带静音胶套。</w:t>
            </w:r>
          </w:p>
          <w:p w14:paraId="061E75CA">
            <w:pPr>
              <w:spacing w:line="320" w:lineRule="exact"/>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8.蚊帐杆：采用≥Φ16mm厚≥1.0mm的圆管为支撑,高度1000-1200mm。</w:t>
            </w:r>
          </w:p>
          <w:p w14:paraId="489DCA14">
            <w:pPr>
              <w:spacing w:line="320" w:lineRule="exact"/>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9.床板：采用不低于18mm厚杉木板拼接而成，无闪边，板数不超过7块，经干燥防腐、防蛀处理，板底加固不少于4根杉木条为支撑点，拼板之间缺角不能大于3mm，制作牢固可靠，双面平整。</w:t>
            </w:r>
          </w:p>
          <w:p w14:paraId="548FED28">
            <w:pPr>
              <w:spacing w:line="320" w:lineRule="exact"/>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二、组合柜部分</w:t>
            </w:r>
          </w:p>
          <w:p w14:paraId="79EC4208">
            <w:pPr>
              <w:spacing w:line="320" w:lineRule="exact"/>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1.规格：整体1900mm（长）×600mm（深）×1700mm（高）（±2mm）；颜色：灰白色+蓝色（供货前由采购人确定颜色），颜色需与采购人提供的标准色板匹配（允许色差ΔE≤3）</w:t>
            </w:r>
          </w:p>
          <w:p w14:paraId="489B0252">
            <w:pPr>
              <w:spacing w:line="320" w:lineRule="exact"/>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2.组合柜必须符合GB/T3325-2017或GB/T35607-2024或GB/T3325-2024要求。</w:t>
            </w:r>
          </w:p>
          <w:p w14:paraId="00DDD768">
            <w:pPr>
              <w:spacing w:line="320" w:lineRule="exact"/>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3.床下组合柜材质要求：</w:t>
            </w:r>
          </w:p>
          <w:p w14:paraId="3AE7B38E">
            <w:pPr>
              <w:spacing w:line="320" w:lineRule="exact"/>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采用优质冷轧钢板，厚度不小于0.6mm，材质符合GB/T3325-2024《金属家具通用技术条件》或其他相应国家标准：金属件外观（冲压件应无脱层、裂缝；涂层应无漏喷、锈蚀和脱色、掉色现象；涂层应光滑均匀，色泽一致，应无流挂、疙瘩、皱皮、飞漆等缺陷）；金属喷漆（塑）涂层理化性能（硬度≥H；冲击强度：冲击高度400mm，应无剥落、裂纹、皱纹；耐湿热100h：100h内，应无锈蚀、鼓泡、剥落现象；耐腐蚀100h：100h内，观察在溶液中样板上划道两侧3mm以外，应无鼓泡产生；100h后，检测划道两侧3mm外，应无锈蚀、剥落、起皱、变色和失光现象。</w:t>
            </w:r>
          </w:p>
          <w:p w14:paraId="24C7010F">
            <w:pPr>
              <w:spacing w:line="320" w:lineRule="exact"/>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（2）表面采用环保产品环氧聚酯塑粉静电喷塑；经除油、酸洗、磷化、除锈或电解防锈处理，焊接表面光滑无毛刺，具有耐腐蚀、防水抗老化等性能。</w:t>
            </w:r>
          </w:p>
          <w:p w14:paraId="3362D5B3">
            <w:pPr>
              <w:spacing w:line="320" w:lineRule="exact"/>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（3）衣柜：</w:t>
            </w:r>
          </w:p>
          <w:p w14:paraId="32B35D52">
            <w:pPr>
              <w:spacing w:line="320" w:lineRule="exact"/>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①规格：1700mm（高）×600mm（长）×600mm（深）（±2mm）。</w:t>
            </w:r>
          </w:p>
          <w:p w14:paraId="2AF4E090">
            <w:pPr>
              <w:spacing w:line="320" w:lineRule="exact"/>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衣柜结构及要求：</w:t>
            </w:r>
          </w:p>
          <w:p w14:paraId="7D3EC29F">
            <w:pPr>
              <w:spacing w:line="320" w:lineRule="exact"/>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②上层高1100mm（±2mm）（不含边框）,内配置≥Φ19×1.0mm厚不锈钢圆管挂衣杆1根，左边设置固定门板一个，固定门门宽度为150mm（±2mm）。柜门扣手规格：宽30mm×高130mm（±5mm），采用全新ABS材料经注塑模具一次性注塑成型,表面装饰部分采用优质不锈钢材料四周全包围式包边，无毛刺、凸起，增加拉手使用强度，延长拉手使用寿命。</w:t>
            </w:r>
          </w:p>
          <w:p w14:paraId="05BDD352">
            <w:pPr>
              <w:spacing w:line="320" w:lineRule="exact"/>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4.书柜：规格1700mm（高）×300mm（宽）×600mm（深）（±2mm），柜体分为上下2部分，上部为2块隔板共分3层，下部1块隔板。材质选用不小于0.6mm厚冷轧钢板。</w:t>
            </w:r>
          </w:p>
          <w:p w14:paraId="38A467E5">
            <w:pPr>
              <w:spacing w:line="320" w:lineRule="exact"/>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5.桌面规格：1000mm（长）×600mm（深）×25mm（厚）（±2mm），台面板</w:t>
            </w:r>
            <w:r>
              <w:rPr>
                <w:rFonts w:hint="eastAsia" w:asciiTheme="minorEastAsia" w:hAnsiTheme="minorEastAsia" w:eastAsiaTheme="minorEastAsia" w:cstheme="minorEastAsia"/>
                <w:bCs/>
                <w:color w:val="auto"/>
                <w:sz w:val="24"/>
                <w:highlight w:val="none"/>
              </w:rPr>
              <w:t>选用优质环保E0级及以上“实木多层板”，符合</w:t>
            </w:r>
            <w:r>
              <w:rPr>
                <w:rFonts w:hint="eastAsia" w:asciiTheme="minorEastAsia" w:hAnsiTheme="minorEastAsia" w:eastAsiaTheme="minorEastAsia" w:cstheme="minorEastAsia"/>
                <w:color w:val="auto"/>
                <w:sz w:val="24"/>
                <w:highlight w:val="none"/>
              </w:rPr>
              <w:t>GB/T9846-2015《普通胶合板》</w:t>
            </w:r>
            <w:r>
              <w:rPr>
                <w:rFonts w:hint="eastAsia" w:asciiTheme="minorEastAsia" w:hAnsiTheme="minorEastAsia" w:eastAsiaTheme="minorEastAsia" w:cstheme="minorEastAsia"/>
                <w:bCs/>
                <w:color w:val="auto"/>
                <w:sz w:val="24"/>
                <w:highlight w:val="none"/>
              </w:rPr>
              <w:t>、GB/T39600-2021《人造板及其制品甲醛释放量分级》、HJ571-2010《环境标志产品技术要求人造板及其制品》等标准适用条款的要求，其中含水率5.0%～14.0%；胶合强度≥0.7MPa；浸渍剥离、静曲强度和弹性模量等性能指标均符合标准要求；甲醛释放量GB/T39600-2021E0≤0.050mg/m³；总挥发性有机化合物（TVOC）释放率不得超过0.50mg/m²·h（72h）；</w:t>
            </w:r>
            <w:r>
              <w:rPr>
                <w:rFonts w:hint="eastAsia" w:asciiTheme="minorEastAsia" w:hAnsiTheme="minorEastAsia" w:eastAsiaTheme="minorEastAsia" w:cstheme="minorEastAsia"/>
                <w:color w:val="auto"/>
                <w:sz w:val="24"/>
                <w:highlight w:val="none"/>
              </w:rPr>
              <w:t>桌面离地高度760mm。</w:t>
            </w:r>
          </w:p>
          <w:p w14:paraId="53CFDD8B">
            <w:pPr>
              <w:spacing w:line="320" w:lineRule="exact"/>
              <w:ind w:firstLine="480" w:firstLineChars="200"/>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color w:val="auto"/>
                <w:sz w:val="24"/>
                <w:highlight w:val="none"/>
              </w:rPr>
              <w:t>6.</w:t>
            </w:r>
            <w:r>
              <w:rPr>
                <w:rFonts w:hint="eastAsia" w:asciiTheme="minorEastAsia" w:hAnsiTheme="minorEastAsia" w:eastAsiaTheme="minorEastAsia" w:cstheme="minorEastAsia"/>
                <w:bCs/>
                <w:color w:val="auto"/>
                <w:sz w:val="24"/>
                <w:highlight w:val="none"/>
              </w:rPr>
              <w:t>封边：桌面板封边采用优质</w:t>
            </w:r>
            <w:r>
              <w:rPr>
                <w:rFonts w:hint="eastAsia" w:asciiTheme="minorEastAsia" w:hAnsiTheme="minorEastAsia" w:eastAsiaTheme="minorEastAsia" w:cstheme="minorEastAsia"/>
                <w:color w:val="auto"/>
                <w:sz w:val="24"/>
                <w:highlight w:val="none"/>
              </w:rPr>
              <w:t>新型抗氧化铝箔封边，或达到同等或更优的封边效果。封边条厚度不小于1.5mm，封边上下与桌面同色，中间铝箔高度不小于5mm，封边工艺采用全自动化机器封边技术，防潮、防晒、耐腐蚀、耐氧化、不易脱落、经久耐用、表面光滑平整，无皱褶无波浪形，防水性能经水滴试验无渗透，经磨边处理；要求采用全自动全机械化机器封边、修边，表面平整，无脱胶、鼓泡现象:不允许采用手工封边、修边，封边后要求达到完全防水效果。</w:t>
            </w:r>
            <w:r>
              <w:rPr>
                <w:rFonts w:hint="eastAsia" w:asciiTheme="minorEastAsia" w:hAnsiTheme="minorEastAsia" w:eastAsiaTheme="minorEastAsia" w:cstheme="minorEastAsia"/>
                <w:bCs/>
                <w:color w:val="auto"/>
                <w:sz w:val="24"/>
                <w:highlight w:val="none"/>
              </w:rPr>
              <w:t>封边符QB/T4463-2013《家具用封边条技术要求》要求，外观表面应无皱纹、裂纹、折痕、油渍、污点，无明显的气泡、针孔、划痕、波纹等瑕疵，表面应光滑，花纹应清晰、均匀、无漏印。</w:t>
            </w:r>
            <w:r>
              <w:rPr>
                <w:rFonts w:hint="eastAsia" w:asciiTheme="minorEastAsia" w:hAnsiTheme="minorEastAsia" w:eastAsiaTheme="minorEastAsia" w:cstheme="minorEastAsia"/>
                <w:color w:val="auto"/>
                <w:sz w:val="24"/>
                <w:highlight w:val="none"/>
              </w:rPr>
              <w:t>封边胶采用优质环保封边胶，封边胶检测符合HJ2541-2016《环境标志产品技术要求胶粘剂》标准。检测结果包括但不限于以下内容：①苯含量不得检出，②甲苯+乙苯+二甲苯含量不得检出。</w:t>
            </w:r>
            <w:r>
              <w:rPr>
                <w:rFonts w:hint="eastAsia" w:asciiTheme="minorEastAsia" w:hAnsiTheme="minorEastAsia" w:eastAsiaTheme="minorEastAsia" w:cstheme="minorEastAsia"/>
                <w:bCs/>
                <w:color w:val="auto"/>
                <w:sz w:val="24"/>
                <w:highlight w:val="none"/>
              </w:rPr>
              <w:t>甲醛释放量≤0.050mg/m³；总挥发性有机化合物（TVOC）释放率不得超过0.50mg/m²·h（72h）。</w:t>
            </w:r>
          </w:p>
          <w:p w14:paraId="0ED28F2A">
            <w:pPr>
              <w:spacing w:line="320" w:lineRule="exact"/>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三、公寓椅</w:t>
            </w:r>
          </w:p>
          <w:p w14:paraId="3FEE74B2">
            <w:pPr>
              <w:spacing w:line="320" w:lineRule="exact"/>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1.规格:≥400L×400D×800H（mm）；颜色：灰白色+浅胡桃色（供货前由采购人确定颜色），颜色需与采购人提供的标准色板匹配（允许色差ΔE≤3）。</w:t>
            </w:r>
          </w:p>
          <w:p w14:paraId="01607805">
            <w:pPr>
              <w:spacing w:line="320" w:lineRule="exact"/>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2.基材</w:t>
            </w:r>
            <w:r>
              <w:rPr>
                <w:rFonts w:hint="eastAsia" w:asciiTheme="minorEastAsia" w:hAnsiTheme="minorEastAsia" w:eastAsiaTheme="minorEastAsia" w:cstheme="minorEastAsia"/>
                <w:bCs/>
                <w:color w:val="auto"/>
                <w:sz w:val="24"/>
                <w:highlight w:val="none"/>
              </w:rPr>
              <w:t>：选用优质环保E0级及以上“实木多层板”，符合</w:t>
            </w:r>
            <w:r>
              <w:rPr>
                <w:rFonts w:hint="eastAsia" w:asciiTheme="minorEastAsia" w:hAnsiTheme="minorEastAsia" w:eastAsiaTheme="minorEastAsia" w:cstheme="minorEastAsia"/>
                <w:color w:val="auto"/>
                <w:sz w:val="24"/>
                <w:highlight w:val="none"/>
              </w:rPr>
              <w:t>GB/T9846-2015《普通胶合板》</w:t>
            </w:r>
            <w:r>
              <w:rPr>
                <w:rFonts w:hint="eastAsia" w:asciiTheme="minorEastAsia" w:hAnsiTheme="minorEastAsia" w:eastAsiaTheme="minorEastAsia" w:cstheme="minorEastAsia"/>
                <w:bCs/>
                <w:color w:val="auto"/>
                <w:sz w:val="24"/>
                <w:highlight w:val="none"/>
              </w:rPr>
              <w:t>、GB/T39600-2021《人造板及其制品甲醛释放量分级》、HJ571-2010《环境标志产品技术要求人造板及其制品》等标准适用条款的要求，其中含水率5.0%～14.0%；胶合强度≥0.7MPa；浸渍剥离、静曲强度和弹性模量等性能指标均符合标准要求；甲醛释放量GB/T39600-2021E0≤0.050mg/m³；总挥发性有机化合物（TVOC）释放率不得超过0.50mg/m²·h（72h）；</w:t>
            </w:r>
            <w:r>
              <w:rPr>
                <w:rFonts w:hint="eastAsia" w:asciiTheme="minorEastAsia" w:hAnsiTheme="minorEastAsia" w:eastAsiaTheme="minorEastAsia" w:cstheme="minorEastAsia"/>
                <w:color w:val="auto"/>
                <w:sz w:val="24"/>
                <w:highlight w:val="none"/>
              </w:rPr>
              <w:t>座面、靠背厚度≥15mm。面板四周采用一次性注塑封边。</w:t>
            </w:r>
          </w:p>
          <w:p w14:paraId="540A48A4">
            <w:pPr>
              <w:spacing w:line="320" w:lineRule="exact"/>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3.椅脚外形规格为长+宽≥60mm，且长、宽均≥20mm，厚度≥1.2m，圆形钢管或对称椭圆钢管，</w:t>
            </w:r>
            <w:r>
              <w:rPr>
                <w:rFonts w:hint="eastAsia" w:ascii="宋体" w:hAnsi="宋体" w:eastAsia="宋体" w:cs="宋体"/>
                <w:color w:val="auto"/>
                <w:sz w:val="24"/>
                <w:szCs w:val="24"/>
                <w:highlight w:val="none"/>
              </w:rPr>
              <w:t>经预脱脂-脱脂-水洗-酸洗-水洗-中和-表调-磷化-水洗-钝化等十工位表面处理工序，或同等防锈效果的表面处理工艺，表面喷涂优质环保环氧聚酯粉静电喷塑。</w:t>
            </w:r>
            <w:r>
              <w:rPr>
                <w:rFonts w:hint="eastAsia" w:asciiTheme="minorEastAsia" w:hAnsiTheme="minorEastAsia" w:eastAsiaTheme="minorEastAsia" w:cstheme="minorEastAsia"/>
                <w:color w:val="auto"/>
                <w:sz w:val="24"/>
                <w:highlight w:val="none"/>
              </w:rPr>
              <w:t>喷塑外膜的表面光滑平整，色泽均匀，喷塑层无漏喷、起泡、模糊、划痕或碰伤等缺陷，采用粉末涂料符合国家标准。</w:t>
            </w:r>
          </w:p>
        </w:tc>
      </w:tr>
      <w:tr w14:paraId="5854D4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541" w:type="dxa"/>
            <w:tcBorders>
              <w:top w:val="single" w:color="auto" w:sz="4" w:space="0"/>
              <w:left w:val="single" w:color="auto" w:sz="4" w:space="0"/>
              <w:bottom w:val="single" w:color="auto" w:sz="4" w:space="0"/>
              <w:right w:val="single" w:color="auto" w:sz="4" w:space="0"/>
            </w:tcBorders>
            <w:vAlign w:val="center"/>
          </w:tcPr>
          <w:p w14:paraId="4FE163B5">
            <w:pPr>
              <w:rPr>
                <w:rFonts w:ascii="宋体" w:hAnsi="宋体" w:cs="宋体"/>
                <w:color w:val="auto"/>
                <w:sz w:val="24"/>
                <w:highlight w:val="none"/>
              </w:rPr>
            </w:pPr>
            <w:r>
              <w:rPr>
                <w:rFonts w:hint="eastAsia" w:ascii="宋体" w:hAnsi="宋体" w:cs="宋体"/>
                <w:color w:val="auto"/>
                <w:sz w:val="24"/>
                <w:highlight w:val="none"/>
              </w:rPr>
              <w:t>3</w:t>
            </w:r>
          </w:p>
        </w:tc>
        <w:tc>
          <w:tcPr>
            <w:tcW w:w="1180" w:type="dxa"/>
            <w:tcBorders>
              <w:top w:val="single" w:color="auto" w:sz="4" w:space="0"/>
              <w:left w:val="single" w:color="auto" w:sz="4" w:space="0"/>
              <w:bottom w:val="single" w:color="auto" w:sz="4" w:space="0"/>
              <w:right w:val="single" w:color="auto" w:sz="4" w:space="0"/>
            </w:tcBorders>
            <w:vAlign w:val="center"/>
          </w:tcPr>
          <w:p w14:paraId="07285A62">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无障碍组合公寓床</w:t>
            </w:r>
          </w:p>
        </w:tc>
        <w:tc>
          <w:tcPr>
            <w:tcW w:w="810" w:type="dxa"/>
            <w:tcBorders>
              <w:top w:val="single" w:color="auto" w:sz="4" w:space="0"/>
              <w:left w:val="single" w:color="auto" w:sz="4" w:space="0"/>
              <w:bottom w:val="single" w:color="auto" w:sz="4" w:space="0"/>
              <w:right w:val="single" w:color="auto" w:sz="4" w:space="0"/>
            </w:tcBorders>
            <w:vAlign w:val="center"/>
          </w:tcPr>
          <w:p w14:paraId="6931D187">
            <w:pPr>
              <w:widowControl/>
              <w:jc w:val="center"/>
              <w:textAlignment w:val="center"/>
              <w:rPr>
                <w:rFonts w:ascii="宋体" w:hAnsi="宋体" w:cs="宋体"/>
                <w:b/>
                <w:bCs/>
                <w:color w:val="auto"/>
                <w:sz w:val="24"/>
                <w:highlight w:val="none"/>
              </w:rPr>
            </w:pPr>
            <w:r>
              <w:rPr>
                <w:rFonts w:hint="eastAsia" w:ascii="宋体" w:hAnsi="宋体" w:cs="宋体"/>
                <w:b/>
                <w:bCs/>
                <w:color w:val="auto"/>
                <w:sz w:val="24"/>
                <w:highlight w:val="none"/>
              </w:rPr>
              <w:t>56</w:t>
            </w:r>
          </w:p>
        </w:tc>
        <w:tc>
          <w:tcPr>
            <w:tcW w:w="850" w:type="dxa"/>
            <w:tcBorders>
              <w:top w:val="single" w:color="auto" w:sz="4" w:space="0"/>
              <w:left w:val="single" w:color="auto" w:sz="4" w:space="0"/>
              <w:bottom w:val="single" w:color="auto" w:sz="4" w:space="0"/>
              <w:right w:val="single" w:color="auto" w:sz="4" w:space="0"/>
            </w:tcBorders>
            <w:vAlign w:val="center"/>
          </w:tcPr>
          <w:p w14:paraId="353CBAEF">
            <w:pPr>
              <w:jc w:val="center"/>
              <w:rPr>
                <w:rFonts w:ascii="宋体" w:hAnsi="宋体" w:cs="宋体"/>
                <w:b/>
                <w:bCs/>
                <w:color w:val="auto"/>
                <w:sz w:val="24"/>
                <w:highlight w:val="none"/>
              </w:rPr>
            </w:pPr>
            <w:r>
              <w:rPr>
                <w:rFonts w:hint="eastAsia" w:ascii="宋体" w:hAnsi="宋体" w:cs="宋体"/>
                <w:b/>
                <w:bCs/>
                <w:color w:val="auto"/>
                <w:sz w:val="24"/>
                <w:highlight w:val="none"/>
              </w:rPr>
              <w:t>套</w:t>
            </w:r>
          </w:p>
        </w:tc>
        <w:tc>
          <w:tcPr>
            <w:tcW w:w="6965" w:type="dxa"/>
            <w:tcBorders>
              <w:top w:val="single" w:color="auto" w:sz="4" w:space="0"/>
              <w:left w:val="single" w:color="auto" w:sz="4" w:space="0"/>
              <w:bottom w:val="single" w:color="auto" w:sz="4" w:space="0"/>
              <w:right w:val="single" w:color="auto" w:sz="4" w:space="0"/>
            </w:tcBorders>
            <w:shd w:val="clear" w:color="auto" w:fill="auto"/>
            <w:vAlign w:val="center"/>
          </w:tcPr>
          <w:p w14:paraId="08FD270E">
            <w:pPr>
              <w:pStyle w:val="9"/>
              <w:adjustRightInd w:val="0"/>
              <w:snapToGrid w:val="0"/>
              <w:spacing w:line="320" w:lineRule="exact"/>
              <w:ind w:firstLine="600" w:firstLineChars="25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规格：长2200mm×宽900mm×高850mm（±5mm）</w:t>
            </w:r>
          </w:p>
          <w:p w14:paraId="76D11B9F">
            <w:pPr>
              <w:spacing w:line="320" w:lineRule="exact"/>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颜色：灰白色+浅胡桃色（供货前由采购人确定颜色），颜色需与采购人提供的标准色板匹配（允许色差ΔE≤3）</w:t>
            </w:r>
          </w:p>
          <w:p w14:paraId="41017D00">
            <w:pPr>
              <w:spacing w:line="320" w:lineRule="exact"/>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一、床架部分</w:t>
            </w:r>
          </w:p>
          <w:p w14:paraId="572C9D58">
            <w:pPr>
              <w:spacing w:line="320" w:lineRule="exact"/>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（一）性能指标</w:t>
            </w:r>
          </w:p>
          <w:p w14:paraId="5D3E751D">
            <w:pPr>
              <w:spacing w:line="320" w:lineRule="exact"/>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单层床整体外观要求、理化性能、力学性能有害物质限量等技术指标符合GB/T3325-2024《金属家具通用技术条件》、QB/T2741-2013《学生公寓多功能家具》、GB/T35607-2024《绿色产品评价家具》等标准要求,床架各部位管材要求：选用优质钢管，钢管材质为Q235B（或优于Q235B）优质钢材，经除油、酸洗、磷化、除锈处理，表面静电喷塑处理，管材材质符合GB/T3094-2012《冷拔异型钢管》、GB/T3325-2024《金属家具通用技术条件》或其他相关标准：金属件外观（冲压件应无脱层、裂缝；涂层应无漏喷、锈蚀和脱色、掉色现象；涂层应光滑均匀，色泽一致，应无流挂、疙瘩、皱皮、飞漆等缺陷）。</w:t>
            </w:r>
          </w:p>
          <w:p w14:paraId="43EBF71F">
            <w:pPr>
              <w:spacing w:line="320" w:lineRule="exact"/>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w:t>
            </w:r>
            <w:r>
              <w:rPr>
                <w:rFonts w:hint="eastAsia" w:ascii="宋体" w:hAnsi="宋体" w:eastAsia="宋体" w:cs="宋体"/>
                <w:color w:val="auto"/>
                <w:sz w:val="24"/>
                <w:szCs w:val="24"/>
                <w:highlight w:val="none"/>
              </w:rPr>
              <w:t>经预脱脂-脱脂-水洗-酸洗-水洗-中和-表调-磷化-水洗-钝化等十工位表面处理工序，或同等防锈效果的表面处理工艺，表面喷涂优质环保环氧聚酯粉静电喷塑</w:t>
            </w:r>
            <w:r>
              <w:rPr>
                <w:rFonts w:hint="eastAsia" w:asciiTheme="minorEastAsia" w:hAnsiTheme="minorEastAsia" w:eastAsiaTheme="minorEastAsia" w:cstheme="minorEastAsia"/>
                <w:color w:val="auto"/>
                <w:sz w:val="24"/>
                <w:highlight w:val="none"/>
              </w:rPr>
              <w:t>。</w:t>
            </w:r>
          </w:p>
          <w:p w14:paraId="2C81E452">
            <w:pPr>
              <w:spacing w:line="320" w:lineRule="exact"/>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3.安装：（1）床的结构要求床母与立柱外挂卡式连接，每个连接处无需螺栓紧固，有锥度设计越用越紧固功能。（2）整床床体组装好后结实、牢固、安全和耐用。</w:t>
            </w:r>
          </w:p>
          <w:p w14:paraId="0E13573B">
            <w:pPr>
              <w:spacing w:line="320" w:lineRule="exact"/>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（二）材质参数</w:t>
            </w:r>
          </w:p>
          <w:p w14:paraId="6408B6C5">
            <w:pPr>
              <w:spacing w:line="320" w:lineRule="exact"/>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Cs/>
                <w:color w:val="auto"/>
                <w:sz w:val="24"/>
                <w:highlight w:val="none"/>
              </w:rPr>
              <w:t>▲</w:t>
            </w:r>
            <w:r>
              <w:rPr>
                <w:rFonts w:hint="eastAsia" w:asciiTheme="minorEastAsia" w:hAnsiTheme="minorEastAsia" w:eastAsiaTheme="minorEastAsia" w:cstheme="minorEastAsia"/>
                <w:color w:val="auto"/>
                <w:sz w:val="24"/>
                <w:highlight w:val="none"/>
              </w:rPr>
              <w:t>1.边立柱：外形规格为长+宽≥130mm，且长、宽均≥55mm，管壁厚度≥1.2mm的高频焊接封口钢管，（不能用方管，不容易碰撞受伤），管材采用优质带钢，经成型线轧制而成，表面经优质环氧聚酯塑粉静电喷塑处理。立柱顶部为塑料内塞，底部外套式脚套，塑料件采用环保塑料一体注塑成型，高度≥100mm（不允许3D打印），与立柱连接处光滑、平顺、无毛刺，起防滑防潮及密封作用。</w:t>
            </w:r>
          </w:p>
          <w:p w14:paraId="562C9646">
            <w:pPr>
              <w:pStyle w:val="4"/>
              <w:spacing w:line="320" w:lineRule="exact"/>
              <w:ind w:firstLine="480" w:firstLineChars="200"/>
              <w:rPr>
                <w:rFonts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▲2.床横梁：外形规格为长+宽≥110mm，且长、宽均≥40mm，管壁厚度≥1.2mm的高频焊接内外镀锌闭口型材管，底部为圆弧形设计，起到防撞作用，正面有不少于3条加强筋，表面经优质环保氧聚酯塑粉静电喷塑处理。</w:t>
            </w:r>
          </w:p>
          <w:p w14:paraId="45B683CA">
            <w:pPr>
              <w:pStyle w:val="4"/>
              <w:spacing w:line="320" w:lineRule="exact"/>
              <w:ind w:firstLine="480" w:firstLineChars="200"/>
              <w:rPr>
                <w:rFonts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3.床横管：外形规格为长+宽≥50mm，且长、宽均≥20mm，管壁厚度≥1.0mm的矩形管，数量不少于五根，内插式嵌入，带静音胶套。</w:t>
            </w:r>
          </w:p>
          <w:p w14:paraId="5F714914">
            <w:pPr>
              <w:spacing w:line="320" w:lineRule="exact"/>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4.床头、床尾护板：采用1.2mm厚冷轧钢板制作。</w:t>
            </w:r>
          </w:p>
          <w:p w14:paraId="678E1C96">
            <w:pPr>
              <w:spacing w:line="320" w:lineRule="exact"/>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5.蚊帐杆：采用规格为≥φ16mm，厚度≥1.0mm的优质圆管,顶部加装φ40mm铁圈，方便支撑、悬挂蚊帐使用。</w:t>
            </w:r>
          </w:p>
          <w:p w14:paraId="332B0519">
            <w:pPr>
              <w:spacing w:line="320" w:lineRule="exact"/>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6.床板：采用厚度≥18mm杉木板制作，长、宽按设计要求，整幅床板由≤7块杉木板拼接组成，拼板之间缝隙不能大于3mm，板底下部加固不少于4根杉木条为支撑点，制作牢固可靠，床板应无钝棱；木材经干燥、防腐、防蛀处理；床板双面须刨光处理。</w:t>
            </w:r>
          </w:p>
          <w:p w14:paraId="606E50F8">
            <w:pPr>
              <w:pStyle w:val="9"/>
              <w:adjustRightInd w:val="0"/>
              <w:snapToGrid w:val="0"/>
              <w:spacing w:line="320" w:lineRule="exact"/>
              <w:ind w:firstLine="600" w:firstLineChars="25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二、组合柜部分</w:t>
            </w:r>
          </w:p>
          <w:p w14:paraId="6EBF27D2">
            <w:pPr>
              <w:pStyle w:val="9"/>
              <w:adjustRightInd w:val="0"/>
              <w:snapToGrid w:val="0"/>
              <w:spacing w:line="320" w:lineRule="exact"/>
              <w:ind w:firstLine="600" w:firstLineChars="25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1.规格：整体1900（长）×600（深）×1700（高）（mm）（±2mm）；颜色：灰白色+浅胡桃色（供货前由采购人确定颜色），颜色需与采购人提供的标准色板匹配（允许色差ΔE≤3）。</w:t>
            </w:r>
          </w:p>
          <w:p w14:paraId="58596FD9">
            <w:pPr>
              <w:pStyle w:val="9"/>
              <w:adjustRightInd w:val="0"/>
              <w:snapToGrid w:val="0"/>
              <w:spacing w:line="320" w:lineRule="exact"/>
              <w:ind w:firstLine="600" w:firstLineChars="25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2.组合柜必须符合GB/T3325-2017或GB/T35607-2024或GB/T3325-2024要求。</w:t>
            </w:r>
          </w:p>
          <w:p w14:paraId="529C7345">
            <w:pPr>
              <w:pStyle w:val="9"/>
              <w:adjustRightInd w:val="0"/>
              <w:snapToGrid w:val="0"/>
              <w:spacing w:line="320" w:lineRule="exact"/>
              <w:ind w:firstLine="600" w:firstLineChars="25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3.床下组合柜材质要求：</w:t>
            </w:r>
          </w:p>
          <w:p w14:paraId="2911DBA6">
            <w:pPr>
              <w:pStyle w:val="9"/>
              <w:adjustRightInd w:val="0"/>
              <w:snapToGrid w:val="0"/>
              <w:spacing w:line="320" w:lineRule="exact"/>
              <w:ind w:firstLine="600" w:firstLineChars="25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（1）采用厚度不小于0.6mm冷轧板折弯成型，钢板材质为Q195（或优于Q195）钢材。</w:t>
            </w:r>
          </w:p>
          <w:p w14:paraId="7734C32C">
            <w:pPr>
              <w:pStyle w:val="9"/>
              <w:adjustRightInd w:val="0"/>
              <w:snapToGrid w:val="0"/>
              <w:spacing w:line="320" w:lineRule="exact"/>
              <w:ind w:firstLine="600" w:firstLineChars="25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（2）表面采用环氧聚酯塑粉静电喷塑；经除油、酸洗、磷化、除锈或电解防锈处理，焊接表面光滑无毛刺，具有耐腐蚀、防水抗老化等性能。</w:t>
            </w:r>
          </w:p>
          <w:p w14:paraId="058A3FBD">
            <w:pPr>
              <w:pStyle w:val="9"/>
              <w:adjustRightInd w:val="0"/>
              <w:snapToGrid w:val="0"/>
              <w:spacing w:line="320" w:lineRule="exact"/>
              <w:ind w:firstLine="600" w:firstLineChars="25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（3）衣柜：</w:t>
            </w:r>
          </w:p>
          <w:p w14:paraId="416CED57">
            <w:pPr>
              <w:pStyle w:val="9"/>
              <w:adjustRightInd w:val="0"/>
              <w:snapToGrid w:val="0"/>
              <w:spacing w:line="320" w:lineRule="exact"/>
              <w:ind w:firstLine="600" w:firstLineChars="25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①规格：1700（高）×650（长）×600（深）（mm）（±2mm）。</w:t>
            </w:r>
          </w:p>
          <w:p w14:paraId="4AD851B9">
            <w:pPr>
              <w:pStyle w:val="9"/>
              <w:adjustRightInd w:val="0"/>
              <w:snapToGrid w:val="0"/>
              <w:spacing w:line="320" w:lineRule="exact"/>
              <w:ind w:firstLine="600" w:firstLineChars="25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衣柜结构及要求：</w:t>
            </w:r>
          </w:p>
          <w:p w14:paraId="66A5D140">
            <w:pPr>
              <w:pStyle w:val="4"/>
              <w:spacing w:line="320" w:lineRule="exact"/>
              <w:ind w:firstLine="480" w:firstLineChars="200"/>
              <w:rPr>
                <w:rFonts w:asciiTheme="minorEastAsia" w:hAnsiTheme="minorEastAsia" w:eastAsiaTheme="minorEastAsia" w:cstheme="minorEastAsia"/>
                <w:b w:val="0"/>
                <w:color w:val="auto"/>
                <w:sz w:val="24"/>
                <w:szCs w:val="24"/>
                <w:highlight w:val="none"/>
              </w:rPr>
            </w:pPr>
            <w:r>
              <w:rPr>
                <w:rFonts w:hint="eastAsia" w:asciiTheme="minorEastAsia" w:hAnsiTheme="minorEastAsia" w:eastAsiaTheme="minorEastAsia" w:cstheme="minorEastAsia"/>
                <w:b w:val="0"/>
                <w:color w:val="auto"/>
                <w:sz w:val="24"/>
                <w:szCs w:val="24"/>
                <w:highlight w:val="none"/>
              </w:rPr>
              <w:t>▲②柜体分为上下2部分，上层高1300mm-1400mm（不含边框）,通体门板，配拉手。内配置≥Φ19×1.2mm厚不锈钢圆管挂衣杆1根，衣柜内侧设有不同高度的卡扣，配备一块可以搁置在卡扣上的活动隔板。最下端设计抽屉，单层层高范围160mm-200mm，可放置学生笔记本电脑等私人贵重物品，防止被盗，抽屉和衣柜门均配锁具。所有钢质板材经过酸洗、磷化等工艺静电喷塑，高温固化；柜底部配备可防潮措施，得到有效的防潮作用，增长产品使用时间。</w:t>
            </w:r>
          </w:p>
          <w:p w14:paraId="4AFC0E96">
            <w:pPr>
              <w:pStyle w:val="4"/>
              <w:spacing w:line="320" w:lineRule="exact"/>
              <w:ind w:firstLine="480" w:firstLineChars="200"/>
              <w:rPr>
                <w:rFonts w:asciiTheme="minorEastAsia" w:hAnsiTheme="minorEastAsia" w:eastAsiaTheme="minorEastAsia" w:cstheme="minorEastAsia"/>
                <w:b w:val="0"/>
                <w:color w:val="auto"/>
                <w:sz w:val="24"/>
                <w:szCs w:val="24"/>
                <w:highlight w:val="none"/>
              </w:rPr>
            </w:pPr>
            <w:r>
              <w:rPr>
                <w:rFonts w:hint="eastAsia" w:asciiTheme="minorEastAsia" w:hAnsiTheme="minorEastAsia" w:eastAsiaTheme="minorEastAsia" w:cstheme="minorEastAsia"/>
                <w:b w:val="0"/>
                <w:color w:val="auto"/>
                <w:sz w:val="24"/>
                <w:szCs w:val="24"/>
                <w:highlight w:val="none"/>
              </w:rPr>
              <w:t>4.书柜：规格1700（高）×300（长）×600（深）（mm）（±20mm），柜体分为上下2部分，上部为2块隔板共分3层，桌子面板下部分采用1块隔板分2层，设置为鞋柜，可放置学生鞋子。材质选用厚度不低于0.6mm厚冷轧钢板。</w:t>
            </w:r>
          </w:p>
          <w:p w14:paraId="0CDCBE7F">
            <w:pPr>
              <w:pStyle w:val="4"/>
              <w:spacing w:line="320" w:lineRule="exact"/>
              <w:ind w:firstLine="480" w:firstLineChars="200"/>
              <w:rPr>
                <w:rFonts w:asciiTheme="minorEastAsia" w:hAnsiTheme="minorEastAsia" w:eastAsiaTheme="minorEastAsia" w:cstheme="minorEastAsia"/>
                <w:b w:val="0"/>
                <w:color w:val="auto"/>
                <w:sz w:val="24"/>
                <w:szCs w:val="24"/>
                <w:highlight w:val="none"/>
              </w:rPr>
            </w:pPr>
            <w:r>
              <w:rPr>
                <w:rFonts w:hint="eastAsia" w:asciiTheme="minorEastAsia" w:hAnsiTheme="minorEastAsia" w:eastAsiaTheme="minorEastAsia" w:cstheme="minorEastAsia"/>
                <w:b w:val="0"/>
                <w:color w:val="auto"/>
                <w:sz w:val="24"/>
                <w:szCs w:val="24"/>
                <w:highlight w:val="none"/>
              </w:rPr>
              <w:t>5.桌面规格：950（长）×600（深）×25（厚）（mm）（±2mm），桌面基材：选用优质环保E0级及以上“实木多层板”，符合GB/T9846-2015《普通胶合板》、GB/T39600-2021《人造板及其制品甲醛释放量分级》、HJ571-2010《环境标志产品技术要求人造板及其制品》等标准适用条款的要求，其中含水率5.0%～14.0%；胶合强度≥0.7MPa；浸渍剥离、静曲强度和弹性模量等性能指标均符合标准要求；甲醛释放量GB/T39600-2021E0≤0.050mg/m³；总挥发性有机化合物（TVOC）释放率不得超过0.50mg/m²·h（72h）；桌面离地高度760mm，设置有60mm高挡板一块，防止物品掉落，带线孔一个。</w:t>
            </w:r>
          </w:p>
          <w:p w14:paraId="131CDEBF">
            <w:pPr>
              <w:pStyle w:val="9"/>
              <w:adjustRightInd w:val="0"/>
              <w:snapToGrid w:val="0"/>
              <w:spacing w:line="320" w:lineRule="exact"/>
              <w:ind w:firstLine="600" w:firstLineChars="25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w:t>
            </w:r>
            <w:r>
              <w:rPr>
                <w:rFonts w:hint="eastAsia" w:asciiTheme="minorEastAsia" w:hAnsiTheme="minorEastAsia" w:eastAsiaTheme="minorEastAsia" w:cstheme="minorEastAsia"/>
                <w:color w:val="auto"/>
                <w:sz w:val="24"/>
                <w:szCs w:val="24"/>
                <w:highlight w:val="none"/>
                <w:lang w:eastAsia="ar-SA"/>
              </w:rPr>
              <w:t>封边</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bCs/>
                <w:color w:val="auto"/>
                <w:sz w:val="24"/>
                <w:szCs w:val="24"/>
                <w:highlight w:val="none"/>
              </w:rPr>
              <w:t>桌面板封边采用优质</w:t>
            </w:r>
            <w:r>
              <w:rPr>
                <w:rFonts w:hint="eastAsia" w:asciiTheme="minorEastAsia" w:hAnsiTheme="minorEastAsia" w:eastAsiaTheme="minorEastAsia" w:cstheme="minorEastAsia"/>
                <w:color w:val="auto"/>
                <w:sz w:val="24"/>
                <w:szCs w:val="24"/>
                <w:highlight w:val="none"/>
              </w:rPr>
              <w:t>PVC封边，或达到同等或更优的封边效果，封边条厚度不小于1.5mm，封边与桌面同色，封边工艺采用全自动化机器封边技术。</w:t>
            </w:r>
            <w:r>
              <w:rPr>
                <w:rFonts w:hint="eastAsia" w:asciiTheme="minorEastAsia" w:hAnsiTheme="minorEastAsia" w:eastAsiaTheme="minorEastAsia" w:cstheme="minorEastAsia"/>
                <w:color w:val="auto"/>
                <w:sz w:val="24"/>
                <w:szCs w:val="24"/>
                <w:highlight w:val="none"/>
                <w:lang w:eastAsia="ar-SA"/>
              </w:rPr>
              <w:t>符</w:t>
            </w:r>
            <w:r>
              <w:rPr>
                <w:rFonts w:hint="eastAsia" w:asciiTheme="minorEastAsia" w:hAnsiTheme="minorEastAsia" w:eastAsiaTheme="minorEastAsia" w:cstheme="minorEastAsia"/>
                <w:color w:val="auto"/>
                <w:sz w:val="24"/>
                <w:szCs w:val="24"/>
                <w:highlight w:val="none"/>
              </w:rPr>
              <w:t>合</w:t>
            </w:r>
            <w:r>
              <w:rPr>
                <w:rFonts w:hint="eastAsia" w:asciiTheme="minorEastAsia" w:hAnsiTheme="minorEastAsia" w:eastAsiaTheme="minorEastAsia" w:cstheme="minorEastAsia"/>
                <w:color w:val="auto"/>
                <w:sz w:val="24"/>
                <w:szCs w:val="24"/>
                <w:highlight w:val="none"/>
                <w:lang w:eastAsia="ar-SA"/>
              </w:rPr>
              <w:t>QB/T4463-2013《家具用封边条技术要求》要求，外观表面应无皱纹、裂纹、折痕、油渍、污点，无明显的气泡、针孔、划痕、波纹等瑕疵，表面应光滑，花纹应清晰、均匀、无漏印。</w:t>
            </w:r>
            <w:r>
              <w:rPr>
                <w:rFonts w:hint="eastAsia" w:asciiTheme="minorEastAsia" w:hAnsiTheme="minorEastAsia" w:eastAsiaTheme="minorEastAsia" w:cstheme="minorEastAsia"/>
                <w:color w:val="auto"/>
                <w:sz w:val="24"/>
                <w:szCs w:val="24"/>
                <w:highlight w:val="none"/>
              </w:rPr>
              <w:t>封边胶采用优质环保封边胶，封边胶检测符合HJ2541-2016《环境标志产品技术要求胶粘剂》标准。检测结果包括但不限于以下内容：①苯含量不得检出，②甲苯+乙苯+二甲苯含量不得检出。甲醛释放量≤1.5mg/L、氯乙烯单体≤5.0mg/kg。</w:t>
            </w:r>
          </w:p>
          <w:p w14:paraId="2966F626">
            <w:pPr>
              <w:pStyle w:val="9"/>
              <w:adjustRightInd w:val="0"/>
              <w:snapToGrid w:val="0"/>
              <w:spacing w:line="320" w:lineRule="exact"/>
              <w:ind w:firstLine="600" w:firstLineChars="25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三、公寓椅</w:t>
            </w:r>
          </w:p>
          <w:p w14:paraId="30DFE515">
            <w:pPr>
              <w:pStyle w:val="9"/>
              <w:adjustRightInd w:val="0"/>
              <w:snapToGrid w:val="0"/>
              <w:spacing w:line="320" w:lineRule="exact"/>
              <w:ind w:firstLine="600" w:firstLineChars="25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1.规格:≥400L×400D×800H（mm）；颜色：灰白色+浅胡桃色（供货前由采购人确定颜色）。颜色需与采购人提供的标准色板匹配（允许色差ΔE≤3）。</w:t>
            </w:r>
          </w:p>
          <w:p w14:paraId="07E13AC4">
            <w:pPr>
              <w:spacing w:line="320" w:lineRule="exact"/>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2.基材</w:t>
            </w:r>
            <w:r>
              <w:rPr>
                <w:rFonts w:hint="eastAsia" w:asciiTheme="minorEastAsia" w:hAnsiTheme="minorEastAsia" w:eastAsiaTheme="minorEastAsia" w:cstheme="minorEastAsia"/>
                <w:bCs/>
                <w:color w:val="auto"/>
                <w:sz w:val="24"/>
                <w:highlight w:val="none"/>
              </w:rPr>
              <w:t>：选用优质环保E0级及以上“实木多层板”，符合</w:t>
            </w:r>
            <w:r>
              <w:rPr>
                <w:rFonts w:hint="eastAsia" w:asciiTheme="minorEastAsia" w:hAnsiTheme="minorEastAsia" w:eastAsiaTheme="minorEastAsia" w:cstheme="minorEastAsia"/>
                <w:color w:val="auto"/>
                <w:sz w:val="24"/>
                <w:highlight w:val="none"/>
              </w:rPr>
              <w:t>GB/T9846-2015《普通胶合板》</w:t>
            </w:r>
            <w:r>
              <w:rPr>
                <w:rFonts w:hint="eastAsia" w:asciiTheme="minorEastAsia" w:hAnsiTheme="minorEastAsia" w:eastAsiaTheme="minorEastAsia" w:cstheme="minorEastAsia"/>
                <w:bCs/>
                <w:color w:val="auto"/>
                <w:sz w:val="24"/>
                <w:highlight w:val="none"/>
              </w:rPr>
              <w:t>、GB/T39600-2021《人造板及其制品甲醛释放量分级》、HJ571-2010《环境标志产品技术要求人造板及其制品》等标准适用条款的要求，其中含水率5.0%～14.0%；胶合强度≥0.7MPa；浸渍剥离、静曲强度和弹性模量等性能指标均符合标准要求；甲醛释放量GB/T39600-2021E0≤0.050mg/m³；总挥发性有机化合物（TVOC）释放率不得超过0.50mg/m²·h（72h）；</w:t>
            </w:r>
            <w:r>
              <w:rPr>
                <w:rFonts w:hint="eastAsia" w:asciiTheme="minorEastAsia" w:hAnsiTheme="minorEastAsia" w:eastAsiaTheme="minorEastAsia" w:cstheme="minorEastAsia"/>
                <w:color w:val="auto"/>
                <w:sz w:val="24"/>
                <w:highlight w:val="none"/>
              </w:rPr>
              <w:t>座面、靠背厚度≥15mm。面板四周采用一次性注塑封边。</w:t>
            </w:r>
          </w:p>
          <w:p w14:paraId="0101057B">
            <w:pPr>
              <w:spacing w:line="320" w:lineRule="exact"/>
              <w:ind w:firstLine="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3.椅脚外形规格为长+宽≥60mm，且长、宽均≥20mm，厚度≥1.2mm，圆形管或对称椭圆管，</w:t>
            </w:r>
            <w:r>
              <w:rPr>
                <w:rFonts w:hint="eastAsia" w:ascii="宋体" w:hAnsi="宋体" w:eastAsia="宋体" w:cs="宋体"/>
                <w:color w:val="auto"/>
                <w:sz w:val="24"/>
                <w:szCs w:val="24"/>
                <w:highlight w:val="none"/>
              </w:rPr>
              <w:t>经预脱脂-脱脂-水洗-酸洗-水洗-中和-表调-磷化-水洗-钝化等十工位表面处理工序，或同等防锈效果的表面处理工艺</w:t>
            </w:r>
            <w:r>
              <w:rPr>
                <w:rFonts w:hint="eastAsia" w:asciiTheme="minorEastAsia" w:hAnsiTheme="minorEastAsia" w:eastAsiaTheme="minorEastAsia" w:cstheme="minorEastAsia"/>
                <w:color w:val="auto"/>
                <w:sz w:val="24"/>
                <w:highlight w:val="none"/>
              </w:rPr>
              <w:t>，表面喷涂优质环保环氧聚酯粉静电喷塑。喷塑外膜的表面光滑平整，色泽均匀，喷塑层无漏喷、起泡、模糊、划痕或碰伤等缺陷，采用粉末涂料符合国家标准。</w:t>
            </w:r>
          </w:p>
        </w:tc>
      </w:tr>
      <w:tr w14:paraId="0921A3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02" w:hRule="atLeast"/>
          <w:jc w:val="center"/>
        </w:trPr>
        <w:tc>
          <w:tcPr>
            <w:tcW w:w="541" w:type="dxa"/>
            <w:tcBorders>
              <w:top w:val="single" w:color="auto" w:sz="4" w:space="0"/>
              <w:left w:val="single" w:color="auto" w:sz="4" w:space="0"/>
              <w:bottom w:val="single" w:color="auto" w:sz="4" w:space="0"/>
              <w:right w:val="single" w:color="auto" w:sz="4" w:space="0"/>
            </w:tcBorders>
            <w:vAlign w:val="center"/>
          </w:tcPr>
          <w:p w14:paraId="56B7EBAE">
            <w:pPr>
              <w:rPr>
                <w:rFonts w:ascii="宋体" w:hAnsi="宋体" w:cs="宋体"/>
                <w:color w:val="auto"/>
                <w:sz w:val="24"/>
                <w:highlight w:val="none"/>
              </w:rPr>
            </w:pPr>
            <w:r>
              <w:rPr>
                <w:rFonts w:hint="eastAsia" w:ascii="宋体" w:hAnsi="宋体" w:cs="宋体"/>
                <w:color w:val="auto"/>
                <w:sz w:val="24"/>
                <w:highlight w:val="none"/>
              </w:rPr>
              <w:t>4</w:t>
            </w:r>
          </w:p>
        </w:tc>
        <w:tc>
          <w:tcPr>
            <w:tcW w:w="1180" w:type="dxa"/>
            <w:tcBorders>
              <w:top w:val="single" w:color="auto" w:sz="4" w:space="0"/>
              <w:left w:val="single" w:color="auto" w:sz="4" w:space="0"/>
              <w:bottom w:val="single" w:color="auto" w:sz="4" w:space="0"/>
              <w:right w:val="single" w:color="auto" w:sz="4" w:space="0"/>
            </w:tcBorders>
            <w:vAlign w:val="center"/>
          </w:tcPr>
          <w:p w14:paraId="03CAE828">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公寓椅</w:t>
            </w:r>
          </w:p>
        </w:tc>
        <w:tc>
          <w:tcPr>
            <w:tcW w:w="810" w:type="dxa"/>
            <w:tcBorders>
              <w:top w:val="single" w:color="auto" w:sz="4" w:space="0"/>
              <w:left w:val="single" w:color="auto" w:sz="4" w:space="0"/>
              <w:bottom w:val="single" w:color="auto" w:sz="4" w:space="0"/>
              <w:right w:val="single" w:color="auto" w:sz="4" w:space="0"/>
            </w:tcBorders>
            <w:vAlign w:val="center"/>
          </w:tcPr>
          <w:p w14:paraId="7C79C8B0">
            <w:pPr>
              <w:widowControl/>
              <w:jc w:val="center"/>
              <w:textAlignment w:val="center"/>
              <w:rPr>
                <w:rFonts w:ascii="宋体" w:hAnsi="宋体" w:cs="宋体"/>
                <w:color w:val="auto"/>
                <w:sz w:val="24"/>
                <w:highlight w:val="none"/>
              </w:rPr>
            </w:pPr>
            <w:r>
              <w:rPr>
                <w:rFonts w:hint="eastAsia" w:ascii="宋体" w:hAnsi="宋体" w:cs="宋体"/>
                <w:color w:val="auto"/>
                <w:sz w:val="24"/>
                <w:highlight w:val="none"/>
              </w:rPr>
              <w:t>596</w:t>
            </w:r>
          </w:p>
        </w:tc>
        <w:tc>
          <w:tcPr>
            <w:tcW w:w="850" w:type="dxa"/>
            <w:tcBorders>
              <w:top w:val="single" w:color="auto" w:sz="4" w:space="0"/>
              <w:left w:val="single" w:color="auto" w:sz="4" w:space="0"/>
              <w:bottom w:val="single" w:color="auto" w:sz="4" w:space="0"/>
              <w:right w:val="single" w:color="auto" w:sz="4" w:space="0"/>
            </w:tcBorders>
            <w:vAlign w:val="center"/>
          </w:tcPr>
          <w:p w14:paraId="583DA670">
            <w:pPr>
              <w:jc w:val="center"/>
              <w:rPr>
                <w:rFonts w:ascii="宋体" w:hAnsi="宋体" w:cs="宋体"/>
                <w:color w:val="auto"/>
                <w:sz w:val="24"/>
                <w:highlight w:val="none"/>
              </w:rPr>
            </w:pPr>
            <w:r>
              <w:rPr>
                <w:rFonts w:hint="eastAsia" w:ascii="宋体" w:hAnsi="宋体" w:cs="宋体"/>
                <w:color w:val="auto"/>
                <w:sz w:val="24"/>
                <w:highlight w:val="none"/>
              </w:rPr>
              <w:t>张</w:t>
            </w:r>
          </w:p>
        </w:tc>
        <w:tc>
          <w:tcPr>
            <w:tcW w:w="6965" w:type="dxa"/>
            <w:tcBorders>
              <w:top w:val="single" w:color="auto" w:sz="4" w:space="0"/>
              <w:left w:val="single" w:color="auto" w:sz="4" w:space="0"/>
              <w:bottom w:val="single" w:color="auto" w:sz="4" w:space="0"/>
              <w:right w:val="single" w:color="auto" w:sz="4" w:space="0"/>
            </w:tcBorders>
            <w:shd w:val="clear" w:color="auto" w:fill="auto"/>
            <w:vAlign w:val="center"/>
          </w:tcPr>
          <w:p w14:paraId="5723DF7E">
            <w:pPr>
              <w:pStyle w:val="9"/>
              <w:adjustRightInd w:val="0"/>
              <w:snapToGrid w:val="0"/>
              <w:spacing w:line="32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1.规格:≥400L×400D×800H（mm）；颜色：灰白色+浅胡桃色（供货前由采购人确定颜色）。颜色需与采购人提供的标准色板匹配（允许色差ΔE≤3）。</w:t>
            </w:r>
          </w:p>
          <w:p w14:paraId="75D1E99F">
            <w:pPr>
              <w:spacing w:line="320" w:lineRule="exact"/>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2.基材</w:t>
            </w:r>
            <w:r>
              <w:rPr>
                <w:rFonts w:hint="eastAsia" w:asciiTheme="minorEastAsia" w:hAnsiTheme="minorEastAsia" w:eastAsiaTheme="minorEastAsia" w:cstheme="minorEastAsia"/>
                <w:bCs/>
                <w:color w:val="auto"/>
                <w:sz w:val="24"/>
                <w:highlight w:val="none"/>
              </w:rPr>
              <w:t>：选用优质环保E0级及以上“实木多层板”，符合</w:t>
            </w:r>
            <w:r>
              <w:rPr>
                <w:rFonts w:hint="eastAsia" w:asciiTheme="minorEastAsia" w:hAnsiTheme="minorEastAsia" w:eastAsiaTheme="minorEastAsia" w:cstheme="minorEastAsia"/>
                <w:color w:val="auto"/>
                <w:sz w:val="24"/>
                <w:highlight w:val="none"/>
              </w:rPr>
              <w:t>GB/T9846-2015《普通胶合板》</w:t>
            </w:r>
            <w:r>
              <w:rPr>
                <w:rFonts w:hint="eastAsia" w:asciiTheme="minorEastAsia" w:hAnsiTheme="minorEastAsia" w:eastAsiaTheme="minorEastAsia" w:cstheme="minorEastAsia"/>
                <w:bCs/>
                <w:color w:val="auto"/>
                <w:sz w:val="24"/>
                <w:highlight w:val="none"/>
              </w:rPr>
              <w:t>、GB/T39600-2021《人造板及其制品甲醛释放量分级》、HJ571-2010《环境标志产品技术要求人造板及其制品》等标准适用条款的要求，其中含水率5.0%～14.0%；胶合强度≥0.7MPa；浸渍剥离、静曲强度和弹性模量等性能指标均符合标准要求；甲醛释放量GB/T39600-2021E0≤0.050mg/m³；总挥发性有机化合物（TVOC）释放率不得超过0.50mg/m²·h（72h）；</w:t>
            </w:r>
            <w:r>
              <w:rPr>
                <w:rFonts w:hint="eastAsia" w:asciiTheme="minorEastAsia" w:hAnsiTheme="minorEastAsia" w:eastAsiaTheme="minorEastAsia" w:cstheme="minorEastAsia"/>
                <w:color w:val="auto"/>
                <w:sz w:val="24"/>
                <w:highlight w:val="none"/>
              </w:rPr>
              <w:t>座面、靠背厚度≥15mm。面板四周采用一次性注塑封边。</w:t>
            </w:r>
          </w:p>
          <w:p w14:paraId="5135BC08">
            <w:pPr>
              <w:spacing w:line="320" w:lineRule="exact"/>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3.椅脚外形规格为长+宽≥60mm，且长、宽均≥20mm，厚度≥1.2mm，圆形管或对称椭圆管，</w:t>
            </w:r>
            <w:r>
              <w:rPr>
                <w:rFonts w:hint="eastAsia" w:ascii="宋体" w:hAnsi="宋体" w:eastAsia="宋体" w:cs="宋体"/>
                <w:color w:val="auto"/>
                <w:sz w:val="24"/>
                <w:szCs w:val="24"/>
                <w:highlight w:val="none"/>
              </w:rPr>
              <w:t>经预脱脂-脱脂-水洗-酸洗-水洗-中和-表调-磷化-水洗-钝化等十工位表面处理工序，或同等防锈效果的表面处理工艺</w:t>
            </w:r>
            <w:r>
              <w:rPr>
                <w:rFonts w:hint="eastAsia" w:asciiTheme="minorEastAsia" w:hAnsiTheme="minorEastAsia" w:eastAsiaTheme="minorEastAsia" w:cstheme="minorEastAsia"/>
                <w:color w:val="auto"/>
                <w:sz w:val="24"/>
                <w:highlight w:val="none"/>
              </w:rPr>
              <w:t>，表面喷涂优质环保环氧聚酯粉静电喷塑。喷塑外膜的表面光滑平整，色泽均匀，喷塑层无漏喷、起泡、模糊、划痕或碰伤等缺陷，采用粉末涂料符合国家标准。</w:t>
            </w:r>
          </w:p>
        </w:tc>
      </w:tr>
    </w:tbl>
    <w:p w14:paraId="5AEBFB55">
      <w:pPr>
        <w:rPr>
          <w:color w:val="auto"/>
          <w:highlight w:val="none"/>
        </w:rPr>
      </w:pPr>
    </w:p>
    <w:p w14:paraId="37BA1515">
      <w:pPr>
        <w:pStyle w:val="2"/>
        <w:rPr>
          <w:rFonts w:ascii="黑体" w:hAnsi="黑体" w:eastAsia="黑体" w:cs="黑体"/>
          <w:b w:val="0"/>
          <w:bCs w:val="0"/>
          <w:color w:val="auto"/>
          <w:sz w:val="32"/>
          <w:szCs w:val="32"/>
          <w:highlight w:val="none"/>
        </w:rPr>
      </w:pPr>
      <w:bookmarkStart w:id="5" w:name="_Toc26041"/>
      <w:r>
        <w:rPr>
          <w:rFonts w:hint="eastAsia" w:ascii="黑体" w:hAnsi="黑体" w:eastAsia="黑体" w:cs="黑体"/>
          <w:b w:val="0"/>
          <w:bCs w:val="0"/>
          <w:color w:val="auto"/>
          <w:sz w:val="32"/>
          <w:szCs w:val="32"/>
          <w:highlight w:val="none"/>
        </w:rPr>
        <w:t>三、供应商资格条件</w:t>
      </w:r>
      <w:bookmarkEnd w:id="5"/>
    </w:p>
    <w:tbl>
      <w:tblPr>
        <w:tblStyle w:val="20"/>
        <w:tblW w:w="1066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664"/>
      </w:tblGrid>
      <w:tr w14:paraId="1B382A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10664" w:type="dxa"/>
            <w:tcBorders>
              <w:top w:val="single" w:color="auto" w:sz="4" w:space="0"/>
              <w:left w:val="single" w:color="auto" w:sz="4" w:space="0"/>
              <w:bottom w:val="single" w:color="auto" w:sz="4" w:space="0"/>
              <w:right w:val="single" w:color="auto" w:sz="4" w:space="0"/>
            </w:tcBorders>
            <w:vAlign w:val="center"/>
          </w:tcPr>
          <w:p w14:paraId="74C0375F">
            <w:pPr>
              <w:pStyle w:val="13"/>
              <w:ind w:firstLine="0" w:firstLineChars="0"/>
              <w:rPr>
                <w:rFonts w:ascii="宋体" w:eastAsia="宋体" w:cs="宋体"/>
                <w:b/>
                <w:caps w:val="0"/>
                <w:color w:val="auto"/>
                <w:sz w:val="24"/>
                <w:szCs w:val="24"/>
                <w:highlight w:val="none"/>
              </w:rPr>
            </w:pPr>
            <w:r>
              <w:rPr>
                <w:rFonts w:hint="eastAsia" w:ascii="宋体" w:eastAsia="宋体" w:cs="宋体"/>
                <w:b/>
                <w:caps w:val="0"/>
                <w:color w:val="auto"/>
                <w:sz w:val="24"/>
                <w:szCs w:val="24"/>
                <w:highlight w:val="none"/>
              </w:rPr>
              <w:t>供应商资质审核</w:t>
            </w:r>
          </w:p>
        </w:tc>
      </w:tr>
      <w:tr w14:paraId="31822B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10664" w:type="dxa"/>
            <w:tcBorders>
              <w:top w:val="single" w:color="auto" w:sz="4" w:space="0"/>
              <w:left w:val="single" w:color="auto" w:sz="4" w:space="0"/>
              <w:bottom w:val="single" w:color="auto" w:sz="4" w:space="0"/>
              <w:right w:val="single" w:color="auto" w:sz="4" w:space="0"/>
            </w:tcBorders>
            <w:vAlign w:val="center"/>
          </w:tcPr>
          <w:p w14:paraId="1DFE8A0E">
            <w:pPr>
              <w:wordWrap w:val="0"/>
              <w:topLinePunct/>
              <w:snapToGrid w:val="0"/>
              <w:rPr>
                <w:rFonts w:ascii="宋体" w:hAnsi="宋体" w:cs="宋体"/>
                <w:color w:val="auto"/>
                <w:sz w:val="24"/>
                <w:highlight w:val="none"/>
              </w:rPr>
            </w:pPr>
            <w:r>
              <w:rPr>
                <w:rFonts w:hint="eastAsia" w:ascii="宋体" w:hAnsi="宋体" w:cs="宋体"/>
                <w:color w:val="auto"/>
                <w:sz w:val="24"/>
                <w:highlight w:val="none"/>
              </w:rPr>
              <w:t>1、符合《中华人民共和国政府采购法》第二十二条规定的投标人。</w:t>
            </w:r>
          </w:p>
          <w:p w14:paraId="472C371C">
            <w:pPr>
              <w:wordWrap w:val="0"/>
              <w:topLinePunct/>
              <w:snapToGrid w:val="0"/>
              <w:rPr>
                <w:rFonts w:ascii="宋体" w:hAnsi="宋体" w:cs="宋体"/>
                <w:color w:val="auto"/>
                <w:sz w:val="24"/>
                <w:highlight w:val="none"/>
              </w:rPr>
            </w:pPr>
            <w:r>
              <w:rPr>
                <w:rFonts w:hint="eastAsia" w:ascii="宋体" w:hAnsi="宋体" w:cs="宋体"/>
                <w:color w:val="auto"/>
                <w:sz w:val="24"/>
                <w:highlight w:val="none"/>
              </w:rPr>
              <w:t>2、被列入失信被执行人、重大税收违法案件当事人名单、政府采购严重违法失信行为记录名单及其他不符合《中华人民共和国政府采购法》第二十二条规定条件的供应商，将被拒绝其参与本次政府采购活动。供应商可在“信用中国”网站（www.creditchina.gov.cn）、中国政府采购网（www.ccgp.gov.cn）查询相关供应商主体信用记录。</w:t>
            </w:r>
          </w:p>
          <w:p w14:paraId="48CA2E9D">
            <w:pPr>
              <w:wordWrap w:val="0"/>
              <w:topLinePunct/>
              <w:snapToGrid w:val="0"/>
              <w:rPr>
                <w:rFonts w:ascii="宋体" w:cs="宋体"/>
                <w:b/>
                <w:color w:val="auto"/>
                <w:sz w:val="24"/>
                <w:highlight w:val="none"/>
              </w:rPr>
            </w:pPr>
            <w:r>
              <w:rPr>
                <w:rFonts w:hint="eastAsia" w:ascii="宋体" w:hAnsi="宋体" w:cs="宋体"/>
                <w:color w:val="auto"/>
                <w:sz w:val="24"/>
                <w:highlight w:val="none"/>
              </w:rPr>
              <w:t>3、本项目不接受联合体投标。</w:t>
            </w:r>
          </w:p>
        </w:tc>
      </w:tr>
    </w:tbl>
    <w:p w14:paraId="38382FC0">
      <w:pPr>
        <w:pStyle w:val="2"/>
        <w:rPr>
          <w:color w:val="auto"/>
          <w:highlight w:val="none"/>
        </w:rPr>
      </w:pPr>
      <w:bookmarkStart w:id="6" w:name="_Toc29160"/>
      <w:r>
        <w:rPr>
          <w:rFonts w:hint="eastAsia" w:ascii="黑体" w:hAnsi="黑体" w:eastAsia="黑体" w:cs="黑体"/>
          <w:b w:val="0"/>
          <w:bCs w:val="0"/>
          <w:color w:val="auto"/>
          <w:sz w:val="32"/>
          <w:szCs w:val="32"/>
          <w:highlight w:val="none"/>
        </w:rPr>
        <w:t>四、商务及其他要求</w:t>
      </w:r>
      <w:bookmarkEnd w:id="6"/>
      <w:bookmarkStart w:id="7" w:name="_Toc20913"/>
      <w:bookmarkEnd w:id="7"/>
    </w:p>
    <w:tbl>
      <w:tblPr>
        <w:tblStyle w:val="20"/>
        <w:tblW w:w="1066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54"/>
        <w:gridCol w:w="9910"/>
      </w:tblGrid>
      <w:tr w14:paraId="115CA9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754" w:type="dxa"/>
            <w:tcBorders>
              <w:top w:val="single" w:color="auto" w:sz="4" w:space="0"/>
              <w:left w:val="single" w:color="auto" w:sz="4" w:space="0"/>
              <w:bottom w:val="single" w:color="auto" w:sz="4" w:space="0"/>
              <w:right w:val="single" w:color="auto" w:sz="4" w:space="0"/>
            </w:tcBorders>
            <w:vAlign w:val="center"/>
          </w:tcPr>
          <w:p w14:paraId="0F7ADF69">
            <w:pPr>
              <w:jc w:val="center"/>
              <w:rPr>
                <w:rFonts w:ascii="宋体" w:hAnsi="宋体" w:cs="宋体"/>
                <w:b/>
                <w:color w:val="auto"/>
                <w:sz w:val="24"/>
                <w:highlight w:val="none"/>
              </w:rPr>
            </w:pPr>
            <w:r>
              <w:rPr>
                <w:rFonts w:hint="eastAsia" w:ascii="宋体" w:hAnsi="宋体" w:cs="宋体"/>
                <w:color w:val="auto"/>
                <w:sz w:val="24"/>
                <w:highlight w:val="none"/>
              </w:rPr>
              <w:t>核心产品</w:t>
            </w:r>
          </w:p>
        </w:tc>
        <w:tc>
          <w:tcPr>
            <w:tcW w:w="9910" w:type="dxa"/>
            <w:tcBorders>
              <w:top w:val="single" w:color="auto" w:sz="4" w:space="0"/>
              <w:left w:val="single" w:color="auto" w:sz="4" w:space="0"/>
              <w:bottom w:val="single" w:color="auto" w:sz="4" w:space="0"/>
              <w:right w:val="single" w:color="auto" w:sz="4" w:space="0"/>
            </w:tcBorders>
            <w:vAlign w:val="center"/>
          </w:tcPr>
          <w:p w14:paraId="7870568F">
            <w:pPr>
              <w:wordWrap w:val="0"/>
              <w:topLinePunct/>
              <w:snapToGrid w:val="0"/>
              <w:rPr>
                <w:rFonts w:ascii="宋体" w:hAnsi="宋体" w:cs="宋体"/>
                <w:color w:val="auto"/>
                <w:sz w:val="24"/>
                <w:highlight w:val="none"/>
              </w:rPr>
            </w:pPr>
            <w:r>
              <w:rPr>
                <w:rFonts w:hint="eastAsia" w:ascii="宋体" w:hAnsi="宋体" w:cs="宋体"/>
                <w:color w:val="auto"/>
                <w:sz w:val="24"/>
                <w:highlight w:val="none"/>
              </w:rPr>
              <w:t>本项目核心产品为：项号1“三连体（三人位）组合公寓床”为本项目核心产品（核心产品品牌相同的，视为提供同品牌产品）</w:t>
            </w:r>
          </w:p>
        </w:tc>
      </w:tr>
      <w:tr w14:paraId="0EAB13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408" w:hRule="atLeast"/>
          <w:jc w:val="center"/>
        </w:trPr>
        <w:tc>
          <w:tcPr>
            <w:tcW w:w="754" w:type="dxa"/>
            <w:tcBorders>
              <w:top w:val="single" w:color="auto" w:sz="4" w:space="0"/>
              <w:left w:val="single" w:color="auto" w:sz="4" w:space="0"/>
              <w:bottom w:val="single" w:color="auto" w:sz="4" w:space="0"/>
              <w:right w:val="single" w:color="auto" w:sz="4" w:space="0"/>
            </w:tcBorders>
            <w:vAlign w:val="center"/>
          </w:tcPr>
          <w:p w14:paraId="2D60448C">
            <w:pPr>
              <w:jc w:val="center"/>
              <w:rPr>
                <w:rFonts w:ascii="宋体" w:hAnsi="宋体" w:cs="宋体"/>
                <w:color w:val="auto"/>
                <w:sz w:val="24"/>
                <w:highlight w:val="none"/>
              </w:rPr>
            </w:pPr>
            <w:r>
              <w:rPr>
                <w:rFonts w:hint="eastAsia" w:ascii="宋体" w:hAnsi="宋体" w:cs="宋体"/>
                <w:color w:val="auto"/>
                <w:sz w:val="24"/>
                <w:highlight w:val="none"/>
              </w:rPr>
              <w:t>投标报价</w:t>
            </w:r>
          </w:p>
        </w:tc>
        <w:tc>
          <w:tcPr>
            <w:tcW w:w="9910" w:type="dxa"/>
            <w:tcBorders>
              <w:top w:val="single" w:color="auto" w:sz="4" w:space="0"/>
              <w:left w:val="single" w:color="auto" w:sz="4" w:space="0"/>
              <w:bottom w:val="single" w:color="auto" w:sz="4" w:space="0"/>
              <w:right w:val="single" w:color="auto" w:sz="4" w:space="0"/>
            </w:tcBorders>
            <w:vAlign w:val="center"/>
          </w:tcPr>
          <w:p w14:paraId="18998125">
            <w:pPr>
              <w:wordWrap w:val="0"/>
              <w:topLinePunct/>
              <w:snapToGrid w:val="0"/>
              <w:rPr>
                <w:rFonts w:ascii="宋体" w:hAnsi="宋体" w:cs="宋体"/>
                <w:color w:val="auto"/>
                <w:sz w:val="24"/>
                <w:highlight w:val="none"/>
              </w:rPr>
            </w:pPr>
            <w:r>
              <w:rPr>
                <w:rFonts w:hint="eastAsia" w:ascii="宋体" w:hAnsi="宋体" w:cs="宋体"/>
                <w:color w:val="auto"/>
                <w:sz w:val="24"/>
                <w:highlight w:val="none"/>
              </w:rPr>
              <w:t>投标报价为采购人指定地点的现场交货价，包括：</w:t>
            </w:r>
          </w:p>
          <w:p w14:paraId="5FA78287">
            <w:pPr>
              <w:wordWrap w:val="0"/>
              <w:topLinePunct/>
              <w:snapToGrid w:val="0"/>
              <w:rPr>
                <w:rFonts w:ascii="宋体" w:hAnsi="宋体" w:cs="宋体"/>
                <w:color w:val="auto"/>
                <w:sz w:val="24"/>
                <w:highlight w:val="none"/>
              </w:rPr>
            </w:pPr>
            <w:r>
              <w:rPr>
                <w:rFonts w:hint="eastAsia" w:ascii="宋体" w:hAnsi="宋体" w:cs="宋体"/>
                <w:color w:val="auto"/>
                <w:sz w:val="24"/>
                <w:highlight w:val="none"/>
              </w:rPr>
              <w:t>1.货物的价格：包括货款、零配件、安装调试费、验收费；</w:t>
            </w:r>
          </w:p>
          <w:p w14:paraId="2D5BB676">
            <w:pPr>
              <w:wordWrap w:val="0"/>
              <w:topLinePunct/>
              <w:snapToGrid w:val="0"/>
              <w:rPr>
                <w:rFonts w:ascii="宋体" w:hAnsi="宋体" w:cs="宋体"/>
                <w:color w:val="auto"/>
                <w:sz w:val="24"/>
                <w:highlight w:val="none"/>
              </w:rPr>
            </w:pPr>
            <w:r>
              <w:rPr>
                <w:rFonts w:hint="eastAsia" w:ascii="宋体" w:hAnsi="宋体" w:cs="宋体"/>
                <w:color w:val="auto"/>
                <w:sz w:val="24"/>
                <w:highlight w:val="none"/>
              </w:rPr>
              <w:t>2.货物的标准附件、备品备件、专用工具的价格；</w:t>
            </w:r>
          </w:p>
          <w:p w14:paraId="0FE37D5C">
            <w:pPr>
              <w:wordWrap w:val="0"/>
              <w:topLinePunct/>
              <w:snapToGrid w:val="0"/>
              <w:rPr>
                <w:rFonts w:ascii="宋体" w:hAnsi="宋体" w:cs="宋体"/>
                <w:color w:val="auto"/>
                <w:sz w:val="24"/>
                <w:highlight w:val="none"/>
              </w:rPr>
            </w:pPr>
            <w:r>
              <w:rPr>
                <w:rFonts w:hint="eastAsia" w:ascii="宋体" w:hAnsi="宋体" w:cs="宋体"/>
                <w:color w:val="auto"/>
                <w:sz w:val="24"/>
                <w:highlight w:val="none"/>
              </w:rPr>
              <w:t>3.运输、拆、装卸、调试、培训、技术支持、售后服务费；</w:t>
            </w:r>
          </w:p>
          <w:p w14:paraId="15240F3F">
            <w:pPr>
              <w:wordWrap w:val="0"/>
              <w:topLinePunct/>
              <w:snapToGrid w:val="0"/>
              <w:rPr>
                <w:rFonts w:ascii="宋体" w:hAnsi="宋体" w:cs="宋体"/>
                <w:color w:val="auto"/>
                <w:sz w:val="24"/>
                <w:highlight w:val="none"/>
              </w:rPr>
            </w:pPr>
            <w:r>
              <w:rPr>
                <w:rFonts w:hint="eastAsia" w:ascii="宋体" w:hAnsi="宋体" w:cs="宋体"/>
                <w:color w:val="auto"/>
                <w:sz w:val="24"/>
                <w:highlight w:val="none"/>
              </w:rPr>
              <w:t>4.按采购人要求进行摆放的费用。</w:t>
            </w:r>
          </w:p>
          <w:p w14:paraId="2E0AA95D">
            <w:pPr>
              <w:wordWrap w:val="0"/>
              <w:topLinePunct/>
              <w:snapToGrid w:val="0"/>
              <w:rPr>
                <w:rFonts w:ascii="宋体" w:hAnsi="宋体" w:cs="宋体"/>
                <w:color w:val="auto"/>
                <w:sz w:val="24"/>
                <w:highlight w:val="none"/>
              </w:rPr>
            </w:pPr>
            <w:r>
              <w:rPr>
                <w:rFonts w:hint="eastAsia" w:ascii="宋体" w:hAnsi="宋体" w:cs="宋体"/>
                <w:color w:val="auto"/>
                <w:sz w:val="24"/>
                <w:highlight w:val="none"/>
              </w:rPr>
              <w:t>注：投标人自行考虑完成项目所需的辅材、零配件等数量，投标报价中应包含全部货物报价及服务报价，中标后采购人不再另行支付额外费用。</w:t>
            </w:r>
          </w:p>
        </w:tc>
      </w:tr>
      <w:tr w14:paraId="6AEF97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45" w:hRule="atLeast"/>
          <w:jc w:val="center"/>
        </w:trPr>
        <w:tc>
          <w:tcPr>
            <w:tcW w:w="754" w:type="dxa"/>
            <w:tcBorders>
              <w:top w:val="single" w:color="auto" w:sz="4" w:space="0"/>
              <w:left w:val="single" w:color="auto" w:sz="4" w:space="0"/>
              <w:bottom w:val="single" w:color="auto" w:sz="4" w:space="0"/>
              <w:right w:val="single" w:color="auto" w:sz="4" w:space="0"/>
            </w:tcBorders>
            <w:vAlign w:val="center"/>
          </w:tcPr>
          <w:p w14:paraId="47E11EB2">
            <w:pPr>
              <w:widowControl/>
              <w:wordWrap w:val="0"/>
              <w:jc w:val="center"/>
              <w:textAlignment w:val="center"/>
              <w:rPr>
                <w:rFonts w:ascii="宋体" w:hAnsi="宋体" w:cs="宋体"/>
                <w:color w:val="auto"/>
                <w:sz w:val="24"/>
                <w:highlight w:val="none"/>
              </w:rPr>
            </w:pPr>
            <w:r>
              <w:rPr>
                <w:rFonts w:hint="eastAsia" w:ascii="宋体" w:hAnsi="宋体" w:cs="宋体"/>
                <w:color w:val="auto"/>
                <w:sz w:val="24"/>
                <w:highlight w:val="none"/>
              </w:rPr>
              <w:t>合同签订时间</w:t>
            </w:r>
          </w:p>
        </w:tc>
        <w:tc>
          <w:tcPr>
            <w:tcW w:w="9910" w:type="dxa"/>
            <w:tcBorders>
              <w:top w:val="single" w:color="auto" w:sz="4" w:space="0"/>
              <w:left w:val="single" w:color="auto" w:sz="4" w:space="0"/>
              <w:bottom w:val="single" w:color="auto" w:sz="4" w:space="0"/>
              <w:right w:val="single" w:color="auto" w:sz="4" w:space="0"/>
            </w:tcBorders>
            <w:vAlign w:val="center"/>
          </w:tcPr>
          <w:p w14:paraId="3E231905">
            <w:pPr>
              <w:wordWrap w:val="0"/>
              <w:topLinePunct/>
              <w:snapToGrid w:val="0"/>
              <w:rPr>
                <w:rFonts w:ascii="宋体" w:hAnsi="宋体" w:cs="宋体"/>
                <w:color w:val="auto"/>
                <w:sz w:val="24"/>
                <w:highlight w:val="none"/>
              </w:rPr>
            </w:pPr>
            <w:r>
              <w:rPr>
                <w:rFonts w:hint="eastAsia" w:ascii="宋体" w:hAnsi="宋体" w:cs="宋体"/>
                <w:bCs/>
                <w:color w:val="auto"/>
                <w:sz w:val="24"/>
                <w:highlight w:val="none"/>
              </w:rPr>
              <w:t>自中标通知书发出之日起</w:t>
            </w:r>
            <w:r>
              <w:rPr>
                <w:rFonts w:hint="eastAsia" w:ascii="宋体" w:hAnsi="宋体" w:cs="宋体"/>
                <w:bCs/>
                <w:color w:val="auto"/>
                <w:sz w:val="24"/>
                <w:highlight w:val="none"/>
                <w:u w:val="single"/>
              </w:rPr>
              <w:t>10</w:t>
            </w:r>
            <w:r>
              <w:rPr>
                <w:rFonts w:hint="eastAsia" w:ascii="宋体" w:hAnsi="宋体" w:cs="宋体"/>
                <w:bCs/>
                <w:color w:val="auto"/>
                <w:sz w:val="24"/>
                <w:highlight w:val="none"/>
              </w:rPr>
              <w:t>个日历日内签订采购合同。</w:t>
            </w:r>
          </w:p>
        </w:tc>
      </w:tr>
      <w:tr w14:paraId="58CC83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79" w:hRule="atLeast"/>
          <w:jc w:val="center"/>
        </w:trPr>
        <w:tc>
          <w:tcPr>
            <w:tcW w:w="754" w:type="dxa"/>
            <w:tcBorders>
              <w:top w:val="single" w:color="auto" w:sz="4" w:space="0"/>
              <w:left w:val="single" w:color="auto" w:sz="4" w:space="0"/>
              <w:bottom w:val="single" w:color="auto" w:sz="4" w:space="0"/>
              <w:right w:val="single" w:color="auto" w:sz="4" w:space="0"/>
            </w:tcBorders>
            <w:vAlign w:val="center"/>
          </w:tcPr>
          <w:p w14:paraId="4367DD23">
            <w:pPr>
              <w:widowControl/>
              <w:wordWrap w:val="0"/>
              <w:jc w:val="center"/>
              <w:textAlignment w:val="center"/>
              <w:rPr>
                <w:rFonts w:ascii="宋体" w:hAnsi="宋体" w:cs="宋体"/>
                <w:color w:val="auto"/>
                <w:sz w:val="24"/>
                <w:highlight w:val="none"/>
              </w:rPr>
            </w:pPr>
            <w:r>
              <w:rPr>
                <w:rFonts w:hint="eastAsia" w:ascii="宋体" w:hAnsi="宋体" w:cs="宋体"/>
                <w:color w:val="auto"/>
                <w:sz w:val="24"/>
                <w:highlight w:val="none"/>
              </w:rPr>
              <w:t>交货时间及地点</w:t>
            </w:r>
          </w:p>
        </w:tc>
        <w:tc>
          <w:tcPr>
            <w:tcW w:w="9910" w:type="dxa"/>
            <w:tcBorders>
              <w:top w:val="single" w:color="auto" w:sz="4" w:space="0"/>
              <w:left w:val="single" w:color="auto" w:sz="4" w:space="0"/>
              <w:bottom w:val="single" w:color="auto" w:sz="4" w:space="0"/>
              <w:right w:val="single" w:color="auto" w:sz="4" w:space="0"/>
            </w:tcBorders>
            <w:vAlign w:val="center"/>
          </w:tcPr>
          <w:p w14:paraId="75E2CA06">
            <w:pPr>
              <w:numPr>
                <w:ilvl w:val="0"/>
                <w:numId w:val="0"/>
              </w:numPr>
              <w:wordWrap w:val="0"/>
              <w:topLinePunct/>
              <w:snapToGrid w:val="0"/>
              <w:rPr>
                <w:rFonts w:ascii="宋体" w:hAnsi="宋体" w:cs="宋体" w:eastAsiaTheme="minorEastAsia"/>
                <w:color w:val="auto"/>
                <w:sz w:val="24"/>
                <w:highlight w:val="none"/>
              </w:rPr>
            </w:pPr>
            <w:r>
              <w:rPr>
                <w:rFonts w:hint="eastAsia" w:ascii="宋体" w:hAnsi="宋体" w:cs="宋体" w:eastAsiaTheme="minorEastAsia"/>
                <w:color w:val="auto"/>
                <w:sz w:val="24"/>
                <w:highlight w:val="none"/>
                <w:lang w:val="en-US" w:eastAsia="zh-CN"/>
              </w:rPr>
              <w:t>1.</w:t>
            </w:r>
            <w:r>
              <w:rPr>
                <w:rFonts w:hint="eastAsia" w:ascii="宋体" w:hAnsi="宋体" w:cs="宋体" w:eastAsiaTheme="minorEastAsia"/>
                <w:color w:val="auto"/>
                <w:sz w:val="24"/>
                <w:highlight w:val="none"/>
              </w:rPr>
              <w:t>交付使用时间：自合同签订生效之日起30日内交货并安装调试完毕。</w:t>
            </w:r>
          </w:p>
          <w:p w14:paraId="7FD6C560">
            <w:pPr>
              <w:numPr>
                <w:ilvl w:val="0"/>
                <w:numId w:val="0"/>
              </w:numPr>
              <w:wordWrap w:val="0"/>
              <w:topLinePunct/>
              <w:snapToGrid w:val="0"/>
              <w:rPr>
                <w:rFonts w:ascii="宋体" w:hAnsi="宋体" w:cs="宋体"/>
                <w:bCs/>
                <w:color w:val="auto"/>
                <w:sz w:val="24"/>
                <w:highlight w:val="none"/>
              </w:rPr>
            </w:pPr>
            <w:r>
              <w:rPr>
                <w:rFonts w:hint="eastAsia" w:ascii="宋体" w:hAnsi="宋体" w:cs="宋体"/>
                <w:bCs/>
                <w:color w:val="auto"/>
                <w:sz w:val="24"/>
                <w:highlight w:val="none"/>
                <w:lang w:val="en-US" w:eastAsia="zh-CN"/>
              </w:rPr>
              <w:t>2.</w:t>
            </w:r>
            <w:r>
              <w:rPr>
                <w:rFonts w:hint="eastAsia" w:ascii="宋体" w:hAnsi="宋体" w:cs="宋体"/>
                <w:bCs/>
                <w:color w:val="auto"/>
                <w:sz w:val="24"/>
                <w:highlight w:val="none"/>
              </w:rPr>
              <w:t>在交付安装期间，采购人随机抽取每种产品1-2套</w:t>
            </w:r>
            <w:r>
              <w:rPr>
                <w:rFonts w:hint="eastAsia" w:ascii="宋体" w:hAnsi="宋体" w:cs="宋体"/>
                <w:color w:val="auto"/>
                <w:sz w:val="24"/>
                <w:highlight w:val="none"/>
              </w:rPr>
              <w:t>聘请有资质的第三方检测机构</w:t>
            </w:r>
            <w:r>
              <w:rPr>
                <w:rFonts w:hint="eastAsia" w:ascii="宋体" w:hAnsi="宋体" w:cs="宋体"/>
                <w:bCs/>
                <w:color w:val="auto"/>
                <w:sz w:val="24"/>
                <w:highlight w:val="none"/>
              </w:rPr>
              <w:t>进行检验，</w:t>
            </w:r>
            <w:r>
              <w:rPr>
                <w:rFonts w:hint="eastAsia" w:ascii="宋体" w:hAnsi="宋体" w:cs="宋体" w:eastAsiaTheme="minorEastAsia"/>
                <w:color w:val="auto"/>
                <w:sz w:val="24"/>
                <w:highlight w:val="none"/>
              </w:rPr>
              <w:t>检验有可能产生破坏性检测，</w:t>
            </w:r>
            <w:r>
              <w:rPr>
                <w:rFonts w:hint="eastAsia" w:ascii="宋体" w:hAnsi="宋体" w:cs="宋体"/>
                <w:color w:val="auto"/>
                <w:sz w:val="24"/>
                <w:highlight w:val="none"/>
              </w:rPr>
              <w:t>检测费用由中标供应商负责。</w:t>
            </w:r>
            <w:r>
              <w:rPr>
                <w:rFonts w:hint="eastAsia" w:ascii="宋体" w:hAnsi="宋体" w:cs="宋体" w:eastAsiaTheme="minorEastAsia"/>
                <w:color w:val="auto"/>
                <w:sz w:val="24"/>
                <w:highlight w:val="none"/>
              </w:rPr>
              <w:t>检验完后该产品封存，作为最终验收时参考标准。</w:t>
            </w:r>
            <w:r>
              <w:rPr>
                <w:rFonts w:hint="eastAsia" w:ascii="宋体" w:hAnsi="宋体" w:cs="宋体"/>
                <w:bCs/>
                <w:color w:val="auto"/>
                <w:sz w:val="24"/>
                <w:highlight w:val="none"/>
              </w:rPr>
              <w:t>如此次检验或最终验收不合格的，视为中标人违约，采购人有权单方面取消合同，并按相关规定扣除所有的履约保证金，并报政府采购监督管理部门依法追究违约责任。</w:t>
            </w:r>
          </w:p>
          <w:p w14:paraId="737D2DB9">
            <w:pPr>
              <w:numPr>
                <w:ilvl w:val="0"/>
                <w:numId w:val="0"/>
              </w:numPr>
              <w:wordWrap w:val="0"/>
              <w:topLinePunct/>
              <w:snapToGrid w:val="0"/>
              <w:rPr>
                <w:rFonts w:ascii="宋体" w:hAnsi="宋体" w:cs="宋体" w:eastAsiaTheme="minorEastAsia"/>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交货地点：</w:t>
            </w:r>
            <w:r>
              <w:rPr>
                <w:rFonts w:hint="eastAsia" w:ascii="宋体" w:hAnsi="宋体" w:cs="宋体"/>
                <w:color w:val="auto"/>
                <w:kern w:val="0"/>
                <w:sz w:val="24"/>
                <w:highlight w:val="none"/>
              </w:rPr>
              <w:t>广西财经学院武鸣校</w:t>
            </w:r>
            <w:r>
              <w:rPr>
                <w:rFonts w:hint="eastAsia" w:ascii="宋体" w:hAnsi="宋体" w:cs="宋体" w:eastAsiaTheme="minorEastAsia"/>
                <w:color w:val="auto"/>
                <w:sz w:val="24"/>
                <w:highlight w:val="none"/>
              </w:rPr>
              <w:t>区。</w:t>
            </w:r>
            <w:r>
              <w:rPr>
                <w:rFonts w:hint="eastAsia" w:ascii="宋体" w:hAnsi="宋体" w:cs="宋体" w:eastAsiaTheme="minorEastAsia"/>
                <w:color w:val="auto"/>
                <w:sz w:val="24"/>
                <w:highlight w:val="none"/>
              </w:rPr>
              <w:br w:type="textWrapping"/>
            </w:r>
            <w:r>
              <w:rPr>
                <w:rFonts w:hint="eastAsia" w:ascii="宋体" w:hAnsi="宋体" w:cs="宋体" w:eastAsiaTheme="minorEastAsia"/>
                <w:color w:val="auto"/>
                <w:sz w:val="24"/>
                <w:highlight w:val="none"/>
              </w:rPr>
              <w:t>4.交货方式：现场交货，安装由中标供应商负责（包括配件、工具、人员及费用），学校仅提供场地配合。安装完成后需通过承重测试、环保（如甲醛含量等）检测、稳定性检查等现场验收，因验收不通过造成的损失由供应商承担。</w:t>
            </w:r>
          </w:p>
          <w:p w14:paraId="3C91163F">
            <w:pPr>
              <w:wordWrap w:val="0"/>
              <w:topLinePunct/>
              <w:snapToGrid w:val="0"/>
              <w:rPr>
                <w:color w:val="auto"/>
                <w:highlight w:val="none"/>
              </w:rPr>
            </w:pPr>
            <w:r>
              <w:rPr>
                <w:rFonts w:hint="eastAsia" w:ascii="宋体" w:hAnsi="宋体" w:cs="宋体" w:eastAsiaTheme="minorEastAsia"/>
                <w:color w:val="auto"/>
                <w:sz w:val="24"/>
                <w:highlight w:val="none"/>
              </w:rPr>
              <w:t>5.此项目为紧急项目，</w:t>
            </w:r>
            <w:r>
              <w:rPr>
                <w:rFonts w:ascii="宋体" w:hAnsi="宋体" w:cs="宋体" w:eastAsiaTheme="minorEastAsia"/>
                <w:color w:val="auto"/>
                <w:sz w:val="24"/>
                <w:highlight w:val="none"/>
              </w:rPr>
              <w:t>首批交付家具数量达到</w:t>
            </w:r>
            <w:r>
              <w:rPr>
                <w:rFonts w:hint="eastAsia" w:ascii="宋体" w:hAnsi="宋体" w:cs="宋体" w:eastAsiaTheme="minorEastAsia"/>
                <w:color w:val="auto"/>
                <w:sz w:val="24"/>
                <w:highlight w:val="none"/>
              </w:rPr>
              <w:t>合同约定</w:t>
            </w:r>
            <w:r>
              <w:rPr>
                <w:rFonts w:ascii="宋体" w:hAnsi="宋体" w:cs="宋体" w:eastAsiaTheme="minorEastAsia"/>
                <w:color w:val="auto"/>
                <w:sz w:val="24"/>
                <w:highlight w:val="none"/>
              </w:rPr>
              <w:t>总量的50%</w:t>
            </w:r>
            <w:r>
              <w:rPr>
                <w:rFonts w:hint="eastAsia" w:ascii="宋体" w:hAnsi="宋体" w:cs="宋体" w:eastAsiaTheme="minorEastAsia"/>
                <w:color w:val="auto"/>
                <w:sz w:val="24"/>
                <w:highlight w:val="none"/>
              </w:rPr>
              <w:t>。并且，中标供应商必须保证自合同签订生效之日起30日内100%交货并安装调试完毕，否则，将承担相关违约责任。</w:t>
            </w:r>
          </w:p>
        </w:tc>
      </w:tr>
      <w:tr w14:paraId="504AA6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11" w:hRule="atLeast"/>
          <w:jc w:val="center"/>
        </w:trPr>
        <w:tc>
          <w:tcPr>
            <w:tcW w:w="754" w:type="dxa"/>
            <w:tcBorders>
              <w:top w:val="single" w:color="auto" w:sz="4" w:space="0"/>
              <w:left w:val="single" w:color="auto" w:sz="4" w:space="0"/>
              <w:bottom w:val="single" w:color="auto" w:sz="4" w:space="0"/>
              <w:right w:val="single" w:color="auto" w:sz="4" w:space="0"/>
            </w:tcBorders>
            <w:vAlign w:val="center"/>
          </w:tcPr>
          <w:p w14:paraId="2EECF37E">
            <w:pPr>
              <w:widowControl/>
              <w:wordWrap w:val="0"/>
              <w:jc w:val="center"/>
              <w:textAlignment w:val="center"/>
              <w:rPr>
                <w:rFonts w:ascii="宋体" w:hAnsi="宋体" w:cs="宋体"/>
                <w:color w:val="auto"/>
                <w:sz w:val="24"/>
                <w:highlight w:val="none"/>
              </w:rPr>
            </w:pPr>
            <w:r>
              <w:rPr>
                <w:rFonts w:hint="eastAsia" w:ascii="宋体" w:hAnsi="宋体" w:cs="宋体"/>
                <w:color w:val="auto"/>
                <w:sz w:val="24"/>
                <w:highlight w:val="none"/>
              </w:rPr>
              <w:t>售后及服务要求</w:t>
            </w:r>
          </w:p>
        </w:tc>
        <w:tc>
          <w:tcPr>
            <w:tcW w:w="9910" w:type="dxa"/>
            <w:tcBorders>
              <w:top w:val="single" w:color="auto" w:sz="4" w:space="0"/>
              <w:left w:val="single" w:color="auto" w:sz="4" w:space="0"/>
              <w:bottom w:val="single" w:color="auto" w:sz="4" w:space="0"/>
              <w:right w:val="single" w:color="auto" w:sz="4" w:space="0"/>
            </w:tcBorders>
            <w:vAlign w:val="center"/>
          </w:tcPr>
          <w:p w14:paraId="2931F062">
            <w:pPr>
              <w:wordWrap w:val="0"/>
              <w:topLinePunct/>
              <w:snapToGrid w:val="0"/>
              <w:rPr>
                <w:rFonts w:ascii="宋体" w:hAnsi="宋体" w:cs="宋体"/>
                <w:color w:val="auto"/>
                <w:sz w:val="24"/>
                <w:highlight w:val="none"/>
              </w:rPr>
            </w:pPr>
            <w:r>
              <w:rPr>
                <w:rFonts w:hint="eastAsia" w:asciiTheme="minorEastAsia" w:hAnsiTheme="minorEastAsia" w:eastAsiaTheme="minorEastAsia" w:cstheme="minorEastAsia"/>
                <w:bCs/>
                <w:color w:val="auto"/>
                <w:sz w:val="24"/>
                <w:highlight w:val="none"/>
              </w:rPr>
              <w:t>1</w:t>
            </w:r>
            <w:r>
              <w:rPr>
                <w:rFonts w:hint="eastAsia" w:ascii="宋体" w:hAnsi="宋体" w:cs="宋体"/>
                <w:color w:val="auto"/>
                <w:sz w:val="24"/>
                <w:highlight w:val="none"/>
              </w:rPr>
              <w:t>.送货上门，按现场条件全程安装调试，直至最终验收前产生的所有费用由中标供应商承担。</w:t>
            </w:r>
          </w:p>
          <w:p w14:paraId="0D9C9989">
            <w:pPr>
              <w:wordWrap w:val="0"/>
              <w:topLinePunct/>
              <w:snapToGrid w:val="0"/>
              <w:rPr>
                <w:rFonts w:ascii="宋体" w:hAnsi="宋体" w:cs="宋体"/>
                <w:color w:val="auto"/>
                <w:sz w:val="24"/>
                <w:highlight w:val="none"/>
              </w:rPr>
            </w:pPr>
            <w:r>
              <w:rPr>
                <w:rFonts w:hint="eastAsia" w:ascii="宋体" w:hAnsi="宋体" w:cs="宋体"/>
                <w:color w:val="auto"/>
                <w:sz w:val="24"/>
                <w:highlight w:val="none"/>
              </w:rPr>
              <w:t>2.质量保证期：按国家有关产品“三包”规定执行“三包”。自验项目收合格之日起整个项目质量保证期不低于5年，质量保证期内免维修的所有费用，终身免维修人工费（每年肆次维修检查），应承诺质量保证期外的人工、配件及材料等所有费用按市场价的8折收取。</w:t>
            </w:r>
          </w:p>
          <w:p w14:paraId="3CE33226">
            <w:pPr>
              <w:wordWrap w:val="0"/>
              <w:topLinePunct/>
              <w:snapToGrid w:val="0"/>
              <w:rPr>
                <w:rFonts w:ascii="宋体" w:hAnsi="宋体" w:cs="宋体"/>
                <w:color w:val="auto"/>
                <w:sz w:val="24"/>
                <w:highlight w:val="none"/>
              </w:rPr>
            </w:pPr>
            <w:r>
              <w:rPr>
                <w:rFonts w:hint="eastAsia" w:ascii="宋体" w:hAnsi="宋体" w:cs="宋体"/>
                <w:color w:val="auto"/>
                <w:sz w:val="24"/>
                <w:highlight w:val="none"/>
              </w:rPr>
              <w:t>3.故障响应时间：质量保证期内，在接到故障通知后2小时内进行响应，4小时内到达现场免费维修，到达现场后4小时内修复。如4小时内无法修复的，全免费提供与原设备技术参数相同或高于原设备技术参数的备品、备件，以保证采购人的正常使用。</w:t>
            </w:r>
          </w:p>
          <w:p w14:paraId="642CD36D">
            <w:pPr>
              <w:wordWrap w:val="0"/>
              <w:topLinePunct/>
              <w:snapToGrid w:val="0"/>
              <w:rPr>
                <w:rFonts w:ascii="宋体" w:hAnsi="宋体" w:cs="宋体"/>
                <w:color w:val="auto"/>
                <w:sz w:val="24"/>
                <w:highlight w:val="none"/>
              </w:rPr>
            </w:pPr>
            <w:r>
              <w:rPr>
                <w:rFonts w:hint="eastAsia" w:ascii="宋体" w:hAnsi="宋体" w:cs="宋体"/>
                <w:color w:val="auto"/>
                <w:sz w:val="24"/>
                <w:highlight w:val="none"/>
              </w:rPr>
              <w:t>4.验收所需工具、器材由中标供应商自理；各项性能指标达到技术要求的，由供需双方共同签字认可，现场验收。</w:t>
            </w:r>
          </w:p>
          <w:p w14:paraId="1F9DC3FE">
            <w:pPr>
              <w:wordWrap w:val="0"/>
              <w:topLinePunct/>
              <w:snapToGrid w:val="0"/>
              <w:rPr>
                <w:rFonts w:ascii="宋体" w:hAnsi="宋体" w:cs="宋体" w:eastAsiaTheme="minorEastAsia"/>
                <w:color w:val="auto"/>
                <w:sz w:val="24"/>
                <w:highlight w:val="none"/>
              </w:rPr>
            </w:pPr>
            <w:r>
              <w:rPr>
                <w:rFonts w:hint="eastAsia" w:ascii="宋体" w:hAnsi="宋体" w:cs="宋体"/>
                <w:color w:val="auto"/>
                <w:sz w:val="24"/>
                <w:highlight w:val="none"/>
              </w:rPr>
              <w:t>5.供货产品为整体或板式安装结构，供货时不接受任何产品或原材料现场切割、焊接、加工、喷漆、胶粘等对现场环境产生负面影响的施工作业，否则不予验收，终止合同。</w:t>
            </w:r>
          </w:p>
        </w:tc>
      </w:tr>
      <w:tr w14:paraId="68D73A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34" w:hRule="atLeast"/>
          <w:jc w:val="center"/>
        </w:trPr>
        <w:tc>
          <w:tcPr>
            <w:tcW w:w="754" w:type="dxa"/>
            <w:tcBorders>
              <w:top w:val="single" w:color="auto" w:sz="4" w:space="0"/>
              <w:left w:val="single" w:color="auto" w:sz="4" w:space="0"/>
              <w:bottom w:val="single" w:color="auto" w:sz="4" w:space="0"/>
              <w:right w:val="single" w:color="auto" w:sz="4" w:space="0"/>
            </w:tcBorders>
            <w:vAlign w:val="center"/>
          </w:tcPr>
          <w:p w14:paraId="7210A2BC">
            <w:pPr>
              <w:widowControl/>
              <w:wordWrap w:val="0"/>
              <w:spacing w:line="360" w:lineRule="exact"/>
              <w:jc w:val="center"/>
              <w:textAlignment w:val="center"/>
              <w:rPr>
                <w:rFonts w:ascii="宋体" w:hAnsi="宋体" w:cs="宋体"/>
                <w:color w:val="auto"/>
                <w:sz w:val="24"/>
                <w:highlight w:val="none"/>
              </w:rPr>
            </w:pPr>
            <w:r>
              <w:rPr>
                <w:rFonts w:hint="eastAsia" w:ascii="宋体" w:hAnsi="宋体" w:cs="宋体"/>
                <w:color w:val="auto"/>
                <w:sz w:val="24"/>
                <w:highlight w:val="none"/>
              </w:rPr>
              <w:t>付款方式</w:t>
            </w:r>
          </w:p>
        </w:tc>
        <w:tc>
          <w:tcPr>
            <w:tcW w:w="9910" w:type="dxa"/>
            <w:tcBorders>
              <w:top w:val="single" w:color="auto" w:sz="4" w:space="0"/>
              <w:left w:val="single" w:color="auto" w:sz="4" w:space="0"/>
              <w:bottom w:val="single" w:color="auto" w:sz="4" w:space="0"/>
              <w:right w:val="single" w:color="auto" w:sz="4" w:space="0"/>
            </w:tcBorders>
            <w:vAlign w:val="center"/>
          </w:tcPr>
          <w:p w14:paraId="0537E7C6">
            <w:pPr>
              <w:pStyle w:val="7"/>
              <w:spacing w:after="0" w:line="360" w:lineRule="exact"/>
              <w:rPr>
                <w:rFonts w:ascii="仿宋_GB2312" w:hAnsi="仿宋_GB2312" w:eastAsia="仿宋_GB2312" w:cs="仿宋_GB2312"/>
                <w:color w:val="auto"/>
                <w:spacing w:val="-4"/>
                <w:sz w:val="32"/>
                <w:szCs w:val="32"/>
                <w:highlight w:val="none"/>
              </w:rPr>
            </w:pPr>
            <w:bookmarkStart w:id="8" w:name="OLE_LINK4"/>
            <w:r>
              <w:rPr>
                <w:rFonts w:hint="eastAsia" w:ascii="宋体" w:hAnsi="宋体" w:cs="宋体"/>
                <w:color w:val="auto"/>
                <w:spacing w:val="-4"/>
                <w:sz w:val="24"/>
                <w:highlight w:val="none"/>
              </w:rPr>
              <w:t>双方签订合同后，中标供应商须向采购人提供合同价款30%的银行保函（保函有效期不少于1年。保函到期前，若项目未完成，中标供应商须在保函到期前提前1个月提交新的保函）及等额发票，采购人收到保函及发票后20个工作日内一次性支付30%的合同价款（其中，20%的合同价款为定金，10%的合同价款为预付款）；项目验收合格后，采购人收到等额发票及其他相关材料后20个工作日内一次性支付剩余合同价款。</w:t>
            </w:r>
            <w:bookmarkEnd w:id="8"/>
            <w:r>
              <w:rPr>
                <w:rFonts w:hint="eastAsia" w:ascii="宋体" w:hAnsi="宋体" w:cs="宋体"/>
                <w:color w:val="auto"/>
                <w:spacing w:val="-4"/>
                <w:sz w:val="24"/>
                <w:highlight w:val="none"/>
              </w:rPr>
              <w:t>（若采购数量与实际使用数量不一致时，中标供应商应根据实际使用量供货，合同的最终结算金额按实际使用量乘以成交单价进行据实计算。）</w:t>
            </w:r>
          </w:p>
        </w:tc>
      </w:tr>
      <w:tr w14:paraId="618C65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66" w:hRule="atLeast"/>
          <w:jc w:val="center"/>
        </w:trPr>
        <w:tc>
          <w:tcPr>
            <w:tcW w:w="754" w:type="dxa"/>
            <w:tcBorders>
              <w:top w:val="single" w:color="auto" w:sz="4" w:space="0"/>
              <w:left w:val="single" w:color="auto" w:sz="4" w:space="0"/>
              <w:bottom w:val="single" w:color="auto" w:sz="4" w:space="0"/>
              <w:right w:val="single" w:color="auto" w:sz="4" w:space="0"/>
            </w:tcBorders>
            <w:vAlign w:val="center"/>
          </w:tcPr>
          <w:p w14:paraId="6F18783C">
            <w:pPr>
              <w:jc w:val="center"/>
              <w:rPr>
                <w:rFonts w:ascii="宋体" w:hAnsi="宋体" w:cs="宋体"/>
                <w:color w:val="auto"/>
                <w:sz w:val="24"/>
                <w:highlight w:val="none"/>
              </w:rPr>
            </w:pPr>
            <w:r>
              <w:rPr>
                <w:rFonts w:hint="eastAsia" w:ascii="宋体" w:hAnsi="宋体" w:cs="宋体"/>
                <w:color w:val="auto"/>
                <w:sz w:val="24"/>
                <w:highlight w:val="none"/>
              </w:rPr>
              <w:t>履约保证金</w:t>
            </w:r>
          </w:p>
        </w:tc>
        <w:tc>
          <w:tcPr>
            <w:tcW w:w="9910" w:type="dxa"/>
            <w:tcBorders>
              <w:top w:val="single" w:color="auto" w:sz="4" w:space="0"/>
              <w:left w:val="single" w:color="auto" w:sz="4" w:space="0"/>
              <w:bottom w:val="single" w:color="auto" w:sz="4" w:space="0"/>
              <w:right w:val="single" w:color="auto" w:sz="4" w:space="0"/>
            </w:tcBorders>
            <w:vAlign w:val="center"/>
          </w:tcPr>
          <w:p w14:paraId="1804A068">
            <w:pPr>
              <w:wordWrap w:val="0"/>
              <w:topLinePunct/>
              <w:snapToGrid w:val="0"/>
              <w:rPr>
                <w:rFonts w:ascii="宋体" w:hAnsi="宋体" w:cs="宋体"/>
                <w:color w:val="auto"/>
                <w:sz w:val="24"/>
                <w:highlight w:val="none"/>
              </w:rPr>
            </w:pPr>
            <w:r>
              <w:rPr>
                <w:rFonts w:hint="eastAsia" w:ascii="宋体" w:hAnsi="宋体" w:cs="宋体"/>
                <w:color w:val="auto"/>
                <w:sz w:val="24"/>
                <w:highlight w:val="none"/>
              </w:rPr>
              <w:t>1.按本项目中标总金额的5%（如中标供应商为中小企业的，按本项目中标总金额的2%）收取；中标供应商在签订合同前交至指定账户。</w:t>
            </w:r>
          </w:p>
          <w:p w14:paraId="06F6AB1A">
            <w:pPr>
              <w:wordWrap w:val="0"/>
              <w:topLinePunct/>
              <w:snapToGrid w:val="0"/>
              <w:rPr>
                <w:rFonts w:ascii="宋体" w:hAnsi="宋体" w:cs="宋体"/>
                <w:color w:val="auto"/>
                <w:sz w:val="24"/>
                <w:highlight w:val="none"/>
              </w:rPr>
            </w:pPr>
            <w:r>
              <w:rPr>
                <w:rFonts w:hint="eastAsia" w:ascii="宋体" w:hAnsi="宋体" w:cs="宋体"/>
                <w:color w:val="auto"/>
                <w:sz w:val="24"/>
                <w:highlight w:val="none"/>
              </w:rPr>
              <w:t>2.履约保证金递交方式：支票、汇票、本票、网上银行或者银行、担保机构出具的保函等非现金形式。</w:t>
            </w:r>
          </w:p>
          <w:p w14:paraId="67A4917A">
            <w:pPr>
              <w:wordWrap w:val="0"/>
              <w:topLinePunct/>
              <w:snapToGrid w:val="0"/>
              <w:rPr>
                <w:rFonts w:ascii="宋体" w:hAnsi="宋体" w:cs="宋体"/>
                <w:color w:val="auto"/>
                <w:sz w:val="24"/>
                <w:highlight w:val="none"/>
              </w:rPr>
            </w:pPr>
            <w:r>
              <w:rPr>
                <w:rFonts w:hint="eastAsia" w:ascii="宋体" w:hAnsi="宋体" w:cs="宋体"/>
                <w:color w:val="auto"/>
                <w:sz w:val="24"/>
                <w:highlight w:val="none"/>
              </w:rPr>
              <w:t>履约保证金指定账户：</w:t>
            </w:r>
          </w:p>
          <w:p w14:paraId="655C812C">
            <w:pPr>
              <w:wordWrap w:val="0"/>
              <w:topLinePunct/>
              <w:snapToGrid w:val="0"/>
              <w:rPr>
                <w:rFonts w:ascii="宋体" w:hAnsi="宋体" w:cs="宋体"/>
                <w:color w:val="auto"/>
                <w:sz w:val="24"/>
                <w:highlight w:val="none"/>
              </w:rPr>
            </w:pPr>
            <w:r>
              <w:rPr>
                <w:rFonts w:hint="eastAsia" w:ascii="宋体" w:hAnsi="宋体" w:cs="宋体"/>
                <w:color w:val="auto"/>
                <w:sz w:val="24"/>
                <w:highlight w:val="none"/>
              </w:rPr>
              <w:t>开户名称：广西财经学院</w:t>
            </w:r>
          </w:p>
          <w:p w14:paraId="57A999B2">
            <w:pPr>
              <w:wordWrap w:val="0"/>
              <w:topLinePunct/>
              <w:snapToGrid w:val="0"/>
              <w:rPr>
                <w:rFonts w:ascii="宋体" w:hAnsi="宋体" w:cs="宋体"/>
                <w:color w:val="auto"/>
                <w:sz w:val="24"/>
                <w:highlight w:val="none"/>
              </w:rPr>
            </w:pPr>
            <w:r>
              <w:rPr>
                <w:rFonts w:hint="eastAsia" w:ascii="宋体" w:hAnsi="宋体" w:cs="宋体"/>
                <w:color w:val="auto"/>
                <w:sz w:val="24"/>
                <w:highlight w:val="none"/>
              </w:rPr>
              <w:t>开户银行：中国银行南宁明秀西路支行</w:t>
            </w:r>
          </w:p>
          <w:p w14:paraId="2F4DBF8C">
            <w:pPr>
              <w:wordWrap w:val="0"/>
              <w:topLinePunct/>
              <w:snapToGrid w:val="0"/>
              <w:rPr>
                <w:rFonts w:ascii="宋体" w:hAnsi="宋体" w:cs="宋体"/>
                <w:color w:val="auto"/>
                <w:sz w:val="24"/>
                <w:highlight w:val="none"/>
              </w:rPr>
            </w:pPr>
            <w:r>
              <w:rPr>
                <w:rFonts w:hint="eastAsia" w:ascii="宋体" w:hAnsi="宋体" w:cs="宋体"/>
                <w:color w:val="auto"/>
                <w:sz w:val="24"/>
                <w:highlight w:val="none"/>
              </w:rPr>
              <w:t>银行账号：611957485481</w:t>
            </w:r>
          </w:p>
          <w:p w14:paraId="741EB204">
            <w:pPr>
              <w:jc w:val="left"/>
              <w:rPr>
                <w:rFonts w:ascii="宋体" w:hAnsi="宋体" w:cs="宋体"/>
                <w:color w:val="auto"/>
                <w:sz w:val="24"/>
                <w:highlight w:val="none"/>
                <w:lang w:val="en"/>
              </w:rPr>
            </w:pPr>
            <w:r>
              <w:rPr>
                <w:rFonts w:hint="eastAsia" w:ascii="宋体" w:hAnsi="宋体" w:cs="宋体"/>
                <w:color w:val="auto"/>
                <w:sz w:val="24"/>
                <w:highlight w:val="none"/>
              </w:rPr>
              <w:t>3.履约保证金退付方式、时间及条件：中标供应商若不能完全履行合同，履约保证金不返还；中标供应商若完全履行合同，货物验收合格后，中标供应商向采购人递交退保申请函及凭履约保证金财务凭证，采购人按规定办理无息退还手续。</w:t>
            </w:r>
          </w:p>
        </w:tc>
      </w:tr>
      <w:tr w14:paraId="2A9172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7" w:hRule="atLeast"/>
          <w:jc w:val="center"/>
        </w:trPr>
        <w:tc>
          <w:tcPr>
            <w:tcW w:w="754" w:type="dxa"/>
            <w:tcBorders>
              <w:top w:val="single" w:color="auto" w:sz="4" w:space="0"/>
              <w:left w:val="single" w:color="auto" w:sz="4" w:space="0"/>
              <w:bottom w:val="single" w:color="auto" w:sz="4" w:space="0"/>
              <w:right w:val="single" w:color="auto" w:sz="4" w:space="0"/>
            </w:tcBorders>
            <w:vAlign w:val="center"/>
          </w:tcPr>
          <w:p w14:paraId="1DF36C1D">
            <w:pPr>
              <w:spacing w:line="400" w:lineRule="exact"/>
              <w:jc w:val="center"/>
              <w:rPr>
                <w:rFonts w:ascii="宋体" w:hAnsi="宋体" w:cs="宋体"/>
                <w:color w:val="auto"/>
                <w:sz w:val="24"/>
                <w:highlight w:val="none"/>
              </w:rPr>
            </w:pPr>
            <w:r>
              <w:rPr>
                <w:rFonts w:hint="eastAsia" w:ascii="宋体" w:hAnsi="宋体"/>
                <w:color w:val="auto"/>
                <w:sz w:val="24"/>
                <w:highlight w:val="none"/>
              </w:rPr>
              <w:t>采购标的验收标准</w:t>
            </w:r>
          </w:p>
        </w:tc>
        <w:tc>
          <w:tcPr>
            <w:tcW w:w="9910" w:type="dxa"/>
            <w:tcBorders>
              <w:top w:val="single" w:color="auto" w:sz="4" w:space="0"/>
              <w:left w:val="single" w:color="auto" w:sz="4" w:space="0"/>
              <w:bottom w:val="single" w:color="auto" w:sz="4" w:space="0"/>
              <w:right w:val="single" w:color="auto" w:sz="4" w:space="0"/>
            </w:tcBorders>
            <w:vAlign w:val="center"/>
          </w:tcPr>
          <w:p w14:paraId="5C3478DF">
            <w:pPr>
              <w:adjustRightInd w:val="0"/>
              <w:snapToGrid w:val="0"/>
              <w:rPr>
                <w:rFonts w:ascii="宋体" w:hAnsi="宋体" w:cs="宋体"/>
                <w:color w:val="auto"/>
                <w:sz w:val="24"/>
                <w:highlight w:val="none"/>
              </w:rPr>
            </w:pPr>
            <w:r>
              <w:rPr>
                <w:rFonts w:hint="eastAsia" w:ascii="宋体" w:hAnsi="宋体" w:cs="宋体"/>
                <w:color w:val="auto"/>
                <w:sz w:val="24"/>
                <w:highlight w:val="none"/>
              </w:rPr>
              <w:t>1.所供产品的规格、数量符合招标文件供应商投标承诺及采购合同约定的要求。</w:t>
            </w:r>
          </w:p>
          <w:p w14:paraId="261FFC17">
            <w:pPr>
              <w:adjustRightInd w:val="0"/>
              <w:snapToGrid w:val="0"/>
              <w:rPr>
                <w:rFonts w:ascii="宋体" w:hAnsi="宋体" w:cs="宋体"/>
                <w:color w:val="auto"/>
                <w:sz w:val="24"/>
                <w:highlight w:val="none"/>
              </w:rPr>
            </w:pPr>
            <w:r>
              <w:rPr>
                <w:rFonts w:hint="eastAsia" w:ascii="宋体" w:hAnsi="宋体" w:cs="宋体"/>
                <w:color w:val="auto"/>
                <w:sz w:val="24"/>
                <w:highlight w:val="none"/>
              </w:rPr>
              <w:t>2.所供产品的材质、颜色符合招标文件供应商投标承诺及采购合同约定的要求。</w:t>
            </w:r>
            <w:r>
              <w:rPr>
                <w:rFonts w:hint="eastAsia" w:ascii="宋体" w:hAnsi="宋体" w:cs="宋体"/>
                <w:color w:val="auto"/>
                <w:spacing w:val="-4"/>
                <w:sz w:val="24"/>
                <w:highlight w:val="none"/>
              </w:rPr>
              <w:t>禁止使用颗粒板、密度板、刨花板等材质。</w:t>
            </w:r>
          </w:p>
          <w:p w14:paraId="5C47C247">
            <w:pPr>
              <w:adjustRightInd w:val="0"/>
              <w:snapToGrid w:val="0"/>
              <w:rPr>
                <w:rFonts w:ascii="宋体" w:hAnsi="宋体" w:cs="宋体"/>
                <w:color w:val="auto"/>
                <w:sz w:val="24"/>
                <w:highlight w:val="none"/>
              </w:rPr>
            </w:pPr>
            <w:r>
              <w:rPr>
                <w:rFonts w:hint="eastAsia" w:ascii="宋体" w:hAnsi="宋体" w:cs="宋体"/>
                <w:color w:val="auto"/>
                <w:sz w:val="24"/>
                <w:highlight w:val="none"/>
              </w:rPr>
              <w:t>3.所供产品的外观完好，无严重碰撞、五金件生锈等明显瑕疵。</w:t>
            </w:r>
          </w:p>
          <w:p w14:paraId="65A570EA">
            <w:pPr>
              <w:adjustRightInd w:val="0"/>
              <w:snapToGrid w:val="0"/>
              <w:rPr>
                <w:rFonts w:ascii="宋体" w:hAnsi="宋体" w:cs="宋体"/>
                <w:color w:val="auto"/>
                <w:sz w:val="24"/>
                <w:highlight w:val="none"/>
              </w:rPr>
            </w:pPr>
            <w:r>
              <w:rPr>
                <w:rFonts w:hint="eastAsia" w:ascii="宋体" w:hAnsi="宋体" w:cs="宋体"/>
                <w:color w:val="auto"/>
                <w:sz w:val="24"/>
                <w:highlight w:val="none"/>
              </w:rPr>
              <w:t>4.所供产品结构牢固，无安全隐患。</w:t>
            </w:r>
          </w:p>
          <w:p w14:paraId="0EBF104E">
            <w:pPr>
              <w:adjustRightInd w:val="0"/>
              <w:snapToGrid w:val="0"/>
              <w:rPr>
                <w:rFonts w:ascii="宋体" w:hAnsi="宋体" w:cs="宋体"/>
                <w:color w:val="auto"/>
                <w:sz w:val="24"/>
                <w:highlight w:val="none"/>
              </w:rPr>
            </w:pPr>
            <w:r>
              <w:rPr>
                <w:rFonts w:hint="eastAsia" w:ascii="宋体" w:hAnsi="宋体" w:cs="宋体"/>
                <w:color w:val="auto"/>
                <w:sz w:val="24"/>
                <w:highlight w:val="none"/>
              </w:rPr>
              <w:t xml:space="preserve">5.如有抽检要求的，检测结果符合招标文件供应商投标承诺及采购合同约定的要求。 </w:t>
            </w:r>
          </w:p>
          <w:p w14:paraId="7930E5B6">
            <w:pPr>
              <w:adjustRightInd w:val="0"/>
              <w:snapToGrid w:val="0"/>
              <w:rPr>
                <w:rFonts w:ascii="宋体" w:hAnsi="宋体" w:cs="宋体"/>
                <w:color w:val="auto"/>
                <w:sz w:val="24"/>
                <w:highlight w:val="none"/>
              </w:rPr>
            </w:pPr>
            <w:r>
              <w:rPr>
                <w:rFonts w:hint="eastAsia" w:ascii="宋体" w:hAnsi="宋体" w:cs="宋体"/>
                <w:color w:val="auto"/>
                <w:sz w:val="24"/>
                <w:highlight w:val="none"/>
              </w:rPr>
              <w:t>6.所有产品均运输至指定地点，并安装调试完毕。</w:t>
            </w:r>
          </w:p>
          <w:p w14:paraId="3FCA352A">
            <w:pPr>
              <w:adjustRightInd w:val="0"/>
              <w:snapToGrid w:val="0"/>
              <w:rPr>
                <w:rFonts w:ascii="宋体" w:hAnsi="宋体" w:cs="宋体"/>
                <w:color w:val="auto"/>
                <w:sz w:val="24"/>
                <w:highlight w:val="none"/>
              </w:rPr>
            </w:pPr>
            <w:r>
              <w:rPr>
                <w:rFonts w:hint="eastAsia" w:ascii="宋体" w:hAnsi="宋体" w:cs="宋体"/>
                <w:color w:val="auto"/>
                <w:sz w:val="24"/>
                <w:highlight w:val="none"/>
              </w:rPr>
              <w:t>7.招标文件供应商投标承诺及采购合同约定的附件、工具、技术资料等齐全；提供产品使用说明书、合格证明材料。</w:t>
            </w:r>
          </w:p>
          <w:p w14:paraId="19116ADE">
            <w:pPr>
              <w:adjustRightInd w:val="0"/>
              <w:snapToGrid w:val="0"/>
              <w:rPr>
                <w:rFonts w:ascii="宋体" w:hAnsi="宋体" w:cs="宋体"/>
                <w:color w:val="auto"/>
                <w:sz w:val="24"/>
                <w:highlight w:val="none"/>
              </w:rPr>
            </w:pPr>
            <w:r>
              <w:rPr>
                <w:rFonts w:hint="eastAsia" w:ascii="宋体" w:hAnsi="宋体" w:cs="宋体"/>
                <w:color w:val="auto"/>
                <w:sz w:val="24"/>
                <w:highlight w:val="none"/>
              </w:rPr>
              <w:t>8.中标供应商的投标样品将作为货物验收参照标本，中标供应商所提供的货物与投标样品必须一致，否则将视为验收不合格。另外，验收时如中标供应商所提供的产品与其投标时所响应的参数不一致或出现其它可能影响产品质量的问题时，采购人有权对交付的货物委托有资质的第三方检测机构进行抽样检验。如果所抽取的样品经检验合格的，采购人应将整批货物判定合格，对整批货物按合格品验收；如果所抽取的样品经检验不合格的，采购人应将整批货物判定为不合格产品，不予验收，采购人可同时向中标供应商提出直接或间接损失的赔偿。所产生的检验费、样品费由中标供应商承担。</w:t>
            </w:r>
          </w:p>
          <w:p w14:paraId="6FFCECD8">
            <w:pPr>
              <w:adjustRightInd w:val="0"/>
              <w:snapToGrid w:val="0"/>
              <w:rPr>
                <w:rFonts w:ascii="宋体" w:hAnsi="宋体" w:cs="宋体"/>
                <w:color w:val="auto"/>
                <w:sz w:val="24"/>
                <w:highlight w:val="none"/>
              </w:rPr>
            </w:pPr>
            <w:r>
              <w:rPr>
                <w:rFonts w:hint="eastAsia" w:ascii="宋体" w:hAnsi="宋体" w:cs="宋体"/>
                <w:color w:val="auto"/>
                <w:sz w:val="24"/>
                <w:highlight w:val="none"/>
              </w:rPr>
              <w:t>9.货物或服务技术参数与投标文件中响应表或证明材料一致，性能或指标达到规定的标准，否则，以实际货物或服务技术参数与投标文件响应表参数或证明材料比较，按如下情况处理：</w:t>
            </w:r>
          </w:p>
          <w:p w14:paraId="5EDDCB81">
            <w:pPr>
              <w:adjustRightInd w:val="0"/>
              <w:snapToGrid w:val="0"/>
              <w:rPr>
                <w:rFonts w:ascii="宋体" w:hAnsi="宋体" w:cs="宋体"/>
                <w:color w:val="auto"/>
                <w:sz w:val="24"/>
                <w:highlight w:val="none"/>
              </w:rPr>
            </w:pPr>
            <w:r>
              <w:rPr>
                <w:rFonts w:hint="eastAsia" w:ascii="宋体" w:hAnsi="宋体" w:cs="宋体"/>
                <w:color w:val="auto"/>
                <w:sz w:val="24"/>
                <w:highlight w:val="none"/>
              </w:rPr>
              <w:t>（1）供应商投标文件响应表或证明材料中满足或优于的技术参数，在验收时实际不满足技术参数要求的，视为供货商虚假应标，采购人有权终止合同拒收货物，并追究供应商责任，同时报财政部门备案。</w:t>
            </w:r>
          </w:p>
          <w:p w14:paraId="0F3722D5">
            <w:pPr>
              <w:adjustRightInd w:val="0"/>
              <w:snapToGrid w:val="0"/>
              <w:rPr>
                <w:rFonts w:ascii="宋体" w:hAnsi="宋体" w:cs="宋体"/>
                <w:color w:val="auto"/>
                <w:sz w:val="24"/>
                <w:highlight w:val="none"/>
              </w:rPr>
            </w:pPr>
            <w:r>
              <w:rPr>
                <w:rFonts w:hint="eastAsia" w:ascii="宋体" w:hAnsi="宋体" w:cs="宋体"/>
                <w:color w:val="auto"/>
                <w:sz w:val="24"/>
                <w:highlight w:val="none"/>
              </w:rPr>
              <w:t>（2）供应商投标文件响应表或证明材料中优于的技术参数，在验收时实际仅满足并未优于技术参数要求的，视为供货商虚假应标，采购人有权终止合同拒收货物，并追究供应商责任，同时报财政部门备案。</w:t>
            </w:r>
          </w:p>
          <w:p w14:paraId="6DFD1CE1">
            <w:pPr>
              <w:adjustRightInd w:val="0"/>
              <w:snapToGrid w:val="0"/>
              <w:rPr>
                <w:rFonts w:ascii="宋体" w:hAnsi="宋体" w:cs="宋体"/>
                <w:color w:val="auto"/>
                <w:sz w:val="24"/>
                <w:highlight w:val="none"/>
              </w:rPr>
            </w:pPr>
            <w:r>
              <w:rPr>
                <w:rFonts w:hint="eastAsia" w:ascii="宋体" w:hAnsi="宋体" w:cs="宋体"/>
                <w:color w:val="auto"/>
                <w:sz w:val="24"/>
                <w:highlight w:val="none"/>
              </w:rPr>
              <w:t>（3）供应商投标文件响应表或证明材料中满足的技术参数，在验收时实际优于技术参数的要求，以满足技术参数的要求验收。</w:t>
            </w:r>
          </w:p>
          <w:p w14:paraId="5C0B01D9">
            <w:pPr>
              <w:adjustRightInd w:val="0"/>
              <w:snapToGrid w:val="0"/>
              <w:rPr>
                <w:rFonts w:ascii="宋体" w:hAnsi="宋体" w:cs="宋体"/>
                <w:color w:val="auto"/>
                <w:sz w:val="24"/>
                <w:highlight w:val="none"/>
              </w:rPr>
            </w:pPr>
            <w:r>
              <w:rPr>
                <w:rFonts w:hint="eastAsia" w:ascii="宋体" w:hAnsi="宋体" w:cs="宋体"/>
                <w:color w:val="auto"/>
                <w:sz w:val="24"/>
                <w:highlight w:val="none"/>
              </w:rPr>
              <w:t>（4）实际货物与投标货物型号不一致的，验收时不论实际是优于还是满足技术参数的要求，采购人均有权拒收货物并终止合同。如影响货物或服务的使用、质量、档次及采购人需求的，还可视为供货商违约，追究供应商责任，同时报财政部门备案。</w:t>
            </w:r>
          </w:p>
          <w:p w14:paraId="1982F25A">
            <w:pPr>
              <w:adjustRightInd w:val="0"/>
              <w:snapToGrid w:val="0"/>
              <w:rPr>
                <w:rFonts w:ascii="宋体" w:hAnsi="宋体" w:cs="宋体"/>
                <w:color w:val="auto"/>
                <w:sz w:val="24"/>
                <w:highlight w:val="none"/>
              </w:rPr>
            </w:pPr>
            <w:r>
              <w:rPr>
                <w:rFonts w:hint="eastAsia" w:ascii="宋体" w:hAnsi="宋体" w:cs="宋体"/>
                <w:color w:val="auto"/>
                <w:sz w:val="24"/>
                <w:highlight w:val="none"/>
              </w:rPr>
              <w:t>10.货物安装完毕后，采购人有权按不低于教室总数5%的比例，随机抽取教室，对中标供应商所供产品进行环境检测（含甲醛检测），</w:t>
            </w:r>
            <w:r>
              <w:rPr>
                <w:rFonts w:hint="eastAsia" w:ascii="宋体" w:hAnsi="宋体" w:cs="宋体"/>
                <w:color w:val="auto"/>
                <w:sz w:val="24"/>
                <w:highlight w:val="none"/>
                <w:lang w:val="zh-CN"/>
              </w:rPr>
              <w:t>并提供环境检测报告，检测费用由中标人负责。</w:t>
            </w:r>
            <w:r>
              <w:rPr>
                <w:rFonts w:hint="eastAsia" w:ascii="宋体" w:hAnsi="宋体" w:cs="宋体"/>
                <w:color w:val="auto"/>
                <w:sz w:val="24"/>
                <w:highlight w:val="none"/>
              </w:rPr>
              <w:t>采购人从每种产品中随机抽取货物进行破坏性验收，聘请有资质的第三方检测机构进行验收检验，验收后中标供应商需提供产品现场检测报告（检测结果须符合招标文件招标项目采购需求及采购合同约定的要求，检测结果不合格的，不予验收，检测费用由中标供应商负责）。</w:t>
            </w:r>
          </w:p>
          <w:p w14:paraId="3FCA487D">
            <w:pPr>
              <w:rPr>
                <w:rFonts w:ascii="宋体" w:hAnsi="宋体" w:cs="宋体"/>
                <w:color w:val="auto"/>
                <w:sz w:val="24"/>
                <w:highlight w:val="none"/>
              </w:rPr>
            </w:pPr>
            <w:r>
              <w:rPr>
                <w:rFonts w:hint="eastAsia" w:ascii="宋体" w:hAnsi="宋体" w:eastAsia="宋体" w:cs="宋体"/>
                <w:color w:val="auto"/>
                <w:kern w:val="2"/>
                <w:sz w:val="24"/>
                <w:szCs w:val="24"/>
                <w:highlight w:val="none"/>
                <w:lang w:val="en-US" w:eastAsia="zh-CN" w:bidi="ar-SA"/>
              </w:rPr>
              <w:t>11.动态进度监控：（1）发出中标通知书后，中标供应商向采购人提交生产、安装工作倒排工期表，以便采购人核定实际生产、安装情况是否落后于倒排工期表。（2）发出中标通知书后5日内，采购人有权到中标供应商的生产现场进行实地考察。（3）要求供应商每周提交生产进度清单（含照片或视频），并安排学校代表到产品生产线进行抽检，学校有权随时检查生产情况，供应商需配合提供原材料采购凭证。</w:t>
            </w:r>
          </w:p>
          <w:p w14:paraId="05DCBAB2">
            <w:pPr>
              <w:pStyle w:val="11"/>
              <w:spacing w:line="320" w:lineRule="exact"/>
              <w:rPr>
                <w:rFonts w:ascii="宋体" w:hAnsi="宋体" w:cs="宋体"/>
                <w:color w:val="auto"/>
                <w:sz w:val="24"/>
                <w:szCs w:val="24"/>
                <w:highlight w:val="none"/>
              </w:rPr>
            </w:pPr>
            <w:r>
              <w:rPr>
                <w:rFonts w:hint="eastAsia" w:ascii="宋体" w:cs="宋体"/>
                <w:color w:val="auto"/>
                <w:sz w:val="24"/>
                <w:highlight w:val="none"/>
              </w:rPr>
              <w:t>1</w:t>
            </w:r>
            <w:r>
              <w:rPr>
                <w:rFonts w:hint="eastAsia" w:ascii="宋体" w:hAnsi="宋体" w:cs="宋体"/>
                <w:color w:val="auto"/>
                <w:sz w:val="24"/>
                <w:szCs w:val="24"/>
                <w:highlight w:val="none"/>
              </w:rPr>
              <w:t>2.配套风险防控要求：</w:t>
            </w:r>
          </w:p>
          <w:p w14:paraId="034A12A3">
            <w:pPr>
              <w:pStyle w:val="11"/>
              <w:spacing w:line="320" w:lineRule="exact"/>
              <w:rPr>
                <w:rFonts w:ascii="宋体" w:hAnsi="宋体" w:cs="宋体"/>
                <w:color w:val="auto"/>
                <w:sz w:val="24"/>
                <w:szCs w:val="24"/>
                <w:highlight w:val="none"/>
              </w:rPr>
            </w:pPr>
            <w:r>
              <w:rPr>
                <w:rFonts w:hint="eastAsia" w:ascii="宋体" w:hAnsi="宋体" w:cs="宋体"/>
                <w:color w:val="auto"/>
                <w:sz w:val="24"/>
                <w:szCs w:val="24"/>
                <w:highlight w:val="none"/>
              </w:rPr>
              <w:t>一是提前准备替代供应与应急方案，若供应商无法履约或实际生产、安装进度落后于倒排工期表规定的时间5天以内的，采购人有权要求中标供应商追赶工期；实际生产、安装进度落后倒排工期规定的时间10天及以上的，学校可紧急采购其他厂商产品或自行增派安装人员，所产生的费用由原中标供应商承担。</w:t>
            </w:r>
          </w:p>
          <w:p w14:paraId="4C55694A">
            <w:pPr>
              <w:pStyle w:val="11"/>
              <w:spacing w:line="320" w:lineRule="exact"/>
              <w:rPr>
                <w:rFonts w:ascii="宋体" w:hAnsi="宋体" w:cs="宋体"/>
                <w:color w:val="auto"/>
                <w:sz w:val="24"/>
                <w:szCs w:val="24"/>
                <w:highlight w:val="none"/>
              </w:rPr>
            </w:pPr>
            <w:r>
              <w:rPr>
                <w:rFonts w:hint="eastAsia" w:ascii="宋体" w:hAnsi="宋体" w:cs="宋体"/>
                <w:color w:val="auto"/>
                <w:sz w:val="24"/>
                <w:szCs w:val="24"/>
                <w:highlight w:val="none"/>
              </w:rPr>
              <w:t>二是最小供货量保障，如“首批必须交付至少50%货物，否则视为根本违约，采购人有权终止合同”。</w:t>
            </w:r>
          </w:p>
          <w:p w14:paraId="638A0AA3">
            <w:pPr>
              <w:pStyle w:val="13"/>
              <w:spacing w:before="0" w:after="0"/>
              <w:ind w:firstLine="0" w:firstLineChars="0"/>
              <w:rPr>
                <w:color w:val="auto"/>
                <w:highlight w:val="none"/>
              </w:rPr>
            </w:pPr>
            <w:r>
              <w:rPr>
                <w:rFonts w:hint="eastAsia" w:ascii="宋体" w:eastAsia="宋体" w:cs="宋体"/>
                <w:color w:val="auto"/>
                <w:sz w:val="24"/>
                <w:szCs w:val="24"/>
                <w:highlight w:val="none"/>
              </w:rPr>
              <w:t>三是限缩解释不可抗力的范围，排除“供应链延迟”“原材料涨价”“追赶工期产生的费用”等商业风险。</w:t>
            </w:r>
          </w:p>
        </w:tc>
      </w:tr>
      <w:tr w14:paraId="01836F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7" w:hRule="atLeast"/>
          <w:jc w:val="center"/>
        </w:trPr>
        <w:tc>
          <w:tcPr>
            <w:tcW w:w="754" w:type="dxa"/>
            <w:tcBorders>
              <w:top w:val="single" w:color="auto" w:sz="4" w:space="0"/>
              <w:left w:val="single" w:color="auto" w:sz="4" w:space="0"/>
              <w:bottom w:val="single" w:color="auto" w:sz="4" w:space="0"/>
              <w:right w:val="single" w:color="auto" w:sz="4" w:space="0"/>
            </w:tcBorders>
            <w:vAlign w:val="center"/>
          </w:tcPr>
          <w:p w14:paraId="511D0E2F">
            <w:pPr>
              <w:snapToGrid w:val="0"/>
              <w:rPr>
                <w:rFonts w:hint="eastAsia" w:ascii="宋体" w:hAnsi="宋体"/>
                <w:color w:val="auto"/>
                <w:sz w:val="24"/>
                <w:highlight w:val="none"/>
              </w:rPr>
            </w:pPr>
          </w:p>
          <w:p w14:paraId="335B0BC9">
            <w:pPr>
              <w:snapToGrid w:val="0"/>
              <w:rPr>
                <w:rFonts w:hint="eastAsia" w:ascii="宋体" w:hAnsi="宋体"/>
                <w:color w:val="auto"/>
                <w:sz w:val="24"/>
                <w:highlight w:val="none"/>
              </w:rPr>
            </w:pPr>
          </w:p>
          <w:p w14:paraId="58F9169C">
            <w:pPr>
              <w:snapToGrid w:val="0"/>
              <w:rPr>
                <w:rFonts w:hint="eastAsia" w:ascii="宋体" w:hAnsi="宋体"/>
                <w:color w:val="auto"/>
                <w:sz w:val="24"/>
                <w:highlight w:val="none"/>
              </w:rPr>
            </w:pPr>
          </w:p>
          <w:p w14:paraId="45D2A648">
            <w:pPr>
              <w:snapToGrid w:val="0"/>
              <w:rPr>
                <w:rFonts w:hint="eastAsia" w:ascii="宋体" w:hAnsi="宋体"/>
                <w:color w:val="auto"/>
                <w:sz w:val="24"/>
                <w:highlight w:val="none"/>
              </w:rPr>
            </w:pPr>
          </w:p>
          <w:p w14:paraId="00B97A5F">
            <w:pPr>
              <w:snapToGrid w:val="0"/>
              <w:rPr>
                <w:rFonts w:hint="eastAsia" w:ascii="宋体" w:hAnsi="宋体"/>
                <w:color w:val="auto"/>
                <w:sz w:val="24"/>
                <w:highlight w:val="none"/>
              </w:rPr>
            </w:pPr>
            <w:r>
              <w:rPr>
                <w:rFonts w:hint="eastAsia" w:ascii="宋体" w:hAnsi="宋体"/>
                <w:color w:val="auto"/>
                <w:sz w:val="24"/>
                <w:highlight w:val="none"/>
              </w:rPr>
              <w:t>违约责任</w:t>
            </w:r>
          </w:p>
          <w:p w14:paraId="6ED1C7C5">
            <w:pPr>
              <w:snapToGrid w:val="0"/>
              <w:rPr>
                <w:rFonts w:hint="eastAsia" w:ascii="宋体" w:hAnsi="宋体"/>
                <w:color w:val="auto"/>
                <w:sz w:val="24"/>
                <w:highlight w:val="none"/>
              </w:rPr>
            </w:pPr>
          </w:p>
          <w:p w14:paraId="5902885D">
            <w:pPr>
              <w:snapToGrid w:val="0"/>
              <w:rPr>
                <w:rFonts w:hint="eastAsia" w:ascii="宋体" w:hAnsi="宋体"/>
                <w:color w:val="auto"/>
                <w:sz w:val="24"/>
                <w:highlight w:val="none"/>
              </w:rPr>
            </w:pPr>
          </w:p>
          <w:p w14:paraId="4A77F2D8">
            <w:pPr>
              <w:snapToGrid w:val="0"/>
              <w:rPr>
                <w:rFonts w:hint="eastAsia" w:ascii="宋体" w:hAnsi="宋体"/>
                <w:color w:val="auto"/>
                <w:sz w:val="24"/>
                <w:highlight w:val="none"/>
              </w:rPr>
            </w:pPr>
          </w:p>
          <w:p w14:paraId="35EEA11A">
            <w:pPr>
              <w:snapToGrid w:val="0"/>
              <w:rPr>
                <w:rFonts w:hint="eastAsia" w:ascii="宋体" w:hAnsi="宋体"/>
                <w:color w:val="auto"/>
                <w:sz w:val="24"/>
                <w:highlight w:val="none"/>
              </w:rPr>
            </w:pPr>
          </w:p>
          <w:p w14:paraId="4AE532E3">
            <w:pPr>
              <w:snapToGrid w:val="0"/>
              <w:rPr>
                <w:rFonts w:hint="eastAsia" w:ascii="宋体" w:hAnsi="宋体"/>
                <w:color w:val="auto"/>
                <w:sz w:val="24"/>
                <w:highlight w:val="none"/>
              </w:rPr>
            </w:pPr>
          </w:p>
        </w:tc>
        <w:tc>
          <w:tcPr>
            <w:tcW w:w="9910" w:type="dxa"/>
            <w:tcBorders>
              <w:top w:val="single" w:color="auto" w:sz="4" w:space="0"/>
              <w:left w:val="single" w:color="auto" w:sz="4" w:space="0"/>
              <w:bottom w:val="single" w:color="auto" w:sz="4" w:space="0"/>
              <w:right w:val="single" w:color="auto" w:sz="4" w:space="0"/>
            </w:tcBorders>
            <w:vAlign w:val="center"/>
          </w:tcPr>
          <w:p w14:paraId="20010A72">
            <w:pPr>
              <w:snapToGrid w:val="0"/>
              <w:rPr>
                <w:rFonts w:hint="eastAsia" w:ascii="宋体" w:hAnsi="宋体"/>
                <w:color w:val="auto"/>
                <w:sz w:val="24"/>
                <w:highlight w:val="none"/>
              </w:rPr>
            </w:pPr>
            <w:r>
              <w:rPr>
                <w:rFonts w:hint="eastAsia" w:ascii="宋体" w:hAnsi="宋体"/>
                <w:color w:val="auto"/>
                <w:sz w:val="24"/>
                <w:highlight w:val="none"/>
              </w:rPr>
              <w:t>1.中标供应商所提供的家具规格、技术标准、材料等质量不合格的，应及时更换，更换不及时的按逾期交货处罚；因质量问题采购人不同意接收的或特殊情况采购人同意接收的，中标供应商应向采购人支付违约货款额10%违约金并赔偿采购人经济损失。</w:t>
            </w:r>
          </w:p>
          <w:p w14:paraId="3178DC1C">
            <w:pPr>
              <w:snapToGrid w:val="0"/>
              <w:rPr>
                <w:rFonts w:hint="eastAsia" w:ascii="宋体" w:hAnsi="宋体"/>
                <w:color w:val="auto"/>
                <w:sz w:val="24"/>
                <w:highlight w:val="none"/>
              </w:rPr>
            </w:pPr>
            <w:r>
              <w:rPr>
                <w:rFonts w:hint="eastAsia" w:ascii="宋体" w:hAnsi="宋体"/>
                <w:color w:val="auto"/>
                <w:sz w:val="24"/>
                <w:highlight w:val="none"/>
              </w:rPr>
              <w:t>2.中标供应商提供的货物如侵犯第三方合法权益而引发的任何纠纷或诉讼，均由中标供应商负责交涉并承担全部责任并赔偿采购人经济损失。</w:t>
            </w:r>
          </w:p>
          <w:p w14:paraId="30F15C51">
            <w:pPr>
              <w:snapToGrid w:val="0"/>
              <w:rPr>
                <w:rFonts w:hint="eastAsia" w:ascii="宋体" w:hAnsi="宋体"/>
                <w:color w:val="auto"/>
                <w:sz w:val="24"/>
                <w:highlight w:val="none"/>
              </w:rPr>
            </w:pPr>
            <w:r>
              <w:rPr>
                <w:rFonts w:hint="eastAsia" w:ascii="宋体" w:hAnsi="宋体"/>
                <w:color w:val="auto"/>
                <w:sz w:val="24"/>
                <w:highlight w:val="none"/>
              </w:rPr>
              <w:t>3.因包装、运输引起的货物损坏，按质量不合格处罚并赔偿采购人经济损失。</w:t>
            </w:r>
          </w:p>
          <w:p w14:paraId="63C4A6AC">
            <w:pPr>
              <w:snapToGrid w:val="0"/>
              <w:rPr>
                <w:rFonts w:hint="eastAsia" w:ascii="宋体" w:hAnsi="宋体"/>
                <w:color w:val="auto"/>
                <w:sz w:val="24"/>
                <w:highlight w:val="none"/>
              </w:rPr>
            </w:pPr>
            <w:r>
              <w:rPr>
                <w:rFonts w:hint="eastAsia" w:ascii="宋体" w:hAnsi="宋体"/>
                <w:color w:val="auto"/>
                <w:sz w:val="24"/>
                <w:highlight w:val="none"/>
              </w:rPr>
              <w:t>4.采购人无故延期接收货物、中标供应商逾期交货的，每天向对方偿付违约货款额</w:t>
            </w:r>
            <w:r>
              <w:rPr>
                <w:rFonts w:hint="eastAsia" w:ascii="宋体" w:hAnsi="宋体"/>
                <w:color w:val="auto"/>
                <w:sz w:val="24"/>
                <w:highlight w:val="none"/>
                <w:u w:val="single"/>
              </w:rPr>
              <w:t xml:space="preserve"> 3 </w:t>
            </w:r>
            <w:r>
              <w:rPr>
                <w:rFonts w:hint="eastAsia" w:ascii="宋体" w:hAnsi="宋体"/>
                <w:color w:val="auto"/>
                <w:sz w:val="24"/>
                <w:highlight w:val="none"/>
              </w:rPr>
              <w:t>‰违约金，超过</w:t>
            </w:r>
            <w:r>
              <w:rPr>
                <w:rFonts w:hint="eastAsia" w:ascii="宋体" w:hAnsi="宋体"/>
                <w:color w:val="auto"/>
                <w:sz w:val="24"/>
                <w:highlight w:val="none"/>
                <w:u w:val="single"/>
              </w:rPr>
              <w:t xml:space="preserve">  10  </w:t>
            </w:r>
            <w:r>
              <w:rPr>
                <w:rFonts w:hint="eastAsia" w:ascii="宋体" w:hAnsi="宋体"/>
                <w:color w:val="auto"/>
                <w:sz w:val="24"/>
                <w:highlight w:val="none"/>
              </w:rPr>
              <w:t>天对方有权解除合同，并要求对方偿付违约货款额</w:t>
            </w:r>
            <w:r>
              <w:rPr>
                <w:rFonts w:hint="eastAsia" w:ascii="宋体" w:hAnsi="宋体"/>
                <w:color w:val="auto"/>
                <w:sz w:val="24"/>
                <w:highlight w:val="none"/>
                <w:u w:val="single"/>
              </w:rPr>
              <w:t xml:space="preserve">  30  </w:t>
            </w:r>
            <w:r>
              <w:rPr>
                <w:rFonts w:hint="eastAsia" w:ascii="宋体" w:hAnsi="宋体"/>
                <w:color w:val="auto"/>
                <w:sz w:val="24"/>
                <w:highlight w:val="none"/>
              </w:rPr>
              <w:t>%，违约方承担因此给对方造成经济损失。</w:t>
            </w:r>
          </w:p>
          <w:p w14:paraId="480A6E4F">
            <w:pPr>
              <w:snapToGrid w:val="0"/>
              <w:rPr>
                <w:rFonts w:hint="eastAsia" w:ascii="宋体" w:hAnsi="宋体"/>
                <w:color w:val="auto"/>
                <w:sz w:val="24"/>
                <w:highlight w:val="none"/>
              </w:rPr>
            </w:pPr>
            <w:r>
              <w:rPr>
                <w:rFonts w:hint="eastAsia" w:ascii="宋体" w:hAnsi="宋体"/>
                <w:color w:val="auto"/>
                <w:sz w:val="24"/>
                <w:highlight w:val="none"/>
              </w:rPr>
              <w:t>5.因中标供应商原因导致验收不合格或不能按期履行合同的，采购人有权解除合同，除全额退款外另支付违约货款额30%违约金，另中标供应商采取如下补救措施包括但不限于：①配合学校消除舆情；②配合采购人安排相应受到此状况影响的学生入住酒店，由此产生的一切费用（住宿费、交通费等）将从中标供应商的货款中扣除，货款不足部分，由中标供应商补足；③根据实际情况从货款中扣减因延期交货给采购人带来的其他直接损失和间接损失，货款不足部分，由中标供应商补足。</w:t>
            </w:r>
          </w:p>
          <w:p w14:paraId="790A2D8B">
            <w:pPr>
              <w:snapToGrid w:val="0"/>
              <w:rPr>
                <w:rFonts w:hint="eastAsia" w:ascii="宋体" w:hAnsi="宋体"/>
                <w:color w:val="auto"/>
                <w:sz w:val="24"/>
                <w:highlight w:val="none"/>
              </w:rPr>
            </w:pPr>
            <w:r>
              <w:rPr>
                <w:rFonts w:hint="eastAsia" w:ascii="宋体" w:hAnsi="宋体"/>
                <w:color w:val="auto"/>
                <w:sz w:val="24"/>
                <w:highlight w:val="none"/>
              </w:rPr>
              <w:t>6.采购人延期付货款的，每天向中标供应商偿付延期货款额  3  ‰违约金，但违约金累计不得超过延期货款额 10 %。</w:t>
            </w:r>
          </w:p>
          <w:p w14:paraId="3454921C">
            <w:pPr>
              <w:snapToGrid w:val="0"/>
              <w:rPr>
                <w:rFonts w:hint="eastAsia" w:ascii="宋体" w:hAnsi="宋体"/>
                <w:color w:val="auto"/>
                <w:sz w:val="24"/>
                <w:highlight w:val="none"/>
              </w:rPr>
            </w:pPr>
            <w:r>
              <w:rPr>
                <w:rFonts w:hint="eastAsia" w:ascii="宋体" w:hAnsi="宋体"/>
                <w:color w:val="auto"/>
                <w:sz w:val="24"/>
                <w:highlight w:val="none"/>
              </w:rPr>
              <w:t>7.中标供应商未按本合同和响应文件中规定的服务承诺提供售后服务的，中标供应商应按本合同合计金额 10  %向甲方支付违约金。</w:t>
            </w:r>
          </w:p>
          <w:p w14:paraId="70E52DC9">
            <w:pPr>
              <w:snapToGrid w:val="0"/>
              <w:rPr>
                <w:rFonts w:hint="eastAsia" w:ascii="宋体" w:hAnsi="宋体"/>
                <w:color w:val="auto"/>
                <w:sz w:val="24"/>
                <w:highlight w:val="none"/>
              </w:rPr>
            </w:pPr>
            <w:r>
              <w:rPr>
                <w:rFonts w:hint="eastAsia" w:ascii="宋体" w:hAnsi="宋体"/>
                <w:color w:val="auto"/>
                <w:sz w:val="24"/>
                <w:highlight w:val="none"/>
              </w:rPr>
              <w:t>8.中标供应商提供的货物在质量保证期内，因设计、工艺或材料的缺陷和其它质量原因造成的问题，由中标供应商负责。因质量不达标，整改期间产生的仓储、人工等费用由供应商承担，严重问题（如甲醛超标）需全额退款并赔偿损失。</w:t>
            </w:r>
            <w:r>
              <w:rPr>
                <w:rFonts w:hint="eastAsia" w:ascii="宋体" w:hAnsi="宋体"/>
                <w:color w:val="auto"/>
                <w:sz w:val="24"/>
                <w:highlight w:val="none"/>
              </w:rPr>
              <w:br w:type="textWrapping"/>
            </w:r>
            <w:r>
              <w:rPr>
                <w:rFonts w:hint="eastAsia" w:ascii="宋体" w:hAnsi="宋体"/>
                <w:color w:val="auto"/>
                <w:sz w:val="24"/>
                <w:highlight w:val="none"/>
                <w:lang w:val="en-US" w:eastAsia="zh-CN"/>
              </w:rPr>
              <w:t>9</w:t>
            </w:r>
            <w:r>
              <w:rPr>
                <w:rFonts w:hint="eastAsia" w:ascii="宋体" w:hAnsi="宋体"/>
                <w:color w:val="auto"/>
                <w:sz w:val="24"/>
                <w:highlight w:val="none"/>
              </w:rPr>
              <w:t>.若因供应商原因导致师生进驻延迟，需按一定标准赔偿学校综合损失（如临时租赁费、教学调整费用）。</w:t>
            </w:r>
          </w:p>
          <w:p w14:paraId="17565BBB">
            <w:pPr>
              <w:snapToGrid w:val="0"/>
              <w:rPr>
                <w:rFonts w:hint="eastAsia" w:ascii="宋体" w:hAnsi="宋体"/>
                <w:color w:val="auto"/>
                <w:sz w:val="24"/>
                <w:highlight w:val="none"/>
              </w:rPr>
            </w:pPr>
            <w:r>
              <w:rPr>
                <w:rFonts w:hint="eastAsia" w:ascii="宋体" w:hAnsi="宋体"/>
                <w:color w:val="auto"/>
                <w:sz w:val="24"/>
                <w:highlight w:val="none"/>
                <w:lang w:val="en-US" w:eastAsia="zh-CN"/>
              </w:rPr>
              <w:t>10</w:t>
            </w:r>
            <w:r>
              <w:rPr>
                <w:rFonts w:hint="eastAsia" w:ascii="宋体" w:hAnsi="宋体"/>
                <w:color w:val="auto"/>
                <w:sz w:val="24"/>
                <w:highlight w:val="none"/>
              </w:rPr>
              <w:t>.其它违约行为按违约货款额  10 %收取违约金并赔偿经济损失。</w:t>
            </w:r>
          </w:p>
          <w:p w14:paraId="70F90ABE">
            <w:pPr>
              <w:snapToGrid w:val="0"/>
              <w:rPr>
                <w:rFonts w:hint="eastAsia" w:ascii="宋体" w:hAnsi="宋体"/>
                <w:color w:val="auto"/>
                <w:sz w:val="24"/>
                <w:highlight w:val="none"/>
              </w:rPr>
            </w:pPr>
            <w:r>
              <w:rPr>
                <w:rFonts w:hint="eastAsia" w:ascii="宋体" w:hAnsi="宋体"/>
                <w:color w:val="auto"/>
                <w:sz w:val="24"/>
                <w:highlight w:val="none"/>
              </w:rPr>
              <w:t>1</w:t>
            </w:r>
            <w:r>
              <w:rPr>
                <w:rFonts w:hint="eastAsia" w:ascii="宋体" w:hAnsi="宋体"/>
                <w:color w:val="auto"/>
                <w:sz w:val="24"/>
                <w:highlight w:val="none"/>
                <w:lang w:val="en-US" w:eastAsia="zh-CN"/>
              </w:rPr>
              <w:t>1</w:t>
            </w:r>
            <w:r>
              <w:rPr>
                <w:rFonts w:hint="eastAsia" w:ascii="宋体" w:hAnsi="宋体"/>
                <w:color w:val="auto"/>
                <w:sz w:val="24"/>
                <w:highlight w:val="none"/>
              </w:rPr>
              <w:t>.中标人在投标活动中提供任何虚假材料，其投标无效，并报监管部门查处；中标后发现的，中标人须按照《政府采购法》相关规定赔偿采购人，且赔偿采购人因此造成的间接损失。</w:t>
            </w:r>
          </w:p>
        </w:tc>
      </w:tr>
      <w:tr w14:paraId="0383E8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754" w:type="dxa"/>
            <w:tcBorders>
              <w:top w:val="single" w:color="auto" w:sz="4" w:space="0"/>
              <w:left w:val="single" w:color="auto" w:sz="4" w:space="0"/>
              <w:bottom w:val="single" w:color="auto" w:sz="4" w:space="0"/>
              <w:right w:val="single" w:color="auto" w:sz="4" w:space="0"/>
            </w:tcBorders>
            <w:vAlign w:val="center"/>
          </w:tcPr>
          <w:p w14:paraId="022F4A2A">
            <w:pPr>
              <w:widowControl/>
              <w:wordWrap w:val="0"/>
              <w:jc w:val="center"/>
              <w:textAlignment w:val="center"/>
              <w:rPr>
                <w:rFonts w:ascii="宋体" w:hAnsi="宋体" w:cs="宋体"/>
                <w:color w:val="auto"/>
                <w:sz w:val="24"/>
                <w:highlight w:val="none"/>
              </w:rPr>
            </w:pPr>
            <w:r>
              <w:rPr>
                <w:rFonts w:hint="eastAsia" w:ascii="宋体" w:hAnsi="宋体" w:cs="宋体"/>
                <w:color w:val="auto"/>
                <w:sz w:val="24"/>
                <w:highlight w:val="none"/>
              </w:rPr>
              <w:t>其他要求</w:t>
            </w:r>
          </w:p>
        </w:tc>
        <w:tc>
          <w:tcPr>
            <w:tcW w:w="9910" w:type="dxa"/>
            <w:tcBorders>
              <w:top w:val="single" w:color="auto" w:sz="4" w:space="0"/>
              <w:left w:val="single" w:color="auto" w:sz="4" w:space="0"/>
              <w:bottom w:val="single" w:color="auto" w:sz="4" w:space="0"/>
              <w:right w:val="single" w:color="auto" w:sz="4" w:space="0"/>
            </w:tcBorders>
          </w:tcPr>
          <w:p w14:paraId="68F5A661">
            <w:pPr>
              <w:widowControl/>
              <w:shd w:val="clear" w:color="auto" w:fill="FFFFFF"/>
              <w:jc w:val="left"/>
              <w:rPr>
                <w:rFonts w:ascii="宋体" w:hAnsi="宋体" w:cs="宋体"/>
                <w:color w:val="auto"/>
                <w:sz w:val="24"/>
                <w:highlight w:val="none"/>
                <w:lang w:val="zh-CN"/>
              </w:rPr>
            </w:pPr>
            <w:r>
              <w:rPr>
                <w:rFonts w:hint="eastAsia" w:ascii="宋体" w:hAnsi="宋体" w:cs="宋体"/>
                <w:color w:val="auto"/>
                <w:sz w:val="24"/>
                <w:highlight w:val="none"/>
              </w:rPr>
              <w:t>1.</w:t>
            </w:r>
            <w:r>
              <w:rPr>
                <w:rFonts w:hint="eastAsia" w:ascii="宋体" w:hAnsi="宋体" w:cs="宋体"/>
                <w:color w:val="auto"/>
                <w:sz w:val="24"/>
                <w:highlight w:val="none"/>
                <w:lang w:val="zh-CN"/>
              </w:rPr>
              <w:t>本项目不接受进口产品（即通过中国海关报关验放进入中国境内且产自关境外的产品）参与投标，如有此类产品参与投标的做投标无效处理。</w:t>
            </w:r>
          </w:p>
          <w:p w14:paraId="008B5117">
            <w:pPr>
              <w:widowControl/>
              <w:shd w:val="clear" w:color="auto" w:fill="FFFFFF"/>
              <w:jc w:val="left"/>
              <w:rPr>
                <w:rFonts w:ascii="宋体" w:hAnsi="宋体" w:cs="宋体"/>
                <w:color w:val="auto"/>
                <w:sz w:val="24"/>
                <w:highlight w:val="none"/>
                <w:lang w:val="zh-CN"/>
              </w:rPr>
            </w:pPr>
            <w:r>
              <w:rPr>
                <w:rFonts w:hint="eastAsia" w:ascii="宋体" w:hAnsi="宋体" w:cs="宋体"/>
                <w:color w:val="auto"/>
                <w:sz w:val="24"/>
                <w:highlight w:val="none"/>
              </w:rPr>
              <w:t>2.产品的最终外形尺寸须根据实际布置进行调整，对有特殊的定制产品及修改的尺寸均包含在投标报价中，投标人在报价时应自行考虑，承诺不因定制或修改家具尺寸的因素而改变投标报价</w:t>
            </w:r>
            <w:r>
              <w:rPr>
                <w:rFonts w:hint="eastAsia" w:ascii="宋体" w:hAnsi="宋体" w:cs="宋体"/>
                <w:color w:val="auto"/>
                <w:sz w:val="24"/>
                <w:highlight w:val="none"/>
                <w:lang w:val="zh-CN"/>
              </w:rPr>
              <w:t>。</w:t>
            </w:r>
          </w:p>
          <w:p w14:paraId="50CF78E2">
            <w:pPr>
              <w:widowControl/>
              <w:shd w:val="clear" w:color="auto" w:fill="FFFFFF"/>
              <w:jc w:val="left"/>
              <w:rPr>
                <w:rFonts w:ascii="宋体" w:hAnsi="宋体" w:cs="宋体"/>
                <w:color w:val="auto"/>
                <w:sz w:val="24"/>
                <w:highlight w:val="none"/>
              </w:rPr>
            </w:pPr>
            <w:r>
              <w:rPr>
                <w:rFonts w:hint="eastAsia" w:ascii="宋体" w:hAnsi="宋体" w:cs="宋体"/>
                <w:color w:val="auto"/>
                <w:sz w:val="24"/>
                <w:highlight w:val="none"/>
                <w:lang w:val="zh-CN"/>
              </w:rPr>
              <w:t>3.</w:t>
            </w:r>
            <w:r>
              <w:rPr>
                <w:rFonts w:hint="eastAsia" w:ascii="宋体" w:hAnsi="宋体" w:cs="宋体"/>
                <w:color w:val="auto"/>
                <w:sz w:val="24"/>
                <w:highlight w:val="none"/>
              </w:rPr>
              <w:t>投标时提供项目产品设计方案（方案中要有“项号</w:t>
            </w:r>
            <w:r>
              <w:rPr>
                <w:rFonts w:ascii="宋体" w:hAnsi="宋体" w:cs="宋体"/>
                <w:color w:val="auto"/>
                <w:sz w:val="24"/>
                <w:highlight w:val="none"/>
              </w:rPr>
              <w:t>1</w:t>
            </w:r>
            <w:r>
              <w:rPr>
                <w:rFonts w:hint="eastAsia" w:ascii="宋体" w:hAnsi="宋体" w:cs="宋体"/>
                <w:color w:val="auto"/>
                <w:sz w:val="24"/>
                <w:highlight w:val="none"/>
              </w:rPr>
              <w:t>三连体（三人位）组合公寓床、项号</w:t>
            </w:r>
            <w:r>
              <w:rPr>
                <w:rFonts w:ascii="宋体" w:hAnsi="宋体" w:cs="宋体"/>
                <w:color w:val="auto"/>
                <w:sz w:val="24"/>
                <w:highlight w:val="none"/>
              </w:rPr>
              <w:t>2</w:t>
            </w:r>
            <w:r>
              <w:rPr>
                <w:rFonts w:hint="eastAsia" w:ascii="宋体" w:hAnsi="宋体" w:cs="宋体"/>
                <w:color w:val="auto"/>
                <w:sz w:val="24"/>
                <w:highlight w:val="none"/>
              </w:rPr>
              <w:t>单体公寓床、项号3无障碍组合公寓床、项号4公寓椅</w:t>
            </w:r>
            <w:r>
              <w:rPr>
                <w:rFonts w:ascii="宋体" w:hAnsi="宋体" w:cs="宋体"/>
                <w:color w:val="auto"/>
                <w:sz w:val="24"/>
                <w:highlight w:val="none"/>
              </w:rPr>
              <w:t>”设计产品结构图、产品效果图、产品部件图；产品部件图片及规格尺寸、产品使用功能描述等内容</w:t>
            </w:r>
            <w:r>
              <w:rPr>
                <w:rFonts w:hint="eastAsia" w:ascii="宋体" w:hAnsi="宋体" w:cs="宋体"/>
                <w:color w:val="auto"/>
                <w:sz w:val="24"/>
                <w:highlight w:val="none"/>
              </w:rPr>
              <w:t>）、项目实施安装方案和售后服务方案（方案中要有响应故障处理要求后到达现场修理解决的时长承诺，售后服务团队介绍、定期维护方案）。</w:t>
            </w:r>
          </w:p>
          <w:p w14:paraId="36CAE854">
            <w:pPr>
              <w:widowControl/>
              <w:shd w:val="clear" w:color="auto" w:fill="FFFFFF"/>
              <w:jc w:val="left"/>
              <w:rPr>
                <w:rFonts w:ascii="宋体" w:hAnsi="宋体" w:cs="宋体"/>
                <w:color w:val="auto"/>
                <w:sz w:val="24"/>
                <w:highlight w:val="none"/>
              </w:rPr>
            </w:pPr>
            <w:r>
              <w:rPr>
                <w:rFonts w:hint="eastAsia" w:ascii="宋体" w:hAnsi="宋体" w:cs="宋体"/>
                <w:color w:val="auto"/>
                <w:sz w:val="24"/>
                <w:highlight w:val="none"/>
              </w:rPr>
              <w:t>4.政策功能</w:t>
            </w:r>
          </w:p>
          <w:p w14:paraId="17F0918B">
            <w:pPr>
              <w:widowControl/>
              <w:shd w:val="clear" w:color="auto" w:fill="FFFFFF"/>
              <w:jc w:val="left"/>
              <w:rPr>
                <w:rFonts w:ascii="宋体" w:hAnsi="宋体" w:cs="宋体"/>
                <w:color w:val="auto"/>
                <w:sz w:val="24"/>
                <w:highlight w:val="none"/>
              </w:rPr>
            </w:pPr>
            <w:r>
              <w:rPr>
                <w:rFonts w:hint="eastAsia" w:ascii="宋体" w:hAnsi="宋体" w:cs="宋体"/>
                <w:color w:val="auto"/>
                <w:sz w:val="24"/>
                <w:highlight w:val="none"/>
              </w:rPr>
              <w:t>（1）严格执行（财库〔2019〕9号）及（财库〔2019〕19号），本次投标产品类别属于政府强制采购产品类别的，须按照《市场监管总局关于发布参与实施政府采购节能产品、环境标志产品认证机构名录的公告》（2019年第16号）要求提供依据国家确定的认证机构出具的、处于有效期之内的节能产品认证证书复印件并加盖投标人公章，否则投标无效。</w:t>
            </w:r>
          </w:p>
          <w:p w14:paraId="4DB537DB">
            <w:pPr>
              <w:widowControl/>
              <w:shd w:val="clear" w:color="auto" w:fill="FFFFFF"/>
              <w:jc w:val="left"/>
              <w:rPr>
                <w:rFonts w:ascii="宋体" w:hAnsi="宋体" w:cs="宋体"/>
                <w:color w:val="auto"/>
                <w:sz w:val="24"/>
                <w:highlight w:val="none"/>
              </w:rPr>
            </w:pPr>
            <w:r>
              <w:rPr>
                <w:rFonts w:hint="eastAsia" w:ascii="宋体" w:hAnsi="宋体" w:cs="宋体"/>
                <w:color w:val="auto"/>
                <w:sz w:val="24"/>
                <w:highlight w:val="none"/>
              </w:rPr>
              <w:t>（2）执行《财政部 发展改革委 生态环境部 市场监管总局关于调整优化节能产品、环境标志产品政府采购执行机制的通知》（财库〔2019〕9号）、《关于印发节能产品政府采购品目清单的通知》（财库〔2019〕19号）及《关于印发环境标志产品政府采购品目清单的通知》（财库〔2019〕18号），属于政府优先采购产品类别的，投标人按照《市场监管总局关于发布参与实施政府采购节能产品、环境标志产品认证机构名录的公告》（2019年第16号）要求提供依据国家确定的认证机构出具的、处于有效期之内的节能产品或环境标志产品认证证书复印件并加盖投标人公章，否则不予认定。</w:t>
            </w:r>
          </w:p>
          <w:p w14:paraId="55C16CB7">
            <w:pPr>
              <w:widowControl/>
              <w:shd w:val="clear" w:color="auto" w:fill="FFFFFF"/>
              <w:jc w:val="left"/>
              <w:rPr>
                <w:rFonts w:asciiTheme="minorEastAsia" w:hAnsiTheme="minorEastAsia" w:eastAsiaTheme="minorEastAsia" w:cstheme="minorEastAsia"/>
                <w:color w:val="auto"/>
                <w:sz w:val="24"/>
                <w:highlight w:val="none"/>
              </w:rPr>
            </w:pPr>
            <w:r>
              <w:rPr>
                <w:rFonts w:hint="eastAsia" w:ascii="宋体" w:hAnsi="宋体" w:cs="宋体"/>
                <w:color w:val="auto"/>
                <w:sz w:val="24"/>
                <w:highlight w:val="none"/>
              </w:rPr>
              <w:t>（3）中标</w:t>
            </w:r>
            <w:r>
              <w:rPr>
                <w:rFonts w:hint="eastAsia" w:asciiTheme="minorEastAsia" w:hAnsiTheme="minorEastAsia" w:eastAsiaTheme="minorEastAsia" w:cstheme="minorEastAsia"/>
                <w:color w:val="auto"/>
                <w:sz w:val="24"/>
                <w:highlight w:val="none"/>
                <w:lang w:val="zh-CN"/>
              </w:rPr>
              <w:t>供应商投标产品的配件（辅材）涉及节能认证、国家强制认证的，在验收时必须提供产品、配件的相关节能认证证书、国家强制认证证书，不能提供认证证书的采购人有权拒绝验收，由此产生的一切后果由中标供应商承担。</w:t>
            </w:r>
          </w:p>
          <w:p w14:paraId="48FD6DE5">
            <w:pPr>
              <w:widowControl/>
              <w:shd w:val="clear" w:color="auto" w:fill="FFFFFF"/>
              <w:jc w:val="left"/>
              <w:rPr>
                <w:rFonts w:ascii="宋体" w:hAnsi="宋体" w:cs="宋体"/>
                <w:color w:val="auto"/>
                <w:sz w:val="24"/>
                <w:highlight w:val="none"/>
              </w:rPr>
            </w:pPr>
            <w:r>
              <w:rPr>
                <w:rFonts w:hint="eastAsia" w:ascii="宋体" w:hAnsi="宋体" w:cs="宋体"/>
                <w:color w:val="auto"/>
                <w:sz w:val="24"/>
                <w:highlight w:val="none"/>
              </w:rPr>
              <w:t>5.供应商所提供的任何材料应当真实有效，如在评审过程中发现供应商在投标文件中提供任何虚假材料的，按投标无效处理，采购人有权报监管部门查处；中标后，采购人发现中标供应商在投标文件中提供任何虚假材料的，采购人有权单方面终止合同，采购人有权报监管部门查处，且中标供应商须依照《中华人民共和国消费者权益保护法》赔偿采购人，民事赔偿并不免除违法中标供应商的法律责任。</w:t>
            </w:r>
          </w:p>
          <w:p w14:paraId="7EB73A0E">
            <w:pPr>
              <w:widowControl/>
              <w:shd w:val="clear" w:color="auto" w:fill="FFFFFF"/>
              <w:jc w:val="left"/>
              <w:rPr>
                <w:rFonts w:ascii="宋体" w:hAnsi="宋体" w:cs="宋体"/>
                <w:color w:val="auto"/>
                <w:sz w:val="24"/>
                <w:highlight w:val="none"/>
              </w:rPr>
            </w:pPr>
            <w:r>
              <w:rPr>
                <w:rFonts w:hint="eastAsia" w:ascii="宋体" w:hAnsi="宋体" w:cs="宋体"/>
                <w:color w:val="auto"/>
                <w:sz w:val="24"/>
                <w:highlight w:val="none"/>
              </w:rPr>
              <w:t>6.投标时供应商</w:t>
            </w:r>
            <w:r>
              <w:rPr>
                <w:rFonts w:ascii="宋体" w:hAnsi="宋体" w:cs="宋体"/>
                <w:color w:val="auto"/>
                <w:sz w:val="24"/>
                <w:highlight w:val="none"/>
              </w:rPr>
              <w:t>提供财务能力证明文件（复印件加盖公章</w:t>
            </w:r>
            <w:r>
              <w:rPr>
                <w:rFonts w:hint="eastAsia" w:ascii="宋体" w:hAnsi="宋体" w:cs="宋体"/>
                <w:color w:val="auto"/>
                <w:sz w:val="24"/>
                <w:highlight w:val="none"/>
              </w:rPr>
              <w:t>）；</w:t>
            </w:r>
            <w:r>
              <w:rPr>
                <w:rFonts w:ascii="宋体" w:hAnsi="宋体" w:cs="宋体"/>
                <w:color w:val="auto"/>
                <w:sz w:val="24"/>
                <w:highlight w:val="none"/>
              </w:rPr>
              <w:t>具备履行合同所必需的设备维修能力</w:t>
            </w:r>
            <w:r>
              <w:rPr>
                <w:rFonts w:hint="eastAsia" w:ascii="宋体" w:hAnsi="宋体" w:cs="宋体"/>
                <w:color w:val="auto"/>
                <w:sz w:val="24"/>
                <w:highlight w:val="none"/>
              </w:rPr>
              <w:t>，</w:t>
            </w:r>
            <w:r>
              <w:rPr>
                <w:rFonts w:ascii="宋体" w:hAnsi="宋体" w:cs="宋体"/>
                <w:color w:val="auto"/>
                <w:sz w:val="24"/>
                <w:highlight w:val="none"/>
              </w:rPr>
              <w:t>2人及以上具备家具维修相关职业资格证书（如木工资质）及劳动合同</w:t>
            </w:r>
            <w:r>
              <w:rPr>
                <w:rFonts w:hint="eastAsia" w:ascii="宋体" w:hAnsi="宋体" w:cs="宋体"/>
                <w:color w:val="auto"/>
                <w:sz w:val="24"/>
                <w:highlight w:val="none"/>
              </w:rPr>
              <w:t>。</w:t>
            </w:r>
          </w:p>
          <w:p w14:paraId="3CBF7144">
            <w:pPr>
              <w:widowControl/>
              <w:shd w:val="clear" w:color="auto" w:fill="FFFFFF"/>
              <w:jc w:val="left"/>
              <w:rPr>
                <w:rFonts w:hint="eastAsia" w:ascii="宋体" w:hAnsi="宋体" w:cs="宋体"/>
                <w:color w:val="auto"/>
                <w:sz w:val="24"/>
                <w:highlight w:val="none"/>
              </w:rPr>
            </w:pPr>
            <w:r>
              <w:rPr>
                <w:rFonts w:hint="eastAsia" w:ascii="宋体" w:hAnsi="宋体" w:cs="宋体"/>
                <w:color w:val="auto"/>
                <w:sz w:val="24"/>
                <w:highlight w:val="none"/>
              </w:rPr>
              <w:t>7.投标时，投标人提供 2023年 1 月 1 日以来由具有检测资质的第三方检测机构出具的显示生产厂家成品挥发的有毒有害物质（甲醛释放量、苯、甲苯、二甲苯、总挥发性有机化合物（TVOC)、氨释放量）符合室内空气质量标准的检验报告复印件（生产厂家盖章，原件核查）。</w:t>
            </w:r>
          </w:p>
          <w:p w14:paraId="0A8978BF">
            <w:pPr>
              <w:widowControl/>
              <w:shd w:val="clear" w:color="auto" w:fill="FFFFFF"/>
              <w:jc w:val="left"/>
              <w:rPr>
                <w:color w:val="auto"/>
                <w:highlight w:val="none"/>
              </w:rPr>
            </w:pPr>
            <w:r>
              <w:rPr>
                <w:rFonts w:hint="eastAsia" w:ascii="宋体" w:hAnsi="宋体" w:cs="宋体"/>
                <w:color w:val="auto"/>
                <w:sz w:val="24"/>
                <w:highlight w:val="none"/>
              </w:rPr>
              <w:t>送检报告人可以是投标人，投标产品生产厂家，检验报告名字不一样但实质为同一种物品的,则视为相符。</w:t>
            </w:r>
          </w:p>
        </w:tc>
      </w:tr>
      <w:tr w14:paraId="4B07C5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95" w:hRule="atLeast"/>
          <w:jc w:val="center"/>
        </w:trPr>
        <w:tc>
          <w:tcPr>
            <w:tcW w:w="754" w:type="dxa"/>
            <w:tcBorders>
              <w:top w:val="single" w:color="auto" w:sz="4" w:space="0"/>
              <w:left w:val="single" w:color="auto" w:sz="4" w:space="0"/>
              <w:bottom w:val="single" w:color="auto" w:sz="4" w:space="0"/>
              <w:right w:val="single" w:color="auto" w:sz="4" w:space="0"/>
            </w:tcBorders>
            <w:vAlign w:val="center"/>
          </w:tcPr>
          <w:p w14:paraId="1DDFEC48">
            <w:pPr>
              <w:jc w:val="center"/>
              <w:rPr>
                <w:rFonts w:ascii="宋体" w:hAnsi="宋体" w:cs="宋体"/>
                <w:color w:val="auto"/>
                <w:sz w:val="24"/>
                <w:highlight w:val="none"/>
              </w:rPr>
            </w:pPr>
            <w:r>
              <w:rPr>
                <w:rFonts w:hint="eastAsia" w:ascii="宋体" w:hAnsi="宋体" w:cs="宋体"/>
                <w:color w:val="auto"/>
                <w:sz w:val="24"/>
                <w:highlight w:val="none"/>
              </w:rPr>
              <w:t>投标样品</w:t>
            </w:r>
          </w:p>
        </w:tc>
        <w:tc>
          <w:tcPr>
            <w:tcW w:w="9910" w:type="dxa"/>
            <w:tcBorders>
              <w:top w:val="single" w:color="auto" w:sz="4" w:space="0"/>
              <w:left w:val="single" w:color="auto" w:sz="4" w:space="0"/>
              <w:bottom w:val="single" w:color="auto" w:sz="4" w:space="0"/>
              <w:right w:val="single" w:color="auto" w:sz="4" w:space="0"/>
            </w:tcBorders>
            <w:vAlign w:val="center"/>
          </w:tcPr>
          <w:tbl>
            <w:tblPr>
              <w:tblStyle w:val="21"/>
              <w:tblpPr w:leftFromText="180" w:rightFromText="180" w:vertAnchor="text" w:horzAnchor="page" w:tblpX="820" w:tblpY="-4358"/>
              <w:tblOverlap w:val="never"/>
              <w:tblW w:w="95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1008"/>
              <w:gridCol w:w="2090"/>
              <w:gridCol w:w="1008"/>
              <w:gridCol w:w="2614"/>
              <w:gridCol w:w="2136"/>
            </w:tblGrid>
            <w:tr w14:paraId="54960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9564" w:type="dxa"/>
                  <w:gridSpan w:val="6"/>
                  <w:shd w:val="clear" w:color="auto" w:fill="auto"/>
                  <w:vAlign w:val="center"/>
                </w:tcPr>
                <w:p w14:paraId="6220109A">
                  <w:pPr>
                    <w:rPr>
                      <w:color w:val="auto"/>
                      <w:highlight w:val="none"/>
                    </w:rPr>
                  </w:pPr>
                  <w:r>
                    <w:rPr>
                      <w:rFonts w:hint="eastAsia"/>
                      <w:color w:val="auto"/>
                      <w:sz w:val="24"/>
                      <w:highlight w:val="none"/>
                    </w:rPr>
                    <w:t>投标时请提供采购需求的小样：</w:t>
                  </w:r>
                </w:p>
              </w:tc>
            </w:tr>
            <w:tr w14:paraId="3460F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shd w:val="clear" w:color="auto" w:fill="auto"/>
                  <w:vAlign w:val="center"/>
                </w:tcPr>
                <w:p w14:paraId="3E055FE2">
                  <w:pPr>
                    <w:jc w:val="center"/>
                    <w:rPr>
                      <w:rFonts w:ascii="宋体" w:hAnsi="宋体" w:cs="宋体"/>
                      <w:color w:val="auto"/>
                      <w:sz w:val="24"/>
                      <w:highlight w:val="none"/>
                    </w:rPr>
                  </w:pPr>
                  <w:r>
                    <w:rPr>
                      <w:rFonts w:hint="eastAsia" w:ascii="宋体" w:hAnsi="宋体" w:cs="宋体"/>
                      <w:color w:val="auto"/>
                      <w:sz w:val="24"/>
                      <w:highlight w:val="none"/>
                    </w:rPr>
                    <w:t>项号</w:t>
                  </w:r>
                </w:p>
              </w:tc>
              <w:tc>
                <w:tcPr>
                  <w:tcW w:w="1008" w:type="dxa"/>
                  <w:shd w:val="clear" w:color="auto" w:fill="auto"/>
                  <w:vAlign w:val="center"/>
                </w:tcPr>
                <w:p w14:paraId="6F24CC22">
                  <w:pPr>
                    <w:jc w:val="center"/>
                    <w:rPr>
                      <w:rFonts w:ascii="宋体" w:hAnsi="宋体" w:cs="宋体"/>
                      <w:color w:val="auto"/>
                      <w:sz w:val="24"/>
                      <w:highlight w:val="none"/>
                    </w:rPr>
                  </w:pPr>
                  <w:r>
                    <w:rPr>
                      <w:rFonts w:hint="eastAsia" w:ascii="宋体" w:hAnsi="宋体" w:cs="宋体"/>
                      <w:color w:val="auto"/>
                      <w:sz w:val="24"/>
                      <w:highlight w:val="none"/>
                    </w:rPr>
                    <w:t>所属  产品</w:t>
                  </w:r>
                </w:p>
              </w:tc>
              <w:tc>
                <w:tcPr>
                  <w:tcW w:w="2090" w:type="dxa"/>
                  <w:shd w:val="clear" w:color="auto" w:fill="auto"/>
                  <w:vAlign w:val="center"/>
                </w:tcPr>
                <w:p w14:paraId="464CDE79">
                  <w:pPr>
                    <w:jc w:val="center"/>
                    <w:rPr>
                      <w:rFonts w:ascii="宋体" w:hAnsi="宋体" w:cs="宋体"/>
                      <w:color w:val="auto"/>
                      <w:sz w:val="24"/>
                      <w:highlight w:val="none"/>
                    </w:rPr>
                  </w:pPr>
                  <w:r>
                    <w:rPr>
                      <w:rFonts w:hint="eastAsia" w:ascii="宋体" w:hAnsi="宋体" w:cs="宋体"/>
                      <w:color w:val="auto"/>
                      <w:sz w:val="24"/>
                      <w:highlight w:val="none"/>
                    </w:rPr>
                    <w:t>小样名称</w:t>
                  </w:r>
                </w:p>
              </w:tc>
              <w:tc>
                <w:tcPr>
                  <w:tcW w:w="1008" w:type="dxa"/>
                  <w:shd w:val="clear" w:color="auto" w:fill="auto"/>
                  <w:vAlign w:val="center"/>
                </w:tcPr>
                <w:p w14:paraId="6CE42AA3">
                  <w:pPr>
                    <w:jc w:val="center"/>
                    <w:rPr>
                      <w:rFonts w:ascii="宋体" w:hAnsi="宋体" w:cs="宋体"/>
                      <w:color w:val="auto"/>
                      <w:sz w:val="24"/>
                      <w:highlight w:val="none"/>
                    </w:rPr>
                  </w:pPr>
                  <w:r>
                    <w:rPr>
                      <w:rFonts w:hint="eastAsia" w:ascii="宋体" w:hAnsi="宋体" w:cs="宋体"/>
                      <w:color w:val="auto"/>
                      <w:sz w:val="24"/>
                      <w:highlight w:val="none"/>
                    </w:rPr>
                    <w:t>数量</w:t>
                  </w:r>
                </w:p>
              </w:tc>
              <w:tc>
                <w:tcPr>
                  <w:tcW w:w="2614" w:type="dxa"/>
                  <w:shd w:val="clear" w:color="auto" w:fill="auto"/>
                  <w:vAlign w:val="center"/>
                </w:tcPr>
                <w:p w14:paraId="0E9C9D37">
                  <w:pPr>
                    <w:jc w:val="center"/>
                    <w:rPr>
                      <w:rFonts w:ascii="宋体" w:hAnsi="宋体" w:cs="宋体"/>
                      <w:color w:val="auto"/>
                      <w:sz w:val="24"/>
                      <w:highlight w:val="none"/>
                    </w:rPr>
                  </w:pPr>
                  <w:r>
                    <w:rPr>
                      <w:rFonts w:hint="eastAsia" w:ascii="宋体" w:hAnsi="宋体" w:cs="宋体"/>
                      <w:color w:val="auto"/>
                      <w:sz w:val="24"/>
                      <w:highlight w:val="none"/>
                    </w:rPr>
                    <w:t>参考规格</w:t>
                  </w:r>
                </w:p>
              </w:tc>
              <w:tc>
                <w:tcPr>
                  <w:tcW w:w="2136" w:type="dxa"/>
                  <w:shd w:val="clear" w:color="auto" w:fill="auto"/>
                  <w:vAlign w:val="center"/>
                </w:tcPr>
                <w:p w14:paraId="7EAEC2C8">
                  <w:pPr>
                    <w:jc w:val="center"/>
                    <w:rPr>
                      <w:rFonts w:ascii="宋体" w:hAnsi="宋体" w:cs="宋体"/>
                      <w:color w:val="auto"/>
                      <w:sz w:val="24"/>
                      <w:highlight w:val="none"/>
                    </w:rPr>
                  </w:pPr>
                  <w:r>
                    <w:rPr>
                      <w:rFonts w:hint="eastAsia" w:ascii="宋体" w:hAnsi="宋体" w:cs="宋体"/>
                      <w:color w:val="auto"/>
                      <w:sz w:val="24"/>
                      <w:highlight w:val="none"/>
                    </w:rPr>
                    <w:t>备注说明</w:t>
                  </w:r>
                </w:p>
              </w:tc>
            </w:tr>
            <w:tr w14:paraId="58F3C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8" w:type="dxa"/>
                  <w:shd w:val="clear" w:color="auto" w:fill="auto"/>
                  <w:vAlign w:val="center"/>
                </w:tcPr>
                <w:p w14:paraId="73A8EF1C">
                  <w:pPr>
                    <w:jc w:val="center"/>
                    <w:rPr>
                      <w:rFonts w:ascii="宋体" w:hAnsi="宋体" w:cs="宋体"/>
                      <w:color w:val="auto"/>
                      <w:sz w:val="24"/>
                      <w:highlight w:val="none"/>
                    </w:rPr>
                  </w:pPr>
                  <w:r>
                    <w:rPr>
                      <w:rFonts w:hint="eastAsia" w:ascii="宋体" w:hAnsi="宋体" w:cs="宋体"/>
                      <w:color w:val="auto"/>
                      <w:sz w:val="24"/>
                      <w:highlight w:val="none"/>
                    </w:rPr>
                    <w:t>1</w:t>
                  </w:r>
                </w:p>
              </w:tc>
              <w:tc>
                <w:tcPr>
                  <w:tcW w:w="1008" w:type="dxa"/>
                  <w:vMerge w:val="restart"/>
                  <w:shd w:val="clear" w:color="auto" w:fill="auto"/>
                  <w:vAlign w:val="center"/>
                </w:tcPr>
                <w:p w14:paraId="681C6D01">
                  <w:pPr>
                    <w:jc w:val="center"/>
                    <w:rPr>
                      <w:rFonts w:ascii="宋体" w:hAnsi="宋体" w:cs="宋体"/>
                      <w:color w:val="auto"/>
                      <w:sz w:val="24"/>
                      <w:highlight w:val="none"/>
                    </w:rPr>
                  </w:pPr>
                  <w:r>
                    <w:rPr>
                      <w:rFonts w:hint="eastAsia" w:ascii="宋体" w:hAnsi="宋体" w:cs="宋体"/>
                      <w:color w:val="auto"/>
                      <w:sz w:val="24"/>
                      <w:highlight w:val="none"/>
                    </w:rPr>
                    <w:t>三连体（三人位）组合公寓床</w:t>
                  </w:r>
                </w:p>
              </w:tc>
              <w:tc>
                <w:tcPr>
                  <w:tcW w:w="2090" w:type="dxa"/>
                  <w:shd w:val="clear" w:color="auto" w:fill="auto"/>
                  <w:vAlign w:val="center"/>
                </w:tcPr>
                <w:p w14:paraId="48FAA8E9">
                  <w:pPr>
                    <w:jc w:val="center"/>
                    <w:rPr>
                      <w:rFonts w:ascii="宋体" w:hAnsi="宋体" w:cs="宋体"/>
                      <w:color w:val="auto"/>
                      <w:sz w:val="24"/>
                      <w:highlight w:val="none"/>
                    </w:rPr>
                  </w:pPr>
                  <w:r>
                    <w:rPr>
                      <w:rFonts w:hint="eastAsia" w:ascii="宋体" w:hAnsi="宋体" w:cs="宋体"/>
                      <w:color w:val="auto"/>
                      <w:sz w:val="24"/>
                      <w:highlight w:val="none"/>
                    </w:rPr>
                    <w:t>边立柱(含脚套)</w:t>
                  </w:r>
                </w:p>
              </w:tc>
              <w:tc>
                <w:tcPr>
                  <w:tcW w:w="1008" w:type="dxa"/>
                  <w:shd w:val="clear" w:color="auto" w:fill="auto"/>
                  <w:vAlign w:val="center"/>
                </w:tcPr>
                <w:p w14:paraId="11391B81">
                  <w:pPr>
                    <w:jc w:val="center"/>
                    <w:rPr>
                      <w:rFonts w:ascii="宋体" w:hAnsi="宋体" w:cs="宋体"/>
                      <w:color w:val="auto"/>
                      <w:sz w:val="24"/>
                      <w:highlight w:val="none"/>
                    </w:rPr>
                  </w:pPr>
                  <w:r>
                    <w:rPr>
                      <w:rFonts w:hint="eastAsia" w:ascii="宋体" w:hAnsi="宋体" w:cs="宋体"/>
                      <w:color w:val="auto"/>
                      <w:sz w:val="24"/>
                      <w:highlight w:val="none"/>
                    </w:rPr>
                    <w:t>2根</w:t>
                  </w:r>
                </w:p>
              </w:tc>
              <w:tc>
                <w:tcPr>
                  <w:tcW w:w="2614" w:type="dxa"/>
                  <w:shd w:val="clear" w:color="auto" w:fill="auto"/>
                  <w:vAlign w:val="center"/>
                </w:tcPr>
                <w:p w14:paraId="24966075">
                  <w:pPr>
                    <w:jc w:val="center"/>
                    <w:rPr>
                      <w:rFonts w:ascii="宋体" w:hAnsi="宋体" w:cs="宋体"/>
                      <w:color w:val="auto"/>
                      <w:sz w:val="24"/>
                      <w:highlight w:val="none"/>
                    </w:rPr>
                  </w:pPr>
                  <w:r>
                    <w:rPr>
                      <w:rFonts w:hint="eastAsia" w:ascii="宋体" w:hAnsi="宋体" w:cs="宋体"/>
                      <w:color w:val="auto"/>
                      <w:sz w:val="24"/>
                      <w:highlight w:val="none"/>
                    </w:rPr>
                    <w:t>长度约200mm</w:t>
                  </w:r>
                </w:p>
              </w:tc>
              <w:tc>
                <w:tcPr>
                  <w:tcW w:w="2136" w:type="dxa"/>
                  <w:shd w:val="clear" w:color="auto" w:fill="auto"/>
                  <w:vAlign w:val="center"/>
                </w:tcPr>
                <w:p w14:paraId="24655098">
                  <w:pPr>
                    <w:jc w:val="center"/>
                    <w:rPr>
                      <w:rFonts w:ascii="宋体" w:hAnsi="宋体" w:cs="宋体"/>
                      <w:color w:val="auto"/>
                      <w:sz w:val="24"/>
                      <w:highlight w:val="none"/>
                    </w:rPr>
                  </w:pPr>
                  <w:r>
                    <w:rPr>
                      <w:rFonts w:hint="eastAsia" w:ascii="宋体" w:hAnsi="宋体" w:cs="宋体"/>
                      <w:color w:val="auto"/>
                      <w:sz w:val="24"/>
                      <w:highlight w:val="none"/>
                    </w:rPr>
                    <w:t>一根裸管</w:t>
                  </w:r>
                </w:p>
                <w:p w14:paraId="30C0E5A4">
                  <w:pPr>
                    <w:jc w:val="center"/>
                    <w:rPr>
                      <w:rFonts w:ascii="宋体" w:hAnsi="宋体" w:cs="宋体"/>
                      <w:color w:val="auto"/>
                      <w:sz w:val="24"/>
                      <w:highlight w:val="none"/>
                    </w:rPr>
                  </w:pPr>
                  <w:r>
                    <w:rPr>
                      <w:rFonts w:hint="eastAsia" w:ascii="宋体" w:hAnsi="宋体" w:cs="宋体"/>
                      <w:color w:val="auto"/>
                      <w:sz w:val="24"/>
                      <w:highlight w:val="none"/>
                    </w:rPr>
                    <w:t>一根喷涂</w:t>
                  </w:r>
                </w:p>
              </w:tc>
            </w:tr>
            <w:tr w14:paraId="7B9E0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8" w:type="dxa"/>
                  <w:shd w:val="clear" w:color="auto" w:fill="auto"/>
                  <w:vAlign w:val="center"/>
                </w:tcPr>
                <w:p w14:paraId="7A87F010">
                  <w:pPr>
                    <w:jc w:val="center"/>
                    <w:rPr>
                      <w:rFonts w:ascii="宋体" w:hAnsi="宋体" w:cs="宋体"/>
                      <w:color w:val="auto"/>
                      <w:sz w:val="24"/>
                      <w:highlight w:val="none"/>
                    </w:rPr>
                  </w:pPr>
                  <w:r>
                    <w:rPr>
                      <w:rFonts w:hint="eastAsia" w:ascii="宋体" w:hAnsi="宋体" w:cs="宋体"/>
                      <w:color w:val="auto"/>
                      <w:sz w:val="24"/>
                      <w:highlight w:val="none"/>
                    </w:rPr>
                    <w:t>2</w:t>
                  </w:r>
                </w:p>
              </w:tc>
              <w:tc>
                <w:tcPr>
                  <w:tcW w:w="1008" w:type="dxa"/>
                  <w:vMerge w:val="continue"/>
                  <w:vAlign w:val="center"/>
                </w:tcPr>
                <w:p w14:paraId="50DDBAD0">
                  <w:pPr>
                    <w:widowControl/>
                    <w:jc w:val="center"/>
                    <w:rPr>
                      <w:rFonts w:ascii="宋体" w:hAnsi="宋体" w:cs="宋体"/>
                      <w:color w:val="auto"/>
                      <w:sz w:val="24"/>
                      <w:highlight w:val="none"/>
                    </w:rPr>
                  </w:pPr>
                </w:p>
              </w:tc>
              <w:tc>
                <w:tcPr>
                  <w:tcW w:w="2090" w:type="dxa"/>
                  <w:shd w:val="clear" w:color="auto" w:fill="auto"/>
                  <w:vAlign w:val="center"/>
                </w:tcPr>
                <w:p w14:paraId="1FDA0C10">
                  <w:pPr>
                    <w:jc w:val="center"/>
                    <w:rPr>
                      <w:rFonts w:ascii="宋体" w:hAnsi="宋体" w:cs="宋体"/>
                      <w:color w:val="auto"/>
                      <w:sz w:val="24"/>
                      <w:highlight w:val="none"/>
                    </w:rPr>
                  </w:pPr>
                  <w:r>
                    <w:rPr>
                      <w:rFonts w:hint="eastAsia" w:ascii="宋体" w:hAnsi="宋体" w:cs="宋体"/>
                      <w:color w:val="auto"/>
                      <w:sz w:val="24"/>
                      <w:highlight w:val="none"/>
                    </w:rPr>
                    <w:t>中立柱(含脚套)</w:t>
                  </w:r>
                </w:p>
              </w:tc>
              <w:tc>
                <w:tcPr>
                  <w:tcW w:w="1008" w:type="dxa"/>
                  <w:shd w:val="clear" w:color="auto" w:fill="auto"/>
                  <w:vAlign w:val="center"/>
                </w:tcPr>
                <w:p w14:paraId="27C8942B">
                  <w:pPr>
                    <w:jc w:val="center"/>
                    <w:rPr>
                      <w:rFonts w:ascii="宋体" w:hAnsi="宋体" w:cs="宋体"/>
                      <w:color w:val="auto"/>
                      <w:sz w:val="24"/>
                      <w:highlight w:val="none"/>
                    </w:rPr>
                  </w:pPr>
                  <w:r>
                    <w:rPr>
                      <w:rFonts w:hint="eastAsia" w:ascii="宋体" w:hAnsi="宋体" w:cs="宋体"/>
                      <w:color w:val="auto"/>
                      <w:sz w:val="24"/>
                      <w:highlight w:val="none"/>
                    </w:rPr>
                    <w:t>2根</w:t>
                  </w:r>
                </w:p>
              </w:tc>
              <w:tc>
                <w:tcPr>
                  <w:tcW w:w="2614" w:type="dxa"/>
                  <w:shd w:val="clear" w:color="auto" w:fill="auto"/>
                  <w:vAlign w:val="center"/>
                </w:tcPr>
                <w:p w14:paraId="5D565D15">
                  <w:pPr>
                    <w:jc w:val="center"/>
                    <w:rPr>
                      <w:rFonts w:ascii="宋体" w:hAnsi="宋体" w:cs="宋体"/>
                      <w:color w:val="auto"/>
                      <w:sz w:val="24"/>
                      <w:highlight w:val="none"/>
                    </w:rPr>
                  </w:pPr>
                  <w:r>
                    <w:rPr>
                      <w:rFonts w:hint="eastAsia" w:ascii="宋体" w:hAnsi="宋体" w:cs="宋体"/>
                      <w:color w:val="auto"/>
                      <w:sz w:val="24"/>
                      <w:highlight w:val="none"/>
                    </w:rPr>
                    <w:t>长度约200mm</w:t>
                  </w:r>
                </w:p>
              </w:tc>
              <w:tc>
                <w:tcPr>
                  <w:tcW w:w="2136" w:type="dxa"/>
                  <w:shd w:val="clear" w:color="auto" w:fill="auto"/>
                  <w:vAlign w:val="center"/>
                </w:tcPr>
                <w:p w14:paraId="75787459">
                  <w:pPr>
                    <w:jc w:val="center"/>
                    <w:rPr>
                      <w:rFonts w:ascii="宋体" w:hAnsi="宋体" w:cs="宋体"/>
                      <w:color w:val="auto"/>
                      <w:sz w:val="24"/>
                      <w:highlight w:val="none"/>
                    </w:rPr>
                  </w:pPr>
                  <w:r>
                    <w:rPr>
                      <w:rFonts w:hint="eastAsia" w:ascii="宋体" w:hAnsi="宋体" w:cs="宋体"/>
                      <w:color w:val="auto"/>
                      <w:sz w:val="24"/>
                      <w:highlight w:val="none"/>
                    </w:rPr>
                    <w:t>一根裸管</w:t>
                  </w:r>
                </w:p>
                <w:p w14:paraId="2DBACF58">
                  <w:pPr>
                    <w:jc w:val="center"/>
                    <w:rPr>
                      <w:rFonts w:ascii="宋体" w:hAnsi="宋体" w:cs="宋体"/>
                      <w:color w:val="auto"/>
                      <w:sz w:val="24"/>
                      <w:highlight w:val="none"/>
                    </w:rPr>
                  </w:pPr>
                  <w:r>
                    <w:rPr>
                      <w:rFonts w:hint="eastAsia" w:ascii="宋体" w:hAnsi="宋体" w:cs="宋体"/>
                      <w:color w:val="auto"/>
                      <w:sz w:val="24"/>
                      <w:highlight w:val="none"/>
                    </w:rPr>
                    <w:t>一根喷涂</w:t>
                  </w:r>
                </w:p>
              </w:tc>
            </w:tr>
            <w:tr w14:paraId="77CE1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8" w:type="dxa"/>
                  <w:shd w:val="clear" w:color="auto" w:fill="auto"/>
                  <w:vAlign w:val="center"/>
                </w:tcPr>
                <w:p w14:paraId="71F64805">
                  <w:pPr>
                    <w:jc w:val="center"/>
                    <w:rPr>
                      <w:rFonts w:ascii="宋体" w:hAnsi="宋体" w:cs="宋体"/>
                      <w:color w:val="auto"/>
                      <w:sz w:val="24"/>
                      <w:highlight w:val="none"/>
                    </w:rPr>
                  </w:pPr>
                  <w:r>
                    <w:rPr>
                      <w:rFonts w:hint="eastAsia" w:ascii="宋体" w:hAnsi="宋体" w:cs="宋体"/>
                      <w:color w:val="auto"/>
                      <w:sz w:val="24"/>
                      <w:highlight w:val="none"/>
                    </w:rPr>
                    <w:t>3</w:t>
                  </w:r>
                </w:p>
              </w:tc>
              <w:tc>
                <w:tcPr>
                  <w:tcW w:w="1008" w:type="dxa"/>
                  <w:vMerge w:val="continue"/>
                  <w:vAlign w:val="center"/>
                </w:tcPr>
                <w:p w14:paraId="03971FDE">
                  <w:pPr>
                    <w:widowControl/>
                    <w:jc w:val="center"/>
                    <w:rPr>
                      <w:rFonts w:ascii="宋体" w:hAnsi="宋体" w:cs="宋体"/>
                      <w:color w:val="auto"/>
                      <w:sz w:val="24"/>
                      <w:highlight w:val="none"/>
                    </w:rPr>
                  </w:pPr>
                </w:p>
              </w:tc>
              <w:tc>
                <w:tcPr>
                  <w:tcW w:w="2090" w:type="dxa"/>
                  <w:shd w:val="clear" w:color="auto" w:fill="auto"/>
                  <w:vAlign w:val="center"/>
                </w:tcPr>
                <w:p w14:paraId="616F226F">
                  <w:pPr>
                    <w:jc w:val="center"/>
                    <w:rPr>
                      <w:rFonts w:ascii="宋体" w:hAnsi="宋体" w:cs="宋体"/>
                      <w:color w:val="auto"/>
                      <w:sz w:val="24"/>
                      <w:highlight w:val="none"/>
                    </w:rPr>
                  </w:pPr>
                  <w:r>
                    <w:rPr>
                      <w:rFonts w:hint="eastAsia" w:ascii="宋体" w:hAnsi="宋体" w:cs="宋体"/>
                      <w:color w:val="auto"/>
                      <w:sz w:val="24"/>
                      <w:highlight w:val="none"/>
                    </w:rPr>
                    <w:t>床厅护栏</w:t>
                  </w:r>
                </w:p>
              </w:tc>
              <w:tc>
                <w:tcPr>
                  <w:tcW w:w="1008" w:type="dxa"/>
                  <w:shd w:val="clear" w:color="auto" w:fill="auto"/>
                  <w:vAlign w:val="center"/>
                </w:tcPr>
                <w:p w14:paraId="2CE4DDC6">
                  <w:pPr>
                    <w:jc w:val="center"/>
                    <w:rPr>
                      <w:rFonts w:ascii="宋体" w:hAnsi="宋体" w:cs="宋体"/>
                      <w:color w:val="auto"/>
                      <w:sz w:val="24"/>
                      <w:highlight w:val="none"/>
                    </w:rPr>
                  </w:pPr>
                  <w:r>
                    <w:rPr>
                      <w:rFonts w:hint="eastAsia" w:ascii="宋体" w:hAnsi="宋体" w:cs="宋体"/>
                      <w:color w:val="auto"/>
                      <w:sz w:val="24"/>
                      <w:highlight w:val="none"/>
                    </w:rPr>
                    <w:t>1根</w:t>
                  </w:r>
                </w:p>
              </w:tc>
              <w:tc>
                <w:tcPr>
                  <w:tcW w:w="2614" w:type="dxa"/>
                  <w:shd w:val="clear" w:color="auto" w:fill="auto"/>
                  <w:vAlign w:val="center"/>
                </w:tcPr>
                <w:p w14:paraId="11A69404">
                  <w:pPr>
                    <w:jc w:val="center"/>
                    <w:rPr>
                      <w:rFonts w:ascii="宋体" w:hAnsi="宋体" w:cs="宋体"/>
                      <w:color w:val="auto"/>
                      <w:sz w:val="24"/>
                      <w:highlight w:val="none"/>
                    </w:rPr>
                  </w:pPr>
                  <w:r>
                    <w:rPr>
                      <w:rFonts w:hint="eastAsia" w:ascii="宋体" w:hAnsi="宋体" w:cs="宋体"/>
                      <w:color w:val="auto"/>
                      <w:sz w:val="24"/>
                      <w:highlight w:val="none"/>
                    </w:rPr>
                    <w:t>长度约</w:t>
                  </w:r>
                  <w:r>
                    <w:rPr>
                      <w:rFonts w:hint="eastAsia" w:ascii="宋体" w:hAnsi="宋体" w:cs="宋体"/>
                      <w:color w:val="auto"/>
                      <w:sz w:val="24"/>
                      <w:highlight w:val="none"/>
                      <w:lang w:val="en-US" w:eastAsia="zh-CN"/>
                    </w:rPr>
                    <w:t>13</w:t>
                  </w:r>
                  <w:r>
                    <w:rPr>
                      <w:rFonts w:hint="eastAsia" w:ascii="宋体" w:hAnsi="宋体" w:cs="宋体"/>
                      <w:color w:val="auto"/>
                      <w:sz w:val="24"/>
                      <w:highlight w:val="none"/>
                    </w:rPr>
                    <w:t>00mm</w:t>
                  </w:r>
                </w:p>
              </w:tc>
              <w:tc>
                <w:tcPr>
                  <w:tcW w:w="2136" w:type="dxa"/>
                  <w:shd w:val="clear" w:color="auto" w:fill="auto"/>
                  <w:vAlign w:val="center"/>
                </w:tcPr>
                <w:p w14:paraId="50EAE8B9">
                  <w:pPr>
                    <w:jc w:val="center"/>
                    <w:rPr>
                      <w:rFonts w:ascii="宋体" w:hAnsi="宋体" w:cs="宋体"/>
                      <w:color w:val="auto"/>
                      <w:sz w:val="24"/>
                      <w:highlight w:val="none"/>
                    </w:rPr>
                  </w:pPr>
                  <w:r>
                    <w:rPr>
                      <w:rFonts w:hint="eastAsia" w:ascii="宋体" w:hAnsi="宋体" w:cs="宋体"/>
                      <w:color w:val="auto"/>
                      <w:sz w:val="24"/>
                      <w:highlight w:val="none"/>
                    </w:rPr>
                    <w:t>包含完整前护栏及床横梁，喷涂</w:t>
                  </w:r>
                </w:p>
              </w:tc>
            </w:tr>
            <w:tr w14:paraId="6F3A9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8" w:type="dxa"/>
                  <w:shd w:val="clear" w:color="auto" w:fill="auto"/>
                  <w:vAlign w:val="center"/>
                </w:tcPr>
                <w:p w14:paraId="6670FBE8">
                  <w:pPr>
                    <w:jc w:val="center"/>
                    <w:rPr>
                      <w:rFonts w:ascii="宋体" w:hAnsi="宋体" w:cs="宋体"/>
                      <w:color w:val="auto"/>
                      <w:sz w:val="24"/>
                      <w:highlight w:val="none"/>
                    </w:rPr>
                  </w:pPr>
                  <w:r>
                    <w:rPr>
                      <w:rFonts w:hint="eastAsia" w:ascii="宋体" w:hAnsi="宋体" w:cs="宋体"/>
                      <w:color w:val="auto"/>
                      <w:sz w:val="24"/>
                      <w:highlight w:val="none"/>
                    </w:rPr>
                    <w:t>4</w:t>
                  </w:r>
                </w:p>
              </w:tc>
              <w:tc>
                <w:tcPr>
                  <w:tcW w:w="1008" w:type="dxa"/>
                  <w:vMerge w:val="continue"/>
                  <w:shd w:val="clear" w:color="auto" w:fill="auto"/>
                  <w:vAlign w:val="center"/>
                </w:tcPr>
                <w:p w14:paraId="6D3DFA87">
                  <w:pPr>
                    <w:jc w:val="center"/>
                    <w:rPr>
                      <w:rFonts w:ascii="宋体" w:hAnsi="宋体" w:cs="宋体"/>
                      <w:color w:val="auto"/>
                      <w:sz w:val="24"/>
                      <w:highlight w:val="none"/>
                    </w:rPr>
                  </w:pPr>
                </w:p>
              </w:tc>
              <w:tc>
                <w:tcPr>
                  <w:tcW w:w="2090" w:type="dxa"/>
                  <w:shd w:val="clear" w:color="auto" w:fill="auto"/>
                  <w:vAlign w:val="center"/>
                </w:tcPr>
                <w:p w14:paraId="7CAE8286">
                  <w:pPr>
                    <w:jc w:val="center"/>
                    <w:rPr>
                      <w:rFonts w:ascii="宋体" w:hAnsi="宋体" w:cs="宋体"/>
                      <w:color w:val="auto"/>
                      <w:sz w:val="24"/>
                      <w:highlight w:val="none"/>
                    </w:rPr>
                  </w:pPr>
                  <w:r>
                    <w:rPr>
                      <w:rFonts w:hint="eastAsia" w:ascii="宋体" w:hAnsi="宋体" w:cs="宋体"/>
                      <w:color w:val="auto"/>
                      <w:sz w:val="24"/>
                      <w:highlight w:val="none"/>
                    </w:rPr>
                    <w:t>爬梯踏板</w:t>
                  </w:r>
                </w:p>
              </w:tc>
              <w:tc>
                <w:tcPr>
                  <w:tcW w:w="1008" w:type="dxa"/>
                  <w:shd w:val="clear" w:color="auto" w:fill="auto"/>
                  <w:vAlign w:val="center"/>
                </w:tcPr>
                <w:p w14:paraId="12A7DA05">
                  <w:pPr>
                    <w:jc w:val="center"/>
                    <w:rPr>
                      <w:rFonts w:ascii="宋体" w:hAnsi="宋体" w:cs="宋体"/>
                      <w:color w:val="auto"/>
                      <w:sz w:val="24"/>
                      <w:highlight w:val="none"/>
                    </w:rPr>
                  </w:pPr>
                  <w:r>
                    <w:rPr>
                      <w:rFonts w:hint="eastAsia" w:ascii="宋体" w:hAnsi="宋体" w:cs="宋体"/>
                      <w:color w:val="auto"/>
                      <w:sz w:val="24"/>
                      <w:highlight w:val="none"/>
                    </w:rPr>
                    <w:t>1块</w:t>
                  </w:r>
                </w:p>
              </w:tc>
              <w:tc>
                <w:tcPr>
                  <w:tcW w:w="2614" w:type="dxa"/>
                  <w:shd w:val="clear" w:color="auto" w:fill="auto"/>
                  <w:vAlign w:val="center"/>
                </w:tcPr>
                <w:p w14:paraId="2EDAEDD9">
                  <w:pPr>
                    <w:jc w:val="center"/>
                    <w:rPr>
                      <w:rFonts w:ascii="宋体" w:hAnsi="宋体" w:cs="宋体"/>
                      <w:color w:val="auto"/>
                      <w:sz w:val="24"/>
                      <w:highlight w:val="none"/>
                    </w:rPr>
                  </w:pPr>
                  <w:r>
                    <w:rPr>
                      <w:rFonts w:hint="eastAsia" w:ascii="宋体" w:hAnsi="宋体" w:cs="宋体"/>
                      <w:color w:val="auto"/>
                      <w:sz w:val="24"/>
                      <w:highlight w:val="none"/>
                    </w:rPr>
                    <w:t>完整提供</w:t>
                  </w:r>
                </w:p>
              </w:tc>
              <w:tc>
                <w:tcPr>
                  <w:tcW w:w="2136" w:type="dxa"/>
                  <w:shd w:val="clear" w:color="auto" w:fill="auto"/>
                  <w:vAlign w:val="center"/>
                </w:tcPr>
                <w:p w14:paraId="3BA54A8F">
                  <w:pPr>
                    <w:jc w:val="center"/>
                    <w:rPr>
                      <w:rFonts w:ascii="宋体" w:hAnsi="宋体" w:cs="宋体"/>
                      <w:color w:val="auto"/>
                      <w:sz w:val="24"/>
                      <w:highlight w:val="none"/>
                    </w:rPr>
                  </w:pPr>
                  <w:r>
                    <w:rPr>
                      <w:rFonts w:hint="eastAsia" w:ascii="宋体" w:hAnsi="宋体" w:cs="宋体"/>
                      <w:color w:val="auto"/>
                      <w:sz w:val="24"/>
                      <w:highlight w:val="none"/>
                    </w:rPr>
                    <w:t>含夜光条</w:t>
                  </w:r>
                </w:p>
              </w:tc>
            </w:tr>
            <w:tr w14:paraId="7C1EE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8" w:type="dxa"/>
                  <w:shd w:val="clear" w:color="auto" w:fill="auto"/>
                  <w:vAlign w:val="center"/>
                </w:tcPr>
                <w:p w14:paraId="2FC7F86C">
                  <w:pPr>
                    <w:jc w:val="center"/>
                    <w:rPr>
                      <w:rFonts w:ascii="宋体" w:hAnsi="宋体" w:cs="宋体"/>
                      <w:color w:val="auto"/>
                      <w:sz w:val="24"/>
                      <w:highlight w:val="none"/>
                    </w:rPr>
                  </w:pPr>
                  <w:r>
                    <w:rPr>
                      <w:rFonts w:hint="eastAsia" w:ascii="宋体" w:hAnsi="宋体" w:cs="宋体"/>
                      <w:color w:val="auto"/>
                      <w:sz w:val="24"/>
                      <w:highlight w:val="none"/>
                    </w:rPr>
                    <w:t>5</w:t>
                  </w:r>
                </w:p>
              </w:tc>
              <w:tc>
                <w:tcPr>
                  <w:tcW w:w="1008" w:type="dxa"/>
                  <w:vMerge w:val="restart"/>
                  <w:shd w:val="clear" w:color="auto" w:fill="auto"/>
                  <w:vAlign w:val="center"/>
                </w:tcPr>
                <w:p w14:paraId="7E2C8320">
                  <w:pPr>
                    <w:jc w:val="center"/>
                    <w:rPr>
                      <w:rFonts w:ascii="宋体" w:hAnsi="宋体" w:cs="宋体"/>
                      <w:color w:val="auto"/>
                      <w:sz w:val="24"/>
                      <w:highlight w:val="none"/>
                    </w:rPr>
                  </w:pPr>
                  <w:r>
                    <w:rPr>
                      <w:rFonts w:hint="eastAsia" w:ascii="宋体" w:hAnsi="宋体" w:cs="宋体"/>
                      <w:color w:val="auto"/>
                      <w:sz w:val="24"/>
                      <w:highlight w:val="none"/>
                    </w:rPr>
                    <w:t>组合柜</w:t>
                  </w:r>
                </w:p>
              </w:tc>
              <w:tc>
                <w:tcPr>
                  <w:tcW w:w="2090" w:type="dxa"/>
                  <w:shd w:val="clear" w:color="auto" w:fill="auto"/>
                  <w:vAlign w:val="center"/>
                </w:tcPr>
                <w:p w14:paraId="1E9F5B97">
                  <w:pPr>
                    <w:jc w:val="center"/>
                    <w:rPr>
                      <w:rFonts w:ascii="宋体" w:hAnsi="宋体" w:cs="宋体"/>
                      <w:color w:val="auto"/>
                      <w:sz w:val="24"/>
                      <w:highlight w:val="none"/>
                    </w:rPr>
                  </w:pPr>
                  <w:r>
                    <w:rPr>
                      <w:rFonts w:hint="eastAsia" w:ascii="宋体" w:hAnsi="宋体" w:cs="宋体"/>
                      <w:color w:val="auto"/>
                      <w:sz w:val="24"/>
                      <w:highlight w:val="none"/>
                    </w:rPr>
                    <w:t>衣柜门板（带锁）</w:t>
                  </w:r>
                </w:p>
              </w:tc>
              <w:tc>
                <w:tcPr>
                  <w:tcW w:w="1008" w:type="dxa"/>
                  <w:shd w:val="clear" w:color="auto" w:fill="auto"/>
                  <w:vAlign w:val="center"/>
                </w:tcPr>
                <w:p w14:paraId="00957BC2">
                  <w:pPr>
                    <w:jc w:val="center"/>
                    <w:rPr>
                      <w:rFonts w:ascii="宋体" w:hAnsi="宋体" w:cs="宋体"/>
                      <w:color w:val="auto"/>
                      <w:sz w:val="24"/>
                      <w:highlight w:val="none"/>
                    </w:rPr>
                  </w:pPr>
                  <w:r>
                    <w:rPr>
                      <w:rFonts w:hint="eastAsia" w:ascii="宋体" w:hAnsi="宋体" w:cs="宋体"/>
                      <w:color w:val="auto"/>
                      <w:sz w:val="24"/>
                      <w:highlight w:val="none"/>
                    </w:rPr>
                    <w:t>1块</w:t>
                  </w:r>
                </w:p>
              </w:tc>
              <w:tc>
                <w:tcPr>
                  <w:tcW w:w="2614" w:type="dxa"/>
                  <w:shd w:val="clear" w:color="auto" w:fill="auto"/>
                  <w:vAlign w:val="center"/>
                </w:tcPr>
                <w:p w14:paraId="0AE974FD">
                  <w:pPr>
                    <w:jc w:val="center"/>
                    <w:rPr>
                      <w:rFonts w:ascii="宋体" w:hAnsi="宋体" w:cs="宋体"/>
                      <w:color w:val="auto"/>
                      <w:sz w:val="24"/>
                      <w:highlight w:val="none"/>
                    </w:rPr>
                  </w:pPr>
                  <w:r>
                    <w:rPr>
                      <w:rFonts w:hint="eastAsia" w:ascii="宋体" w:hAnsi="宋体" w:cs="宋体"/>
                      <w:color w:val="auto"/>
                      <w:sz w:val="24"/>
                      <w:highlight w:val="none"/>
                    </w:rPr>
                    <w:t>规格约400mm×400mm</w:t>
                  </w:r>
                </w:p>
              </w:tc>
              <w:tc>
                <w:tcPr>
                  <w:tcW w:w="2136" w:type="dxa"/>
                  <w:shd w:val="clear" w:color="auto" w:fill="auto"/>
                  <w:vAlign w:val="center"/>
                </w:tcPr>
                <w:p w14:paraId="7317328B">
                  <w:pPr>
                    <w:jc w:val="center"/>
                    <w:rPr>
                      <w:rFonts w:ascii="宋体" w:hAnsi="宋体" w:cs="宋体"/>
                      <w:color w:val="auto"/>
                      <w:sz w:val="24"/>
                      <w:highlight w:val="none"/>
                    </w:rPr>
                  </w:pPr>
                  <w:r>
                    <w:rPr>
                      <w:rFonts w:hint="eastAsia" w:ascii="宋体" w:hAnsi="宋体" w:cs="宋体"/>
                      <w:color w:val="auto"/>
                      <w:sz w:val="24"/>
                      <w:highlight w:val="none"/>
                    </w:rPr>
                    <w:t>喷涂</w:t>
                  </w:r>
                </w:p>
              </w:tc>
            </w:tr>
            <w:tr w14:paraId="386EC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8" w:type="dxa"/>
                  <w:shd w:val="clear" w:color="auto" w:fill="auto"/>
                  <w:vAlign w:val="center"/>
                </w:tcPr>
                <w:p w14:paraId="5A306B2A">
                  <w:pPr>
                    <w:jc w:val="center"/>
                    <w:rPr>
                      <w:rFonts w:ascii="宋体" w:hAnsi="宋体" w:cs="宋体"/>
                      <w:color w:val="auto"/>
                      <w:sz w:val="24"/>
                      <w:highlight w:val="none"/>
                    </w:rPr>
                  </w:pPr>
                  <w:r>
                    <w:rPr>
                      <w:rFonts w:hint="eastAsia" w:ascii="宋体" w:hAnsi="宋体" w:cs="宋体"/>
                      <w:color w:val="auto"/>
                      <w:sz w:val="24"/>
                      <w:highlight w:val="none"/>
                    </w:rPr>
                    <w:t>6</w:t>
                  </w:r>
                </w:p>
              </w:tc>
              <w:tc>
                <w:tcPr>
                  <w:tcW w:w="1008" w:type="dxa"/>
                  <w:vMerge w:val="continue"/>
                  <w:vAlign w:val="center"/>
                </w:tcPr>
                <w:p w14:paraId="60430BCE">
                  <w:pPr>
                    <w:widowControl/>
                    <w:jc w:val="center"/>
                    <w:rPr>
                      <w:rFonts w:ascii="宋体" w:hAnsi="宋体" w:cs="宋体"/>
                      <w:color w:val="auto"/>
                      <w:sz w:val="24"/>
                      <w:highlight w:val="none"/>
                    </w:rPr>
                  </w:pPr>
                </w:p>
              </w:tc>
              <w:tc>
                <w:tcPr>
                  <w:tcW w:w="2090" w:type="dxa"/>
                  <w:shd w:val="clear" w:color="auto" w:fill="auto"/>
                  <w:vAlign w:val="center"/>
                </w:tcPr>
                <w:p w14:paraId="4CD28EBE">
                  <w:pPr>
                    <w:jc w:val="center"/>
                    <w:rPr>
                      <w:rFonts w:ascii="宋体" w:hAnsi="宋体" w:cs="宋体"/>
                      <w:color w:val="auto"/>
                      <w:sz w:val="24"/>
                      <w:highlight w:val="none"/>
                    </w:rPr>
                  </w:pPr>
                  <w:r>
                    <w:rPr>
                      <w:rFonts w:hint="eastAsia" w:ascii="宋体" w:hAnsi="宋体" w:cs="宋体"/>
                      <w:color w:val="auto"/>
                      <w:sz w:val="24"/>
                      <w:highlight w:val="none"/>
                    </w:rPr>
                    <w:t>桌面板</w:t>
                  </w:r>
                </w:p>
              </w:tc>
              <w:tc>
                <w:tcPr>
                  <w:tcW w:w="1008" w:type="dxa"/>
                  <w:shd w:val="clear" w:color="auto" w:fill="auto"/>
                  <w:vAlign w:val="center"/>
                </w:tcPr>
                <w:p w14:paraId="4C729C14">
                  <w:pPr>
                    <w:jc w:val="center"/>
                    <w:rPr>
                      <w:rFonts w:ascii="宋体" w:hAnsi="宋体" w:cs="宋体"/>
                      <w:color w:val="auto"/>
                      <w:sz w:val="24"/>
                      <w:highlight w:val="none"/>
                    </w:rPr>
                  </w:pPr>
                  <w:r>
                    <w:rPr>
                      <w:rFonts w:hint="eastAsia" w:ascii="宋体" w:hAnsi="宋体" w:cs="宋体"/>
                      <w:color w:val="auto"/>
                      <w:sz w:val="24"/>
                      <w:highlight w:val="none"/>
                    </w:rPr>
                    <w:t>1块</w:t>
                  </w:r>
                </w:p>
              </w:tc>
              <w:tc>
                <w:tcPr>
                  <w:tcW w:w="2614" w:type="dxa"/>
                  <w:shd w:val="clear" w:color="auto" w:fill="auto"/>
                  <w:vAlign w:val="center"/>
                </w:tcPr>
                <w:p w14:paraId="4508CE10">
                  <w:pPr>
                    <w:jc w:val="center"/>
                    <w:rPr>
                      <w:rFonts w:ascii="宋体" w:hAnsi="宋体" w:cs="宋体"/>
                      <w:color w:val="auto"/>
                      <w:sz w:val="24"/>
                      <w:highlight w:val="none"/>
                    </w:rPr>
                  </w:pPr>
                  <w:r>
                    <w:rPr>
                      <w:rFonts w:hint="eastAsia" w:ascii="宋体" w:hAnsi="宋体" w:cs="宋体"/>
                      <w:color w:val="auto"/>
                      <w:sz w:val="24"/>
                      <w:highlight w:val="none"/>
                    </w:rPr>
                    <w:t>规格约200mm×200mm</w:t>
                  </w:r>
                </w:p>
              </w:tc>
              <w:tc>
                <w:tcPr>
                  <w:tcW w:w="2136" w:type="dxa"/>
                  <w:shd w:val="clear" w:color="auto" w:fill="auto"/>
                  <w:vAlign w:val="center"/>
                </w:tcPr>
                <w:p w14:paraId="40264BE3">
                  <w:pPr>
                    <w:jc w:val="center"/>
                    <w:rPr>
                      <w:rFonts w:ascii="宋体" w:hAnsi="宋体" w:cs="宋体"/>
                      <w:color w:val="auto"/>
                      <w:sz w:val="24"/>
                      <w:highlight w:val="none"/>
                    </w:rPr>
                  </w:pPr>
                  <w:r>
                    <w:rPr>
                      <w:rFonts w:hint="eastAsia" w:ascii="宋体" w:hAnsi="宋体" w:cs="宋体"/>
                      <w:color w:val="auto"/>
                      <w:sz w:val="24"/>
                      <w:highlight w:val="none"/>
                    </w:rPr>
                    <w:t>三面封边 ，一面裸露</w:t>
                  </w:r>
                </w:p>
              </w:tc>
            </w:tr>
            <w:tr w14:paraId="24B06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8" w:type="dxa"/>
                  <w:shd w:val="clear" w:color="auto" w:fill="auto"/>
                  <w:vAlign w:val="center"/>
                </w:tcPr>
                <w:p w14:paraId="312B17C6">
                  <w:pPr>
                    <w:jc w:val="center"/>
                    <w:rPr>
                      <w:rFonts w:ascii="宋体" w:hAnsi="宋体" w:cs="宋体"/>
                      <w:color w:val="auto"/>
                      <w:sz w:val="24"/>
                      <w:highlight w:val="none"/>
                    </w:rPr>
                  </w:pPr>
                  <w:r>
                    <w:rPr>
                      <w:rFonts w:hint="eastAsia" w:ascii="宋体" w:hAnsi="宋体" w:cs="宋体"/>
                      <w:color w:val="auto"/>
                      <w:sz w:val="24"/>
                      <w:highlight w:val="none"/>
                    </w:rPr>
                    <w:t>7</w:t>
                  </w:r>
                </w:p>
              </w:tc>
              <w:tc>
                <w:tcPr>
                  <w:tcW w:w="1008" w:type="dxa"/>
                  <w:shd w:val="clear" w:color="auto" w:fill="auto"/>
                  <w:vAlign w:val="center"/>
                </w:tcPr>
                <w:p w14:paraId="1F3CA896">
                  <w:pPr>
                    <w:jc w:val="center"/>
                    <w:rPr>
                      <w:rFonts w:ascii="宋体" w:hAnsi="宋体" w:cs="宋体"/>
                      <w:color w:val="auto"/>
                      <w:sz w:val="24"/>
                      <w:highlight w:val="none"/>
                    </w:rPr>
                  </w:pPr>
                  <w:r>
                    <w:rPr>
                      <w:rFonts w:hint="eastAsia" w:ascii="宋体" w:hAnsi="宋体" w:cs="宋体"/>
                      <w:color w:val="auto"/>
                      <w:sz w:val="24"/>
                      <w:highlight w:val="none"/>
                    </w:rPr>
                    <w:t>公寓椅</w:t>
                  </w:r>
                </w:p>
              </w:tc>
              <w:tc>
                <w:tcPr>
                  <w:tcW w:w="2090" w:type="dxa"/>
                  <w:shd w:val="clear" w:color="auto" w:fill="auto"/>
                  <w:vAlign w:val="center"/>
                </w:tcPr>
                <w:p w14:paraId="54D60884">
                  <w:pPr>
                    <w:jc w:val="center"/>
                    <w:rPr>
                      <w:rFonts w:ascii="宋体" w:hAnsi="宋体" w:cs="宋体"/>
                      <w:color w:val="auto"/>
                      <w:sz w:val="24"/>
                      <w:highlight w:val="none"/>
                    </w:rPr>
                  </w:pPr>
                  <w:r>
                    <w:rPr>
                      <w:rFonts w:hint="eastAsia" w:ascii="宋体" w:hAnsi="宋体" w:cs="宋体"/>
                      <w:color w:val="auto"/>
                      <w:sz w:val="24"/>
                      <w:highlight w:val="none"/>
                    </w:rPr>
                    <w:t>座板</w:t>
                  </w:r>
                </w:p>
              </w:tc>
              <w:tc>
                <w:tcPr>
                  <w:tcW w:w="1008" w:type="dxa"/>
                  <w:shd w:val="clear" w:color="auto" w:fill="auto"/>
                  <w:vAlign w:val="center"/>
                </w:tcPr>
                <w:p w14:paraId="1873521C">
                  <w:pPr>
                    <w:jc w:val="center"/>
                    <w:rPr>
                      <w:rFonts w:ascii="宋体" w:hAnsi="宋体" w:cs="宋体"/>
                      <w:color w:val="auto"/>
                      <w:sz w:val="24"/>
                      <w:highlight w:val="none"/>
                    </w:rPr>
                  </w:pPr>
                  <w:r>
                    <w:rPr>
                      <w:rFonts w:hint="eastAsia" w:ascii="宋体" w:hAnsi="宋体" w:cs="宋体"/>
                      <w:color w:val="auto"/>
                      <w:sz w:val="24"/>
                      <w:highlight w:val="none"/>
                    </w:rPr>
                    <w:t>1张</w:t>
                  </w:r>
                </w:p>
              </w:tc>
              <w:tc>
                <w:tcPr>
                  <w:tcW w:w="2614" w:type="dxa"/>
                  <w:shd w:val="clear" w:color="auto" w:fill="auto"/>
                  <w:vAlign w:val="center"/>
                </w:tcPr>
                <w:p w14:paraId="78371E7F">
                  <w:pPr>
                    <w:jc w:val="center"/>
                    <w:rPr>
                      <w:rFonts w:ascii="宋体" w:hAnsi="宋体" w:cs="宋体"/>
                      <w:color w:val="auto"/>
                      <w:sz w:val="24"/>
                      <w:highlight w:val="none"/>
                    </w:rPr>
                  </w:pPr>
                  <w:r>
                    <w:rPr>
                      <w:rFonts w:hint="eastAsia" w:ascii="宋体" w:hAnsi="宋体" w:cs="宋体"/>
                      <w:color w:val="auto"/>
                      <w:sz w:val="24"/>
                      <w:highlight w:val="none"/>
                    </w:rPr>
                    <w:t>完整提供</w:t>
                  </w:r>
                </w:p>
              </w:tc>
              <w:tc>
                <w:tcPr>
                  <w:tcW w:w="2136" w:type="dxa"/>
                  <w:shd w:val="clear" w:color="auto" w:fill="auto"/>
                  <w:vAlign w:val="center"/>
                </w:tcPr>
                <w:p w14:paraId="2019B0EE">
                  <w:pPr>
                    <w:jc w:val="center"/>
                    <w:rPr>
                      <w:rFonts w:ascii="宋体" w:hAnsi="宋体" w:cs="宋体"/>
                      <w:color w:val="auto"/>
                      <w:sz w:val="24"/>
                      <w:highlight w:val="none"/>
                    </w:rPr>
                  </w:pPr>
                  <w:r>
                    <w:rPr>
                      <w:rFonts w:hint="eastAsia" w:ascii="宋体" w:hAnsi="宋体" w:cs="宋体"/>
                      <w:color w:val="auto"/>
                      <w:sz w:val="24"/>
                      <w:highlight w:val="none"/>
                    </w:rPr>
                    <w:t>/</w:t>
                  </w:r>
                </w:p>
              </w:tc>
            </w:tr>
          </w:tbl>
          <w:p w14:paraId="55AF9BD2">
            <w:pPr>
              <w:widowControl/>
              <w:jc w:val="left"/>
              <w:rPr>
                <w:rFonts w:ascii="宋体" w:hAnsi="宋体" w:cs="宋体"/>
                <w:b/>
                <w:color w:val="auto"/>
                <w:sz w:val="24"/>
                <w:highlight w:val="none"/>
              </w:rPr>
            </w:pPr>
            <w:r>
              <w:rPr>
                <w:rFonts w:hint="eastAsia" w:ascii="宋体" w:hAnsi="宋体" w:cs="宋体"/>
                <w:b/>
                <w:color w:val="auto"/>
                <w:sz w:val="24"/>
                <w:highlight w:val="none"/>
              </w:rPr>
              <w:t>备注：</w:t>
            </w:r>
          </w:p>
          <w:p w14:paraId="78A26806">
            <w:pPr>
              <w:adjustRightInd w:val="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（1）小样只是作为加分项，不作为投标必须要求；小样尺寸不作为评定要求，但对小样有具体制作要求的按要求提供。</w:t>
            </w:r>
          </w:p>
          <w:p w14:paraId="222C46D9">
            <w:pPr>
              <w:adjustRightInd w:val="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（2）小样递交： ①所有样品统一封装密封后随采购报价文件一并交给采购代理机构；②箱子（袋子）正面贴上投标人名称、项目名称和项目编号等信息的标签；③各小样不能出现任何厂家（公司）或投标品牌标识，如出现透露信息的标识，小样不得进行评定。④工作人员只负责按箱（袋）数接收样品；评标前由采购代理机构工作人员将对标签进行遮盖，评定小样时由采购代理机构工作人员及评委一起打开，待评定小样完毕后，再拆封投标人的标签。</w:t>
            </w:r>
          </w:p>
          <w:p w14:paraId="25E3F1E0">
            <w:pPr>
              <w:widowControl/>
              <w:jc w:val="left"/>
              <w:textAlignment w:val="center"/>
              <w:rPr>
                <w:rFonts w:ascii="宋体" w:hAnsi="宋体" w:cs="宋体"/>
                <w:color w:val="auto"/>
                <w:sz w:val="24"/>
                <w:highlight w:val="none"/>
              </w:rPr>
            </w:pPr>
            <w:r>
              <w:rPr>
                <w:rFonts w:hint="eastAsia" w:asciiTheme="minorEastAsia" w:hAnsiTheme="minorEastAsia" w:eastAsiaTheme="minorEastAsia" w:cstheme="minorEastAsia"/>
                <w:color w:val="auto"/>
                <w:sz w:val="24"/>
                <w:highlight w:val="none"/>
              </w:rPr>
              <w:t xml:space="preserve"> (3) 中标供应商样品不退，作为验收依据之一。其余未中标的样品在接到本中心通知后两个工作日内予以退回，不及时领取样品所造成的损失，投标人自行承担。</w:t>
            </w:r>
          </w:p>
          <w:p w14:paraId="1FF4D1CE">
            <w:pPr>
              <w:adjustRightInd w:val="0"/>
              <w:rPr>
                <w:color w:val="auto"/>
                <w:sz w:val="24"/>
                <w:highlight w:val="none"/>
              </w:rPr>
            </w:pPr>
          </w:p>
        </w:tc>
      </w:tr>
      <w:tr w14:paraId="74F02B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572" w:hRule="atLeast"/>
          <w:jc w:val="center"/>
        </w:trPr>
        <w:tc>
          <w:tcPr>
            <w:tcW w:w="10664" w:type="dxa"/>
            <w:gridSpan w:val="2"/>
            <w:tcBorders>
              <w:top w:val="single" w:color="auto" w:sz="4" w:space="0"/>
              <w:left w:val="single" w:color="auto" w:sz="4" w:space="0"/>
              <w:bottom w:val="single" w:color="auto" w:sz="4" w:space="0"/>
              <w:right w:val="single" w:color="auto" w:sz="4" w:space="0"/>
            </w:tcBorders>
            <w:vAlign w:val="center"/>
          </w:tcPr>
          <w:p w14:paraId="47EDEB02">
            <w:pPr>
              <w:pStyle w:val="11"/>
              <w:spacing w:line="420" w:lineRule="exact"/>
              <w:rPr>
                <w:color w:val="auto"/>
                <w:sz w:val="24"/>
                <w:highlight w:val="none"/>
              </w:rPr>
            </w:pPr>
            <w:r>
              <w:rPr>
                <w:rFonts w:hint="eastAsia" w:ascii="宋体" w:hAnsi="宋体" w:cs="宋体"/>
                <w:color w:val="auto"/>
                <w:sz w:val="24"/>
                <w:szCs w:val="24"/>
                <w:highlight w:val="none"/>
              </w:rPr>
              <w:t>现场考察：投标前，投标人可根据自身的情况决定是否参加采购人统一组织的现场考察。</w:t>
            </w:r>
            <w:r>
              <w:rPr>
                <w:rFonts w:hint="eastAsia" w:ascii="宋体" w:hAnsi="宋体"/>
                <w:color w:val="auto"/>
                <w:sz w:val="24"/>
                <w:szCs w:val="24"/>
                <w:highlight w:val="none"/>
              </w:rPr>
              <w:t>现场勘查须携带的资料：供应商代表持单位介绍信原件或法人授权委托书原件</w:t>
            </w:r>
            <w:r>
              <w:rPr>
                <w:rFonts w:hint="eastAsia" w:ascii="宋体" w:hAnsi="宋体" w:cs="宋体"/>
                <w:color w:val="auto"/>
                <w:sz w:val="24"/>
                <w:szCs w:val="24"/>
                <w:highlight w:val="none"/>
              </w:rPr>
              <w:t>、个人身份证原件，请自备安全帽。现场考察统一时间：2025年   月   日上午10点00分，</w:t>
            </w:r>
            <w:r>
              <w:rPr>
                <w:rFonts w:hint="eastAsia" w:ascii="宋体" w:hAnsi="宋体"/>
                <w:b/>
                <w:bCs/>
                <w:color w:val="auto"/>
                <w:sz w:val="24"/>
                <w:szCs w:val="24"/>
                <w:highlight w:val="none"/>
              </w:rPr>
              <w:t>超过10时00分的不予接待（以到达现场勘查集合地址为准），后果由供应商自行负责）</w:t>
            </w:r>
            <w:r>
              <w:rPr>
                <w:rFonts w:hint="eastAsia" w:ascii="宋体" w:hAnsi="宋体" w:cs="宋体"/>
                <w:color w:val="auto"/>
                <w:sz w:val="24"/>
                <w:szCs w:val="24"/>
                <w:highlight w:val="none"/>
              </w:rPr>
              <w:t>。集中地点：</w:t>
            </w:r>
            <w:r>
              <w:rPr>
                <w:rFonts w:hint="eastAsia" w:asciiTheme="minorEastAsia" w:hAnsiTheme="minorEastAsia" w:eastAsiaTheme="minorEastAsia" w:cstheme="minorEastAsia"/>
                <w:color w:val="auto"/>
                <w:sz w:val="24"/>
                <w:szCs w:val="24"/>
                <w:highlight w:val="none"/>
                <w:shd w:val="clear" w:color="auto" w:fill="FFFFFE"/>
              </w:rPr>
              <w:t>南宁市武鸣区红岭大道636号，广西财经学院武鸣校区</w:t>
            </w:r>
            <w:r>
              <w:rPr>
                <w:rFonts w:hint="eastAsia" w:asciiTheme="minorEastAsia" w:hAnsiTheme="minorEastAsia" w:eastAsiaTheme="minorEastAsia" w:cstheme="minorEastAsia"/>
                <w:color w:val="auto"/>
                <w:sz w:val="24"/>
                <w:szCs w:val="24"/>
                <w:highlight w:val="none"/>
              </w:rPr>
              <w:t>。联系人：</w:t>
            </w:r>
            <w:r>
              <w:rPr>
                <w:rFonts w:hint="eastAsia" w:asciiTheme="minorEastAsia" w:hAnsiTheme="minorEastAsia" w:eastAsiaTheme="minorEastAsia" w:cstheme="minorEastAsia"/>
                <w:color w:val="auto"/>
                <w:sz w:val="24"/>
                <w:szCs w:val="24"/>
                <w:highlight w:val="none"/>
                <w:u w:val="single"/>
              </w:rPr>
              <w:t>XXXXXX</w:t>
            </w:r>
            <w:r>
              <w:rPr>
                <w:rFonts w:hint="eastAsia" w:asciiTheme="minorEastAsia" w:hAnsiTheme="minorEastAsia" w:eastAsiaTheme="minorEastAsia" w:cstheme="minorEastAsia"/>
                <w:color w:val="auto"/>
                <w:sz w:val="24"/>
                <w:szCs w:val="24"/>
                <w:highlight w:val="none"/>
              </w:rPr>
              <w:t xml:space="preserve"> ，联系电话：XXXX。</w:t>
            </w:r>
            <w:r>
              <w:rPr>
                <w:rFonts w:hint="eastAsia" w:ascii="宋体" w:hAnsi="宋体"/>
                <w:color w:val="auto"/>
                <w:sz w:val="24"/>
                <w:szCs w:val="24"/>
                <w:highlight w:val="none"/>
              </w:rPr>
              <w:t>经实地考察后，因自身原因考察不详细而导致投标方案偏差、中标后不能履约等一切责任由供应商自行承担，采购人对投标人做出的任何推论、理解和结论均不负责任。</w:t>
            </w:r>
          </w:p>
        </w:tc>
      </w:tr>
    </w:tbl>
    <w:p w14:paraId="4D93B30A">
      <w:pPr>
        <w:pStyle w:val="2"/>
        <w:rPr>
          <w:rFonts w:ascii="黑体" w:hAnsi="黑体" w:eastAsia="黑体" w:cs="黑体"/>
          <w:b w:val="0"/>
          <w:bCs w:val="0"/>
          <w:color w:val="auto"/>
          <w:sz w:val="32"/>
          <w:szCs w:val="32"/>
          <w:highlight w:val="none"/>
        </w:rPr>
      </w:pPr>
      <w:bookmarkStart w:id="9" w:name="_Toc29666"/>
      <w:r>
        <w:rPr>
          <w:rFonts w:hint="eastAsia" w:ascii="黑体" w:hAnsi="黑体" w:eastAsia="黑体" w:cs="黑体"/>
          <w:b w:val="0"/>
          <w:bCs w:val="0"/>
          <w:color w:val="auto"/>
          <w:sz w:val="32"/>
          <w:szCs w:val="32"/>
          <w:highlight w:val="none"/>
        </w:rPr>
        <w:t>五、项目评审标准和评审办法</w:t>
      </w:r>
      <w:bookmarkEnd w:id="9"/>
    </w:p>
    <w:p w14:paraId="3E1F8EE8">
      <w:pPr>
        <w:pStyle w:val="9"/>
        <w:spacing w:line="360" w:lineRule="exact"/>
        <w:ind w:firstLine="607" w:firstLineChars="216"/>
        <w:rPr>
          <w:rFonts w:cs="宋体"/>
          <w:b/>
          <w:color w:val="auto"/>
          <w:sz w:val="28"/>
          <w:szCs w:val="28"/>
          <w:highlight w:val="none"/>
        </w:rPr>
      </w:pPr>
      <w:r>
        <w:rPr>
          <w:rFonts w:hint="eastAsia" w:cs="宋体"/>
          <w:b/>
          <w:color w:val="auto"/>
          <w:sz w:val="28"/>
          <w:szCs w:val="28"/>
          <w:highlight w:val="none"/>
        </w:rPr>
        <w:t>一、评标原则</w:t>
      </w:r>
    </w:p>
    <w:p w14:paraId="3DDEBA18">
      <w:pPr>
        <w:pStyle w:val="9"/>
        <w:spacing w:line="360" w:lineRule="exact"/>
        <w:ind w:firstLine="647" w:firstLineChars="230"/>
        <w:rPr>
          <w:rFonts w:cs="宋体"/>
          <w:bCs/>
          <w:color w:val="auto"/>
          <w:sz w:val="28"/>
          <w:szCs w:val="28"/>
          <w:highlight w:val="none"/>
        </w:rPr>
      </w:pPr>
      <w:r>
        <w:rPr>
          <w:rFonts w:hint="eastAsia" w:cs="宋体"/>
          <w:b/>
          <w:color w:val="auto"/>
          <w:sz w:val="28"/>
          <w:szCs w:val="28"/>
          <w:highlight w:val="none"/>
        </w:rPr>
        <w:t>(一)评委组成：</w:t>
      </w:r>
      <w:r>
        <w:rPr>
          <w:rFonts w:hint="eastAsia" w:cs="宋体"/>
          <w:bCs/>
          <w:color w:val="auto"/>
          <w:sz w:val="28"/>
          <w:szCs w:val="28"/>
          <w:highlight w:val="none"/>
        </w:rPr>
        <w:t>本招标采购项目的</w:t>
      </w:r>
      <w:r>
        <w:rPr>
          <w:rFonts w:hint="eastAsia" w:cs="宋体"/>
          <w:color w:val="auto"/>
          <w:spacing w:val="-4"/>
          <w:sz w:val="28"/>
          <w:szCs w:val="28"/>
          <w:highlight w:val="none"/>
        </w:rPr>
        <w:t>评标委员会由采购人代表和评审专家组成，</w:t>
      </w:r>
      <w:r>
        <w:rPr>
          <w:rFonts w:hint="eastAsia" w:cs="宋体"/>
          <w:color w:val="auto"/>
          <w:sz w:val="28"/>
          <w:szCs w:val="28"/>
          <w:highlight w:val="none"/>
        </w:rPr>
        <w:t>成员人数应当为五人或以上单数，其中，技术、经济等方面的专家不得少于成员总数的三分之二</w:t>
      </w:r>
      <w:r>
        <w:rPr>
          <w:rFonts w:hint="eastAsia" w:cs="宋体"/>
          <w:color w:val="auto"/>
          <w:spacing w:val="-4"/>
          <w:sz w:val="28"/>
          <w:szCs w:val="28"/>
          <w:highlight w:val="none"/>
        </w:rPr>
        <w:t>。</w:t>
      </w:r>
    </w:p>
    <w:p w14:paraId="7E4FA038">
      <w:pPr>
        <w:pStyle w:val="9"/>
        <w:spacing w:line="360" w:lineRule="exact"/>
        <w:ind w:firstLine="669" w:firstLineChars="238"/>
        <w:rPr>
          <w:rFonts w:cs="宋体"/>
          <w:bCs/>
          <w:color w:val="auto"/>
          <w:sz w:val="28"/>
          <w:szCs w:val="28"/>
          <w:highlight w:val="none"/>
        </w:rPr>
      </w:pPr>
      <w:r>
        <w:rPr>
          <w:rFonts w:hint="eastAsia" w:cs="宋体"/>
          <w:b/>
          <w:color w:val="auto"/>
          <w:sz w:val="28"/>
          <w:szCs w:val="28"/>
          <w:highlight w:val="none"/>
        </w:rPr>
        <w:t>(二)评标依据：</w:t>
      </w:r>
      <w:r>
        <w:rPr>
          <w:rFonts w:hint="eastAsia" w:cs="宋体"/>
          <w:bCs/>
          <w:color w:val="auto"/>
          <w:sz w:val="28"/>
          <w:szCs w:val="28"/>
          <w:highlight w:val="none"/>
        </w:rPr>
        <w:t>评委将以招投标文件为评标依据，对投标人的内容按百分制打分。</w:t>
      </w:r>
    </w:p>
    <w:p w14:paraId="363181AE">
      <w:pPr>
        <w:pStyle w:val="9"/>
        <w:spacing w:line="360" w:lineRule="exact"/>
        <w:ind w:firstLine="683" w:firstLineChars="243"/>
        <w:rPr>
          <w:rFonts w:cs="宋体"/>
          <w:bCs/>
          <w:color w:val="auto"/>
          <w:sz w:val="28"/>
          <w:szCs w:val="28"/>
          <w:highlight w:val="none"/>
        </w:rPr>
      </w:pPr>
      <w:r>
        <w:rPr>
          <w:rFonts w:hint="eastAsia" w:cs="宋体"/>
          <w:b/>
          <w:color w:val="auto"/>
          <w:sz w:val="28"/>
          <w:szCs w:val="28"/>
          <w:highlight w:val="none"/>
        </w:rPr>
        <w:t>(三)评标方式：</w:t>
      </w:r>
      <w:r>
        <w:rPr>
          <w:rFonts w:hint="eastAsia" w:cs="宋体"/>
          <w:bCs/>
          <w:color w:val="auto"/>
          <w:sz w:val="28"/>
          <w:szCs w:val="28"/>
          <w:highlight w:val="none"/>
        </w:rPr>
        <w:t>以封闭方式进行。</w:t>
      </w:r>
    </w:p>
    <w:p w14:paraId="4D129256">
      <w:pPr>
        <w:pStyle w:val="9"/>
        <w:spacing w:line="360" w:lineRule="exact"/>
        <w:ind w:firstLine="551" w:firstLineChars="196"/>
        <w:outlineLvl w:val="0"/>
        <w:rPr>
          <w:rFonts w:cs="宋体"/>
          <w:b/>
          <w:color w:val="auto"/>
          <w:sz w:val="28"/>
          <w:szCs w:val="28"/>
          <w:highlight w:val="none"/>
        </w:rPr>
      </w:pPr>
      <w:bookmarkStart w:id="10" w:name="_Toc487"/>
      <w:r>
        <w:rPr>
          <w:rFonts w:hint="eastAsia" w:cs="宋体"/>
          <w:b/>
          <w:color w:val="auto"/>
          <w:sz w:val="28"/>
          <w:szCs w:val="28"/>
          <w:highlight w:val="none"/>
        </w:rPr>
        <w:t>二、评标方法</w:t>
      </w:r>
      <w:bookmarkEnd w:id="10"/>
    </w:p>
    <w:p w14:paraId="34F86C64">
      <w:pPr>
        <w:pStyle w:val="9"/>
        <w:spacing w:line="360" w:lineRule="exact"/>
        <w:ind w:firstLine="560" w:firstLineChars="200"/>
        <w:outlineLvl w:val="0"/>
        <w:rPr>
          <w:rFonts w:cs="宋体"/>
          <w:color w:val="auto"/>
          <w:sz w:val="28"/>
          <w:szCs w:val="28"/>
          <w:highlight w:val="none"/>
        </w:rPr>
      </w:pPr>
      <w:bookmarkStart w:id="11" w:name="_Toc10379"/>
      <w:r>
        <w:rPr>
          <w:rFonts w:hint="eastAsia" w:cs="宋体"/>
          <w:color w:val="auto"/>
          <w:sz w:val="28"/>
          <w:szCs w:val="28"/>
          <w:highlight w:val="none"/>
        </w:rPr>
        <w:t>（一）对进入详评的，采用百分制综合评分法。</w:t>
      </w:r>
      <w:bookmarkEnd w:id="11"/>
    </w:p>
    <w:p w14:paraId="121F839E">
      <w:pPr>
        <w:pStyle w:val="9"/>
        <w:spacing w:line="360" w:lineRule="exact"/>
        <w:ind w:firstLine="560" w:firstLineChars="200"/>
        <w:outlineLvl w:val="0"/>
        <w:rPr>
          <w:rFonts w:cs="宋体"/>
          <w:color w:val="auto"/>
          <w:sz w:val="28"/>
          <w:szCs w:val="28"/>
          <w:highlight w:val="none"/>
        </w:rPr>
      </w:pPr>
      <w:bookmarkStart w:id="12" w:name="_Toc3381"/>
      <w:r>
        <w:rPr>
          <w:rFonts w:hint="eastAsia" w:cs="宋体"/>
          <w:color w:val="auto"/>
          <w:sz w:val="28"/>
          <w:szCs w:val="28"/>
          <w:highlight w:val="none"/>
        </w:rPr>
        <w:t>（二）计分办法（按四舍五入取至百分位）：</w:t>
      </w:r>
      <w:bookmarkEnd w:id="12"/>
    </w:p>
    <w:p w14:paraId="10CB2E1B">
      <w:pPr>
        <w:pStyle w:val="14"/>
        <w:spacing w:line="360" w:lineRule="exact"/>
        <w:ind w:left="0" w:firstLine="551" w:firstLineChars="196"/>
        <w:outlineLvl w:val="0"/>
        <w:rPr>
          <w:rFonts w:ascii="宋体" w:hAnsi="宋体" w:cs="宋体"/>
          <w:b/>
          <w:color w:val="auto"/>
          <w:sz w:val="28"/>
          <w:szCs w:val="28"/>
          <w:highlight w:val="none"/>
        </w:rPr>
      </w:pPr>
      <w:bookmarkStart w:id="13" w:name="_Toc13665"/>
      <w:r>
        <w:rPr>
          <w:rFonts w:hint="eastAsia" w:ascii="宋体" w:hAnsi="宋体" w:cs="宋体"/>
          <w:b/>
          <w:color w:val="auto"/>
          <w:sz w:val="28"/>
          <w:szCs w:val="28"/>
          <w:highlight w:val="none"/>
        </w:rPr>
        <w:t>1、价格分………………………………………………………40分</w:t>
      </w:r>
      <w:bookmarkEnd w:id="13"/>
    </w:p>
    <w:p w14:paraId="45F6737C">
      <w:pPr>
        <w:pStyle w:val="9"/>
        <w:spacing w:line="360" w:lineRule="exact"/>
        <w:ind w:left="105" w:leftChars="50" w:firstLine="420" w:firstLineChars="150"/>
        <w:rPr>
          <w:rFonts w:cs="宋体"/>
          <w:color w:val="auto"/>
          <w:sz w:val="28"/>
          <w:szCs w:val="28"/>
          <w:highlight w:val="none"/>
        </w:rPr>
      </w:pPr>
      <w:r>
        <w:rPr>
          <w:rFonts w:hint="eastAsia" w:cs="宋体"/>
          <w:color w:val="auto"/>
          <w:sz w:val="28"/>
          <w:szCs w:val="28"/>
          <w:highlight w:val="none"/>
        </w:rPr>
        <w:t>（1）符合《政府采购促进中小企业发展管理办法》（财库[2020]46号）规定条件且按该办法中规定的格式提供了《中小企业声明函》的小型和微型企业，对其投标价给予10%的扣除，扣除后的价格为评标价，即评标价=投标价×（1-10%）；除上述情况外，评标价=投标价。</w:t>
      </w:r>
    </w:p>
    <w:p w14:paraId="61B4BEED">
      <w:pPr>
        <w:pStyle w:val="9"/>
        <w:spacing w:line="360" w:lineRule="exact"/>
        <w:ind w:firstLine="560" w:firstLineChars="200"/>
        <w:outlineLvl w:val="0"/>
        <w:rPr>
          <w:rFonts w:cs="宋体"/>
          <w:color w:val="auto"/>
          <w:sz w:val="28"/>
          <w:szCs w:val="28"/>
          <w:highlight w:val="none"/>
        </w:rPr>
      </w:pPr>
      <w:bookmarkStart w:id="14" w:name="_Toc23182"/>
      <w:r>
        <w:rPr>
          <w:rFonts w:hint="eastAsia" w:cs="宋体"/>
          <w:color w:val="auto"/>
          <w:sz w:val="28"/>
          <w:szCs w:val="28"/>
          <w:highlight w:val="none"/>
        </w:rPr>
        <w:t>投标产品的制造企业按《关于政府采购支持监狱企业发展有关问题的通知》(财库[2014]68号)认定为监狱企业的，在政府采购活动中，监狱企业视同小型、微型企业。投标人提供投标产品制造企业属于监狱企业的证明文件，不再提供《中小企业声明函》。</w:t>
      </w:r>
      <w:bookmarkEnd w:id="14"/>
    </w:p>
    <w:p w14:paraId="4C69F03A">
      <w:pPr>
        <w:pStyle w:val="9"/>
        <w:spacing w:line="360" w:lineRule="exact"/>
        <w:ind w:firstLine="560" w:firstLineChars="200"/>
        <w:outlineLvl w:val="0"/>
        <w:rPr>
          <w:rFonts w:cs="宋体"/>
          <w:color w:val="auto"/>
          <w:sz w:val="28"/>
          <w:szCs w:val="28"/>
          <w:highlight w:val="none"/>
        </w:rPr>
      </w:pPr>
      <w:bookmarkStart w:id="15" w:name="_Toc29029"/>
      <w:r>
        <w:rPr>
          <w:rFonts w:hint="eastAsia" w:cs="宋体"/>
          <w:color w:val="auto"/>
          <w:sz w:val="28"/>
          <w:szCs w:val="28"/>
          <w:highlight w:val="none"/>
        </w:rPr>
        <w:t>投标产品的制造单位按《关于促进残疾人就业政府采购政策的通知》(财库〔2017〕141号)认定为残疾人福利性单位的，在政府采购活动中，残疾人福利性单位视同小型、微型企业。投标人提供投标产品制造单位属于残疾人福利性单位的残疾人福利性单位声明函，不再提供《中小企业声明函》。</w:t>
      </w:r>
      <w:bookmarkEnd w:id="15"/>
    </w:p>
    <w:p w14:paraId="63086477">
      <w:pPr>
        <w:pStyle w:val="9"/>
        <w:spacing w:line="360" w:lineRule="exact"/>
        <w:ind w:firstLine="560" w:firstLineChars="200"/>
        <w:outlineLvl w:val="0"/>
        <w:rPr>
          <w:rFonts w:cs="宋体"/>
          <w:color w:val="auto"/>
          <w:sz w:val="28"/>
          <w:szCs w:val="28"/>
          <w:highlight w:val="none"/>
        </w:rPr>
      </w:pPr>
      <w:bookmarkStart w:id="16" w:name="_Toc15227"/>
      <w:r>
        <w:rPr>
          <w:rFonts w:hint="eastAsia" w:cs="宋体"/>
          <w:color w:val="auto"/>
          <w:sz w:val="28"/>
          <w:szCs w:val="28"/>
          <w:highlight w:val="none"/>
        </w:rPr>
        <w:t>（2）以满足招标文件的最低评标价为40分。</w:t>
      </w:r>
      <w:bookmarkEnd w:id="16"/>
    </w:p>
    <w:p w14:paraId="2989A9A0">
      <w:pPr>
        <w:pStyle w:val="9"/>
        <w:spacing w:line="360" w:lineRule="exact"/>
        <w:ind w:firstLine="560" w:firstLineChars="200"/>
        <w:outlineLvl w:val="0"/>
        <w:rPr>
          <w:rFonts w:cs="宋体"/>
          <w:bCs/>
          <w:color w:val="auto"/>
          <w:sz w:val="28"/>
          <w:szCs w:val="28"/>
          <w:highlight w:val="none"/>
        </w:rPr>
      </w:pPr>
      <w:bookmarkStart w:id="17" w:name="_Toc3162"/>
      <w:r>
        <w:rPr>
          <w:rFonts w:hint="eastAsia" w:cs="宋体"/>
          <w:bCs/>
          <w:color w:val="auto"/>
          <w:sz w:val="28"/>
          <w:szCs w:val="28"/>
          <w:highlight w:val="none"/>
        </w:rPr>
        <w:t>（3）某投标人价格分 = 投标人最低评标价（金额）/某投标人</w:t>
      </w:r>
      <w:r>
        <w:rPr>
          <w:rFonts w:hint="eastAsia" w:cs="宋体"/>
          <w:color w:val="auto"/>
          <w:sz w:val="28"/>
          <w:szCs w:val="28"/>
          <w:highlight w:val="none"/>
        </w:rPr>
        <w:t>评标价</w:t>
      </w:r>
      <w:r>
        <w:rPr>
          <w:rFonts w:hint="eastAsia" w:cs="宋体"/>
          <w:bCs/>
          <w:color w:val="auto"/>
          <w:sz w:val="28"/>
          <w:szCs w:val="28"/>
          <w:highlight w:val="none"/>
        </w:rPr>
        <w:t>（金额） ×40分</w:t>
      </w:r>
      <w:bookmarkEnd w:id="17"/>
    </w:p>
    <w:p w14:paraId="1DD93C42">
      <w:pPr>
        <w:spacing w:line="360" w:lineRule="exact"/>
        <w:ind w:firstLine="562" w:firstLineChars="200"/>
        <w:jc w:val="left"/>
        <w:rPr>
          <w:rFonts w:ascii="宋体" w:hAnsi="宋体" w:cs="宋体"/>
          <w:b/>
          <w:color w:val="auto"/>
          <w:sz w:val="28"/>
          <w:szCs w:val="28"/>
          <w:highlight w:val="none"/>
        </w:rPr>
      </w:pPr>
      <w:r>
        <w:rPr>
          <w:rFonts w:hint="eastAsia" w:ascii="宋体" w:hAnsi="宋体" w:cs="宋体"/>
          <w:b/>
          <w:color w:val="auto"/>
          <w:sz w:val="28"/>
          <w:szCs w:val="28"/>
          <w:highlight w:val="none"/>
        </w:rPr>
        <w:t>2、技术分……………………………………………………41分</w:t>
      </w:r>
    </w:p>
    <w:p w14:paraId="5612BB0D">
      <w:pPr>
        <w:pStyle w:val="32"/>
        <w:spacing w:line="360" w:lineRule="exact"/>
        <w:ind w:firstLine="562" w:firstLineChars="200"/>
        <w:rPr>
          <w:rFonts w:hAnsi="宋体"/>
          <w:b/>
          <w:bCs/>
          <w:color w:val="auto"/>
          <w:sz w:val="28"/>
          <w:szCs w:val="28"/>
          <w:highlight w:val="none"/>
        </w:rPr>
      </w:pPr>
      <w:r>
        <w:rPr>
          <w:rFonts w:hint="eastAsia" w:hAnsi="宋体"/>
          <w:b/>
          <w:bCs/>
          <w:color w:val="auto"/>
          <w:sz w:val="28"/>
          <w:szCs w:val="28"/>
          <w:highlight w:val="none"/>
        </w:rPr>
        <w:t>（1）检验报告分（</w:t>
      </w:r>
      <w:r>
        <w:rPr>
          <w:rFonts w:hint="eastAsia" w:hAnsi="宋体"/>
          <w:b/>
          <w:bCs/>
          <w:color w:val="auto"/>
          <w:sz w:val="28"/>
          <w:szCs w:val="28"/>
          <w:highlight w:val="none"/>
          <w:lang w:val="en-US" w:eastAsia="zh-CN"/>
        </w:rPr>
        <w:t>满分</w:t>
      </w:r>
      <w:r>
        <w:rPr>
          <w:rFonts w:hint="eastAsia" w:hAnsi="宋体"/>
          <w:b/>
          <w:bCs/>
          <w:color w:val="auto"/>
          <w:sz w:val="28"/>
          <w:szCs w:val="28"/>
          <w:highlight w:val="none"/>
        </w:rPr>
        <w:t>8分）</w:t>
      </w:r>
    </w:p>
    <w:p w14:paraId="435690F0">
      <w:pPr>
        <w:spacing w:line="360" w:lineRule="exact"/>
        <w:ind w:firstLine="570"/>
        <w:jc w:val="left"/>
        <w:rPr>
          <w:rFonts w:ascii="宋体" w:hAnsi="宋体" w:cs="宋体"/>
          <w:color w:val="auto"/>
          <w:sz w:val="28"/>
          <w:szCs w:val="28"/>
          <w:highlight w:val="none"/>
        </w:rPr>
      </w:pPr>
      <w:r>
        <w:rPr>
          <w:rFonts w:hint="eastAsia" w:ascii="宋体" w:hAnsi="宋体" w:cs="宋体"/>
          <w:color w:val="auto"/>
          <w:sz w:val="28"/>
          <w:szCs w:val="28"/>
          <w:highlight w:val="none"/>
        </w:rPr>
        <w:t xml:space="preserve"> 投标人提供 </w:t>
      </w:r>
      <w:r>
        <w:rPr>
          <w:rFonts w:ascii="宋体" w:hAnsi="宋体" w:cs="宋体"/>
          <w:color w:val="auto"/>
          <w:sz w:val="28"/>
          <w:szCs w:val="28"/>
          <w:highlight w:val="none"/>
        </w:rPr>
        <w:t>20</w:t>
      </w:r>
      <w:r>
        <w:rPr>
          <w:rFonts w:hint="eastAsia" w:ascii="宋体" w:hAnsi="宋体" w:cs="宋体"/>
          <w:color w:val="auto"/>
          <w:sz w:val="28"/>
          <w:szCs w:val="28"/>
          <w:highlight w:val="none"/>
        </w:rPr>
        <w:t>23年1月1日以来，由具有检测资质的第三方检测机构出具的送检产品原材料和成品的检测报告，扫描件并加盖投标人公章，原件备查；各投标人检验报告名字与要求不相同的，只要检测内容为相同则视为相符；检验报告的送检单位必须是投标人或生产厂家。</w:t>
      </w:r>
    </w:p>
    <w:p w14:paraId="0B953DFE">
      <w:pPr>
        <w:widowControl/>
        <w:spacing w:line="380" w:lineRule="exact"/>
        <w:ind w:firstLine="562" w:firstLineChars="200"/>
        <w:jc w:val="left"/>
        <w:rPr>
          <w:rFonts w:hint="eastAsia" w:ascii="宋体" w:hAnsi="宋体" w:eastAsia="宋体" w:cs="宋体"/>
          <w:b/>
          <w:bCs/>
          <w:color w:val="auto"/>
          <w:kern w:val="0"/>
          <w:sz w:val="28"/>
          <w:szCs w:val="28"/>
          <w:highlight w:val="none"/>
          <w:lang w:val="en-US" w:eastAsia="zh-CN" w:bidi="ar-SA"/>
        </w:rPr>
      </w:pPr>
      <w:r>
        <w:rPr>
          <w:rFonts w:hint="eastAsia" w:ascii="宋体" w:hAnsi="宋体" w:eastAsia="宋体" w:cs="宋体"/>
          <w:b/>
          <w:bCs/>
          <w:color w:val="auto"/>
          <w:kern w:val="0"/>
          <w:sz w:val="28"/>
          <w:szCs w:val="28"/>
          <w:highlight w:val="none"/>
          <w:lang w:val="en-US" w:eastAsia="zh-CN" w:bidi="ar-SA"/>
        </w:rPr>
        <w:t>原材料类（4分）：</w:t>
      </w:r>
    </w:p>
    <w:p w14:paraId="5CC8719D">
      <w:pPr>
        <w:widowControl/>
        <w:spacing w:line="380" w:lineRule="exact"/>
        <w:ind w:firstLine="560" w:firstLineChars="200"/>
        <w:jc w:val="left"/>
        <w:rPr>
          <w:rFonts w:ascii="宋体" w:hAnsi="宋体" w:cs="宋体"/>
          <w:bCs/>
          <w:color w:val="auto"/>
          <w:kern w:val="0"/>
          <w:sz w:val="28"/>
          <w:szCs w:val="28"/>
          <w:highlight w:val="none"/>
        </w:rPr>
      </w:pPr>
      <w:r>
        <w:rPr>
          <w:rFonts w:hint="eastAsia" w:ascii="宋体" w:hAnsi="宋体" w:cs="宋体"/>
          <w:bCs/>
          <w:color w:val="auto"/>
          <w:kern w:val="0"/>
          <w:sz w:val="28"/>
          <w:szCs w:val="28"/>
          <w:highlight w:val="none"/>
        </w:rPr>
        <w:t>①投标人提供具有检测资质的第三方检验机构出具的“</w:t>
      </w:r>
      <w:r>
        <w:rPr>
          <w:rFonts w:hint="eastAsia" w:ascii="宋体" w:hAnsi="宋体" w:cs="宋体"/>
          <w:b/>
          <w:bCs/>
          <w:color w:val="auto"/>
          <w:kern w:val="0"/>
          <w:sz w:val="28"/>
          <w:szCs w:val="28"/>
          <w:highlight w:val="none"/>
        </w:rPr>
        <w:t>PP塑料</w:t>
      </w:r>
      <w:r>
        <w:rPr>
          <w:rFonts w:hint="eastAsia" w:ascii="宋体" w:hAnsi="宋体" w:cs="宋体"/>
          <w:bCs/>
          <w:color w:val="auto"/>
          <w:kern w:val="0"/>
          <w:sz w:val="28"/>
          <w:szCs w:val="28"/>
          <w:highlight w:val="none"/>
        </w:rPr>
        <w:t>”抽样检测合格报告，检测依据包括但不限于：GB/T 32487-2016《塑料家具通用技术条件》、GB 28481-2012《塑料家具中有害物质限量》，检测报告包含但不限于以下内容：塑料材料理化性能（耐老化性、冲击强度）；理化性能；邻苯二甲酸酯；重金属；多环芳烃；多溴联苯；多溴二苯醚；提供符合以上要求的检测报告复印件得0.5分。</w:t>
      </w:r>
    </w:p>
    <w:p w14:paraId="531C03A8">
      <w:pPr>
        <w:widowControl/>
        <w:spacing w:line="380" w:lineRule="exact"/>
        <w:ind w:firstLine="560" w:firstLineChars="200"/>
        <w:jc w:val="left"/>
        <w:rPr>
          <w:rFonts w:ascii="宋体" w:hAnsi="宋体" w:cs="宋体"/>
          <w:bCs/>
          <w:color w:val="auto"/>
          <w:kern w:val="0"/>
          <w:sz w:val="28"/>
          <w:szCs w:val="28"/>
          <w:highlight w:val="none"/>
        </w:rPr>
      </w:pPr>
      <w:r>
        <w:rPr>
          <w:rFonts w:hint="eastAsia" w:ascii="宋体" w:hAnsi="宋体" w:cs="宋体"/>
          <w:bCs/>
          <w:color w:val="auto"/>
          <w:kern w:val="0"/>
          <w:sz w:val="28"/>
          <w:szCs w:val="28"/>
          <w:highlight w:val="none"/>
        </w:rPr>
        <w:t>②投标人提供具有检测资质的第三方检验机构出具的“</w:t>
      </w:r>
      <w:r>
        <w:rPr>
          <w:rFonts w:hint="eastAsia" w:ascii="宋体" w:hAnsi="宋体" w:cs="宋体"/>
          <w:b/>
          <w:bCs/>
          <w:color w:val="auto"/>
          <w:kern w:val="0"/>
          <w:sz w:val="28"/>
          <w:szCs w:val="28"/>
          <w:highlight w:val="none"/>
        </w:rPr>
        <w:t>实木多层板</w:t>
      </w:r>
      <w:r>
        <w:rPr>
          <w:rFonts w:hint="eastAsia" w:ascii="宋体" w:hAnsi="宋体" w:cs="宋体"/>
          <w:bCs/>
          <w:color w:val="auto"/>
          <w:kern w:val="0"/>
          <w:sz w:val="28"/>
          <w:szCs w:val="28"/>
          <w:highlight w:val="none"/>
        </w:rPr>
        <w:t>”抽样检测合格报告，检测依据包括但不限于：</w:t>
      </w:r>
      <w:r>
        <w:rPr>
          <w:rFonts w:ascii="宋体" w:hAnsi="宋体" w:cs="宋体"/>
          <w:b/>
          <w:color w:val="auto"/>
          <w:kern w:val="0"/>
          <w:sz w:val="28"/>
          <w:szCs w:val="28"/>
          <w:highlight w:val="none"/>
        </w:rPr>
        <w:t>GB/T 39600-2021</w:t>
      </w:r>
      <w:r>
        <w:rPr>
          <w:rFonts w:hint="eastAsia" w:ascii="宋体" w:hAnsi="宋体" w:cs="宋体"/>
          <w:b/>
          <w:color w:val="auto"/>
          <w:kern w:val="0"/>
          <w:sz w:val="28"/>
          <w:szCs w:val="28"/>
          <w:highlight w:val="none"/>
        </w:rPr>
        <w:t>《人造板及其制品甲醛释放量分级》甲醛释放量≤</w:t>
      </w:r>
      <w:r>
        <w:rPr>
          <w:rFonts w:ascii="宋体" w:hAnsi="宋体" w:cs="宋体"/>
          <w:b/>
          <w:color w:val="auto"/>
          <w:kern w:val="0"/>
          <w:sz w:val="28"/>
          <w:szCs w:val="28"/>
          <w:highlight w:val="none"/>
        </w:rPr>
        <w:t>0.050mg/m³</w:t>
      </w:r>
      <w:r>
        <w:rPr>
          <w:rFonts w:hint="eastAsia" w:ascii="宋体" w:hAnsi="宋体" w:cs="宋体"/>
          <w:b/>
          <w:color w:val="auto"/>
          <w:kern w:val="0"/>
          <w:sz w:val="28"/>
          <w:szCs w:val="28"/>
          <w:highlight w:val="none"/>
        </w:rPr>
        <w:t>（</w:t>
      </w:r>
      <w:r>
        <w:rPr>
          <w:rFonts w:ascii="宋体" w:hAnsi="宋体" w:cs="宋体"/>
          <w:b/>
          <w:color w:val="auto"/>
          <w:kern w:val="0"/>
          <w:sz w:val="28"/>
          <w:szCs w:val="28"/>
          <w:highlight w:val="none"/>
        </w:rPr>
        <w:t>E0</w:t>
      </w:r>
      <w:r>
        <w:rPr>
          <w:rFonts w:hint="eastAsia" w:ascii="宋体" w:hAnsi="宋体" w:cs="宋体"/>
          <w:b/>
          <w:color w:val="auto"/>
          <w:kern w:val="0"/>
          <w:sz w:val="28"/>
          <w:szCs w:val="28"/>
          <w:highlight w:val="none"/>
        </w:rPr>
        <w:t>级）</w:t>
      </w:r>
      <w:r>
        <w:rPr>
          <w:rFonts w:hint="eastAsia" w:ascii="宋体" w:hAnsi="宋体" w:cs="宋体"/>
          <w:bCs/>
          <w:color w:val="auto"/>
          <w:kern w:val="0"/>
          <w:sz w:val="28"/>
          <w:szCs w:val="28"/>
          <w:highlight w:val="none"/>
        </w:rPr>
        <w:t>、符合GB18580-2017《室内装饰装修材料人造板及其制品中甲醛释放限量》、GB/T 9846-2015《普通胶合板》、</w:t>
      </w:r>
      <w:r>
        <w:rPr>
          <w:rFonts w:ascii="宋体" w:hAnsi="宋体" w:cs="宋体"/>
          <w:b/>
          <w:color w:val="auto"/>
          <w:kern w:val="0"/>
          <w:sz w:val="28"/>
          <w:szCs w:val="28"/>
          <w:highlight w:val="none"/>
        </w:rPr>
        <w:t>QB/T 4071-2021</w:t>
      </w:r>
      <w:r>
        <w:rPr>
          <w:rFonts w:hint="eastAsia" w:ascii="宋体" w:hAnsi="宋体" w:cs="宋体"/>
          <w:b/>
          <w:color w:val="auto"/>
          <w:kern w:val="0"/>
          <w:sz w:val="28"/>
          <w:szCs w:val="28"/>
          <w:highlight w:val="none"/>
        </w:rPr>
        <w:t>《课桌椅》、</w:t>
      </w:r>
      <w:r>
        <w:rPr>
          <w:rFonts w:ascii="宋体" w:hAnsi="宋体" w:cs="宋体"/>
          <w:b/>
          <w:color w:val="auto"/>
          <w:kern w:val="0"/>
          <w:sz w:val="28"/>
          <w:szCs w:val="28"/>
          <w:highlight w:val="none"/>
        </w:rPr>
        <w:t>GB/T 35602-2017</w:t>
      </w:r>
      <w:r>
        <w:rPr>
          <w:rFonts w:hint="eastAsia" w:ascii="宋体" w:hAnsi="宋体" w:cs="宋体"/>
          <w:b/>
          <w:color w:val="auto"/>
          <w:kern w:val="0"/>
          <w:sz w:val="28"/>
          <w:szCs w:val="28"/>
          <w:highlight w:val="none"/>
        </w:rPr>
        <w:t>《绿色产品评价木质家具》</w:t>
      </w:r>
      <w:r>
        <w:rPr>
          <w:rFonts w:hint="eastAsia" w:ascii="宋体" w:hAnsi="宋体" w:cs="宋体"/>
          <w:bCs/>
          <w:color w:val="auto"/>
          <w:kern w:val="0"/>
          <w:sz w:val="28"/>
          <w:szCs w:val="28"/>
          <w:highlight w:val="none"/>
        </w:rPr>
        <w:t>，检测报告包含但不限于以下内容：长度、宽度及厚度偏差、边缘直度偏差、垂直度偏差、平整度偏差；含水率；胶合强度；浸渍剥离；静曲强度；弹性模量；甲醛释放量；总挥发性有机化合物（72h）；提供符合以上要求的检测报告复印件得0.5分。</w:t>
      </w:r>
    </w:p>
    <w:p w14:paraId="47DFB775">
      <w:pPr>
        <w:widowControl/>
        <w:spacing w:line="380" w:lineRule="exact"/>
        <w:ind w:firstLine="560" w:firstLineChars="200"/>
        <w:jc w:val="left"/>
        <w:rPr>
          <w:rFonts w:ascii="宋体" w:hAnsi="宋体" w:cs="宋体"/>
          <w:bCs/>
          <w:color w:val="auto"/>
          <w:kern w:val="0"/>
          <w:sz w:val="28"/>
          <w:szCs w:val="28"/>
          <w:highlight w:val="none"/>
        </w:rPr>
      </w:pPr>
      <w:r>
        <w:rPr>
          <w:rFonts w:hint="eastAsia" w:ascii="宋体" w:hAnsi="宋体" w:cs="宋体"/>
          <w:bCs/>
          <w:color w:val="auto"/>
          <w:kern w:val="0"/>
          <w:sz w:val="28"/>
          <w:szCs w:val="28"/>
          <w:highlight w:val="none"/>
        </w:rPr>
        <w:t>③投标人提供具有检测资质的第三方检验机构出具的“</w:t>
      </w:r>
      <w:r>
        <w:rPr>
          <w:rFonts w:hint="eastAsia" w:ascii="宋体" w:hAnsi="宋体" w:cs="宋体"/>
          <w:b/>
          <w:bCs/>
          <w:color w:val="auto"/>
          <w:kern w:val="0"/>
          <w:sz w:val="28"/>
          <w:szCs w:val="28"/>
          <w:highlight w:val="none"/>
        </w:rPr>
        <w:t>钢管</w:t>
      </w:r>
      <w:r>
        <w:rPr>
          <w:rFonts w:hint="eastAsia" w:ascii="宋体" w:hAnsi="宋体" w:cs="宋体"/>
          <w:bCs/>
          <w:color w:val="auto"/>
          <w:kern w:val="0"/>
          <w:sz w:val="28"/>
          <w:szCs w:val="28"/>
          <w:highlight w:val="none"/>
        </w:rPr>
        <w:t>”抽样检测合格报告，检测依据包括但不限于：QB/T 4767-2022《家具用钢构件》、GB/T 3094-2012 《冷拔异型钢管》、</w:t>
      </w:r>
      <w:r>
        <w:rPr>
          <w:rFonts w:ascii="宋体" w:hAnsi="宋体" w:cs="宋体"/>
          <w:b/>
          <w:color w:val="auto"/>
          <w:kern w:val="0"/>
          <w:sz w:val="28"/>
          <w:szCs w:val="28"/>
          <w:highlight w:val="none"/>
        </w:rPr>
        <w:t>GB/T 35602-2017</w:t>
      </w:r>
      <w:r>
        <w:rPr>
          <w:rFonts w:hint="eastAsia" w:ascii="宋体" w:hAnsi="宋体" w:cs="宋体"/>
          <w:b/>
          <w:color w:val="auto"/>
          <w:kern w:val="0"/>
          <w:sz w:val="28"/>
          <w:szCs w:val="28"/>
          <w:highlight w:val="none"/>
        </w:rPr>
        <w:t>《绿色产品评价</w:t>
      </w:r>
      <w:r>
        <w:rPr>
          <w:rFonts w:ascii="宋体" w:hAnsi="宋体" w:cs="宋体"/>
          <w:b/>
          <w:color w:val="auto"/>
          <w:kern w:val="0"/>
          <w:sz w:val="28"/>
          <w:szCs w:val="28"/>
          <w:highlight w:val="none"/>
        </w:rPr>
        <w:t xml:space="preserve"> </w:t>
      </w:r>
      <w:r>
        <w:rPr>
          <w:rFonts w:hint="eastAsia" w:ascii="宋体" w:hAnsi="宋体" w:cs="宋体"/>
          <w:b/>
          <w:color w:val="auto"/>
          <w:kern w:val="0"/>
          <w:sz w:val="28"/>
          <w:szCs w:val="28"/>
          <w:highlight w:val="none"/>
        </w:rPr>
        <w:t>木质家具》、</w:t>
      </w:r>
      <w:r>
        <w:rPr>
          <w:rFonts w:ascii="宋体" w:hAnsi="宋体" w:cs="宋体"/>
          <w:b/>
          <w:color w:val="auto"/>
          <w:kern w:val="0"/>
          <w:sz w:val="28"/>
          <w:szCs w:val="28"/>
          <w:highlight w:val="none"/>
        </w:rPr>
        <w:t>GB/T 10125-2021</w:t>
      </w:r>
      <w:r>
        <w:rPr>
          <w:rFonts w:hint="eastAsia" w:ascii="宋体" w:hAnsi="宋体" w:cs="宋体"/>
          <w:b/>
          <w:color w:val="auto"/>
          <w:kern w:val="0"/>
          <w:sz w:val="28"/>
          <w:szCs w:val="28"/>
          <w:highlight w:val="none"/>
        </w:rPr>
        <w:t>《人造气氛腐蚀试验</w:t>
      </w:r>
      <w:r>
        <w:rPr>
          <w:rFonts w:ascii="宋体" w:hAnsi="宋体" w:cs="宋体"/>
          <w:b/>
          <w:color w:val="auto"/>
          <w:kern w:val="0"/>
          <w:sz w:val="28"/>
          <w:szCs w:val="28"/>
          <w:highlight w:val="none"/>
        </w:rPr>
        <w:t xml:space="preserve"> </w:t>
      </w:r>
      <w:r>
        <w:rPr>
          <w:rFonts w:hint="eastAsia" w:ascii="宋体" w:hAnsi="宋体" w:cs="宋体"/>
          <w:b/>
          <w:color w:val="auto"/>
          <w:kern w:val="0"/>
          <w:sz w:val="28"/>
          <w:szCs w:val="28"/>
          <w:highlight w:val="none"/>
        </w:rPr>
        <w:t>盐雾试验》</w:t>
      </w:r>
      <w:r>
        <w:rPr>
          <w:rFonts w:hint="eastAsia" w:ascii="宋体" w:hAnsi="宋体" w:cs="宋体"/>
          <w:bCs/>
          <w:color w:val="auto"/>
          <w:kern w:val="0"/>
          <w:sz w:val="28"/>
          <w:szCs w:val="28"/>
          <w:highlight w:val="none"/>
        </w:rPr>
        <w:t>，检测报告包含但不限于以下内容：尺寸及偏差（厚度及偏差）；金属喷涂层（涂层厚度）60～130μm；金属件外观性能要求（管材、喷涂层）；金属喷塑涂层硬度≥H；金属喷塑涂层冲击强度；金属喷塑涂层耐腐蚀；力学性能（抗拉强度、断后伸长率）；表面涂层的可迁移元素（钡、镉、铬、铅、汞、硒）；金属涂层耐腐蚀等级（中性盐雾试验NSS、乙酸盐雾试验ASS）均达到10级；提供符合以上要求的检测报告复印件得0.5分。</w:t>
      </w:r>
    </w:p>
    <w:p w14:paraId="57D6A65E">
      <w:pPr>
        <w:widowControl/>
        <w:spacing w:line="380" w:lineRule="exact"/>
        <w:ind w:firstLine="560" w:firstLineChars="200"/>
        <w:jc w:val="left"/>
        <w:rPr>
          <w:rFonts w:ascii="宋体" w:hAnsi="宋体" w:cs="宋体"/>
          <w:bCs/>
          <w:color w:val="auto"/>
          <w:kern w:val="0"/>
          <w:sz w:val="28"/>
          <w:szCs w:val="28"/>
          <w:highlight w:val="none"/>
        </w:rPr>
      </w:pPr>
      <w:r>
        <w:rPr>
          <w:rFonts w:hint="eastAsia" w:ascii="宋体" w:hAnsi="宋体" w:cs="宋体"/>
          <w:bCs/>
          <w:color w:val="auto"/>
          <w:kern w:val="0"/>
          <w:sz w:val="28"/>
          <w:szCs w:val="28"/>
          <w:highlight w:val="none"/>
        </w:rPr>
        <w:t>④投标人提供具有检测资质的第三方检验机构出具的“</w:t>
      </w:r>
      <w:r>
        <w:rPr>
          <w:rFonts w:hint="eastAsia" w:ascii="宋体" w:hAnsi="宋体" w:cs="宋体"/>
          <w:b/>
          <w:bCs/>
          <w:color w:val="auto"/>
          <w:kern w:val="0"/>
          <w:sz w:val="28"/>
          <w:szCs w:val="28"/>
          <w:highlight w:val="none"/>
        </w:rPr>
        <w:t>冷轧钢板</w:t>
      </w:r>
      <w:r>
        <w:rPr>
          <w:rFonts w:hint="eastAsia" w:ascii="宋体" w:hAnsi="宋体" w:cs="宋体"/>
          <w:bCs/>
          <w:color w:val="auto"/>
          <w:kern w:val="0"/>
          <w:sz w:val="28"/>
          <w:szCs w:val="28"/>
          <w:highlight w:val="none"/>
        </w:rPr>
        <w:t>”抽样检测合格报告，检测依据包括但不限于：GB/T 11253-2019《碳素结构钢冷轧钢板及钢带》、</w:t>
      </w:r>
      <w:r>
        <w:rPr>
          <w:rFonts w:ascii="宋体" w:hAnsi="宋体" w:cs="宋体"/>
          <w:color w:val="auto"/>
          <w:kern w:val="0"/>
          <w:sz w:val="28"/>
          <w:szCs w:val="28"/>
          <w:highlight w:val="none"/>
        </w:rPr>
        <w:t>GB/T 10125-2021《人造气氛腐蚀试验 盐雾试验》</w:t>
      </w:r>
      <w:r>
        <w:rPr>
          <w:rFonts w:hint="eastAsia" w:ascii="宋体" w:hAnsi="宋体" w:cs="宋体"/>
          <w:color w:val="auto"/>
          <w:kern w:val="0"/>
          <w:sz w:val="28"/>
          <w:szCs w:val="28"/>
          <w:highlight w:val="none"/>
        </w:rPr>
        <w:t>、</w:t>
      </w:r>
      <w:r>
        <w:rPr>
          <w:rFonts w:ascii="宋体" w:hAnsi="宋体" w:cs="宋体"/>
          <w:color w:val="auto"/>
          <w:kern w:val="0"/>
          <w:sz w:val="28"/>
          <w:szCs w:val="28"/>
          <w:highlight w:val="none"/>
        </w:rPr>
        <w:t>GB/T 2423.17-2008《电工电子产品环境试验 第2部分：试验方法 试验Ka：盐雾》</w:t>
      </w:r>
      <w:r>
        <w:rPr>
          <w:rFonts w:hint="eastAsia" w:ascii="宋体" w:hAnsi="宋体" w:cs="宋体"/>
          <w:bCs/>
          <w:color w:val="auto"/>
          <w:kern w:val="0"/>
          <w:sz w:val="28"/>
          <w:szCs w:val="28"/>
          <w:highlight w:val="none"/>
        </w:rPr>
        <w:t>，检测报告包含但不限于以下内容：力学性能（规定塑性延伸强度、抗拉强度、断后伸长率）；弯曲试验；表面质量；表面结构（平均粗糙度）；外形（不平度、镰刀弯、脱方度、塔形）；经过人造气氛腐蚀试验（中性盐雾NSS、乙酸盐雾AASS），保护评级达到10级，外观评级达到10级；提供符合以上要求的检测报告复印件得0.5分。</w:t>
      </w:r>
    </w:p>
    <w:p w14:paraId="347E5638">
      <w:pPr>
        <w:widowControl/>
        <w:spacing w:line="380" w:lineRule="exact"/>
        <w:ind w:firstLine="560" w:firstLineChars="200"/>
        <w:jc w:val="left"/>
        <w:rPr>
          <w:rFonts w:ascii="宋体" w:hAnsi="宋体" w:cs="宋体"/>
          <w:bCs/>
          <w:color w:val="auto"/>
          <w:kern w:val="0"/>
          <w:sz w:val="28"/>
          <w:szCs w:val="28"/>
          <w:highlight w:val="none"/>
        </w:rPr>
      </w:pPr>
      <w:r>
        <w:rPr>
          <w:rFonts w:hint="eastAsia" w:ascii="宋体" w:hAnsi="宋体" w:cs="宋体"/>
          <w:bCs/>
          <w:color w:val="auto"/>
          <w:kern w:val="0"/>
          <w:sz w:val="28"/>
          <w:szCs w:val="28"/>
          <w:highlight w:val="none"/>
        </w:rPr>
        <w:t>⑤投标人提供具有检测资质的第三方检验机构出具的“</w:t>
      </w:r>
      <w:r>
        <w:rPr>
          <w:rFonts w:hint="eastAsia" w:ascii="宋体" w:hAnsi="宋体" w:cs="宋体"/>
          <w:b/>
          <w:bCs/>
          <w:color w:val="auto"/>
          <w:kern w:val="0"/>
          <w:sz w:val="28"/>
          <w:szCs w:val="28"/>
          <w:highlight w:val="none"/>
        </w:rPr>
        <w:t>粉末涂料</w:t>
      </w:r>
      <w:r>
        <w:rPr>
          <w:rFonts w:hint="eastAsia" w:ascii="宋体" w:hAnsi="宋体" w:cs="宋体"/>
          <w:bCs/>
          <w:color w:val="auto"/>
          <w:kern w:val="0"/>
          <w:sz w:val="28"/>
          <w:szCs w:val="28"/>
          <w:highlight w:val="none"/>
        </w:rPr>
        <w:t>”抽样检测合格报告，检测依据包括但不限于：HG/T 2006-2022《热固性和热塑性粉末涂料》、GB/T 35602-2017及最新有效版本《绿色产品评价 涂料》，检测报告包含但不限于以下内容：外观；筛余物（125μm）；密度；涂膜外观；附着力（干附着力）≤1级；铅笔硬度≥H；耐冲击性；杯突试验≥4mm；弯曲试验≤4mm；耐磨性（750g/500r）；耐酸性240h；耐碱性168h；耐沸水性2h；耐湿性（室内用）500h；耐人工气侯老化性；重金属元素含量（铅、镉、六价铬、汞、砷、钡、硒、锑、钴）；提供符合以上要求的检测报告复印件得0.5分。</w:t>
      </w:r>
    </w:p>
    <w:p w14:paraId="0D7728BE">
      <w:pPr>
        <w:widowControl/>
        <w:spacing w:line="380" w:lineRule="exact"/>
        <w:ind w:firstLine="560" w:firstLineChars="200"/>
        <w:jc w:val="left"/>
        <w:rPr>
          <w:rFonts w:ascii="宋体" w:hAnsi="宋体" w:cs="宋体"/>
          <w:bCs/>
          <w:color w:val="auto"/>
          <w:kern w:val="0"/>
          <w:sz w:val="28"/>
          <w:szCs w:val="28"/>
          <w:highlight w:val="none"/>
        </w:rPr>
      </w:pPr>
      <w:r>
        <w:rPr>
          <w:rFonts w:hint="eastAsia" w:ascii="宋体" w:hAnsi="宋体" w:cs="宋体"/>
          <w:bCs/>
          <w:color w:val="auto"/>
          <w:kern w:val="0"/>
          <w:sz w:val="28"/>
          <w:szCs w:val="28"/>
          <w:highlight w:val="none"/>
        </w:rPr>
        <w:t>⑥投标人提供具有检测资质的第三方检验机构出具的“</w:t>
      </w:r>
      <w:r>
        <w:rPr>
          <w:rFonts w:hint="eastAsia" w:ascii="宋体" w:hAnsi="宋体" w:cs="宋体"/>
          <w:b/>
          <w:bCs/>
          <w:color w:val="auto"/>
          <w:kern w:val="0"/>
          <w:sz w:val="28"/>
          <w:szCs w:val="28"/>
          <w:highlight w:val="none"/>
        </w:rPr>
        <w:t>水性面漆</w:t>
      </w:r>
      <w:r>
        <w:rPr>
          <w:rFonts w:hint="eastAsia" w:ascii="宋体" w:hAnsi="宋体" w:cs="宋体"/>
          <w:bCs/>
          <w:color w:val="auto"/>
          <w:kern w:val="0"/>
          <w:sz w:val="28"/>
          <w:szCs w:val="28"/>
          <w:highlight w:val="none"/>
        </w:rPr>
        <w:t>”抽样检测合格报告，检测依据包括但不限于：GB/T 23999-2009《室内装饰装修用水性木器涂料》、</w:t>
      </w:r>
      <w:r>
        <w:rPr>
          <w:rFonts w:ascii="宋体" w:hAnsi="宋体" w:cs="宋体"/>
          <w:color w:val="auto"/>
          <w:kern w:val="0"/>
          <w:sz w:val="28"/>
          <w:szCs w:val="28"/>
          <w:highlight w:val="none"/>
        </w:rPr>
        <w:t>GB/T 38597-2020《低挥发性有机化合物含量涂料产品技术要求》</w:t>
      </w:r>
      <w:r>
        <w:rPr>
          <w:rFonts w:hint="eastAsia" w:ascii="宋体" w:hAnsi="宋体" w:cs="宋体"/>
          <w:color w:val="auto"/>
          <w:kern w:val="0"/>
          <w:sz w:val="28"/>
          <w:szCs w:val="28"/>
          <w:highlight w:val="none"/>
        </w:rPr>
        <w:t>、</w:t>
      </w:r>
      <w:r>
        <w:rPr>
          <w:rFonts w:ascii="宋体" w:hAnsi="宋体" w:cs="宋体"/>
          <w:color w:val="auto"/>
          <w:kern w:val="0"/>
          <w:sz w:val="28"/>
          <w:szCs w:val="28"/>
          <w:highlight w:val="none"/>
        </w:rPr>
        <w:t>GB/T 30647-2014《涂料中有害物质限量》</w:t>
      </w:r>
      <w:r>
        <w:rPr>
          <w:rFonts w:hint="eastAsia" w:ascii="宋体" w:hAnsi="宋体" w:cs="宋体"/>
          <w:color w:val="auto"/>
          <w:kern w:val="0"/>
          <w:sz w:val="28"/>
          <w:szCs w:val="28"/>
          <w:highlight w:val="none"/>
        </w:rPr>
        <w:t>、</w:t>
      </w:r>
      <w:r>
        <w:rPr>
          <w:rFonts w:hint="eastAsia" w:ascii="宋体" w:hAnsi="宋体" w:cs="宋体"/>
          <w:bCs/>
          <w:color w:val="auto"/>
          <w:kern w:val="0"/>
          <w:sz w:val="28"/>
          <w:szCs w:val="28"/>
          <w:highlight w:val="none"/>
        </w:rPr>
        <w:t>GB/T 35602-2017及最新有效版本《绿色产品评价 涂料》，检测报告包含但不限于以下内容：细度；不挥发物；干燥时间；贮存稳定性；耐冻融性；涂膜外观；硬度（擦伤）；附着力；耐冲击性；抗粘连性；耐磨性；耐划伤性；耐水性；耐碱性；耐醇性；耐污染性；耐干热性；耐黄变性；卤代烃（以二氯甲烷计）≤100mg/kg；挥发性有机化合物（VOC）含量≤50g/L；重金属元素含量（限木器和地坪用色漆和腻子）（铅、镉、六价铬、汞、砷、钡、硒、锑、钴）；甲醛含量≤50mg/kg；乙二醇醚及醚酯总和含量≤50mg/kg；苯系物总和含量≤50mg/kg；烷基酚聚氧乙烯醚总和含量≤50mg/kg；提供符合以上要求的检测报告复印件得0.5分。</w:t>
      </w:r>
    </w:p>
    <w:p w14:paraId="6B6E8041">
      <w:pPr>
        <w:widowControl/>
        <w:spacing w:line="380" w:lineRule="exact"/>
        <w:ind w:firstLine="560" w:firstLineChars="200"/>
        <w:jc w:val="left"/>
        <w:rPr>
          <w:rFonts w:ascii="宋体" w:hAnsi="宋体" w:cs="宋体"/>
          <w:bCs/>
          <w:color w:val="auto"/>
          <w:kern w:val="0"/>
          <w:sz w:val="28"/>
          <w:szCs w:val="28"/>
          <w:highlight w:val="none"/>
        </w:rPr>
      </w:pPr>
      <w:r>
        <w:rPr>
          <w:rFonts w:hint="eastAsia" w:ascii="宋体" w:hAnsi="宋体" w:cs="宋体"/>
          <w:bCs/>
          <w:color w:val="auto"/>
          <w:kern w:val="0"/>
          <w:sz w:val="28"/>
          <w:szCs w:val="28"/>
          <w:highlight w:val="none"/>
        </w:rPr>
        <w:t>⑦投标人提供具有检测资质的第三方检验机构出具的“</w:t>
      </w:r>
      <w:r>
        <w:rPr>
          <w:rFonts w:hint="eastAsia" w:ascii="宋体" w:hAnsi="宋体" w:cs="宋体"/>
          <w:b/>
          <w:bCs/>
          <w:color w:val="auto"/>
          <w:kern w:val="0"/>
          <w:sz w:val="28"/>
          <w:szCs w:val="28"/>
          <w:highlight w:val="none"/>
        </w:rPr>
        <w:t>水性底漆</w:t>
      </w:r>
      <w:r>
        <w:rPr>
          <w:rFonts w:hint="eastAsia" w:ascii="宋体" w:hAnsi="宋体" w:cs="宋体"/>
          <w:bCs/>
          <w:color w:val="auto"/>
          <w:kern w:val="0"/>
          <w:sz w:val="28"/>
          <w:szCs w:val="28"/>
          <w:highlight w:val="none"/>
        </w:rPr>
        <w:t>”抽样检测合格报告，检测依据包括但不限于：GB/T 23999-2009《室内装饰装修用水性木器涂料》、</w:t>
      </w:r>
      <w:r>
        <w:rPr>
          <w:rFonts w:ascii="宋体" w:hAnsi="宋体" w:cs="宋体"/>
          <w:color w:val="auto"/>
          <w:kern w:val="0"/>
          <w:sz w:val="28"/>
          <w:szCs w:val="28"/>
          <w:highlight w:val="none"/>
        </w:rPr>
        <w:t>GB/T 25249-2010《水性木器涂料》</w:t>
      </w:r>
      <w:r>
        <w:rPr>
          <w:rFonts w:hint="eastAsia" w:ascii="宋体" w:hAnsi="宋体" w:cs="宋体"/>
          <w:color w:val="auto"/>
          <w:kern w:val="0"/>
          <w:sz w:val="28"/>
          <w:szCs w:val="28"/>
          <w:highlight w:val="none"/>
        </w:rPr>
        <w:t>、</w:t>
      </w:r>
      <w:r>
        <w:rPr>
          <w:rFonts w:ascii="宋体" w:hAnsi="宋体" w:cs="宋体"/>
          <w:color w:val="auto"/>
          <w:kern w:val="0"/>
          <w:sz w:val="28"/>
          <w:szCs w:val="28"/>
          <w:highlight w:val="none"/>
        </w:rPr>
        <w:t>GB/T 30647-2014《涂料中有害物质限量》</w:t>
      </w:r>
      <w:r>
        <w:rPr>
          <w:rFonts w:hint="eastAsia" w:ascii="宋体" w:hAnsi="宋体" w:cs="宋体"/>
          <w:color w:val="auto"/>
          <w:kern w:val="0"/>
          <w:sz w:val="28"/>
          <w:szCs w:val="28"/>
          <w:highlight w:val="none"/>
        </w:rPr>
        <w:t>、</w:t>
      </w:r>
      <w:r>
        <w:rPr>
          <w:rFonts w:hint="eastAsia" w:ascii="宋体" w:hAnsi="宋体" w:cs="宋体"/>
          <w:bCs/>
          <w:color w:val="auto"/>
          <w:kern w:val="0"/>
          <w:sz w:val="28"/>
          <w:szCs w:val="28"/>
          <w:highlight w:val="none"/>
        </w:rPr>
        <w:t>GB/T 35602-2017及最新有效版本《绿色产品评价 涂料》，检测报告包含但不限于以下内容：细度；不挥发物；干燥时间；贮存稳定性；耐冻融性；涂膜外观；打磨性；卤代烃（以二氯甲烷计）≤100mg/kg；挥发性有机化合物（VOC）含量≤50g/L；重金属元素含量（限木器和地坪用色漆和腻子）（铅、镉、六价铬、汞、砷、钡、硒、锑、钴）；甲醛含量≤50mg/kg；乙二醇醚及醚酯总和含量≤50mg/kg；苯系物总和含量≤50mg/kg；烷基酚聚氧乙烯醚总和含量≤50mg/kg；提供符合以上要求的检测报告复印件得0.5分。</w:t>
      </w:r>
    </w:p>
    <w:p w14:paraId="1802D69C">
      <w:pPr>
        <w:widowControl/>
        <w:spacing w:line="380" w:lineRule="exact"/>
        <w:ind w:firstLine="560" w:firstLineChars="200"/>
        <w:jc w:val="left"/>
        <w:rPr>
          <w:rFonts w:ascii="宋体" w:hAnsi="宋体" w:cs="宋体"/>
          <w:bCs/>
          <w:color w:val="auto"/>
          <w:kern w:val="0"/>
          <w:sz w:val="28"/>
          <w:szCs w:val="28"/>
          <w:highlight w:val="none"/>
        </w:rPr>
      </w:pPr>
      <w:r>
        <w:rPr>
          <w:rFonts w:hint="eastAsia" w:ascii="宋体" w:hAnsi="宋体" w:cs="宋体"/>
          <w:bCs/>
          <w:color w:val="auto"/>
          <w:kern w:val="0"/>
          <w:sz w:val="28"/>
          <w:szCs w:val="28"/>
          <w:highlight w:val="none"/>
        </w:rPr>
        <w:t>⑧投标人提供具有检测资质的第三方检验机构出具的“</w:t>
      </w:r>
      <w:r>
        <w:rPr>
          <w:rFonts w:hint="eastAsia" w:ascii="宋体" w:hAnsi="宋体" w:cs="宋体"/>
          <w:b/>
          <w:bCs/>
          <w:color w:val="auto"/>
          <w:kern w:val="0"/>
          <w:sz w:val="28"/>
          <w:szCs w:val="28"/>
          <w:highlight w:val="none"/>
        </w:rPr>
        <w:t>白乳胶</w:t>
      </w:r>
      <w:r>
        <w:rPr>
          <w:rFonts w:hint="eastAsia" w:ascii="宋体" w:hAnsi="宋体" w:cs="宋体"/>
          <w:bCs/>
          <w:color w:val="auto"/>
          <w:kern w:val="0"/>
          <w:sz w:val="28"/>
          <w:szCs w:val="28"/>
          <w:highlight w:val="none"/>
        </w:rPr>
        <w:t>”抽样检测合格报告，检测依据包括但不限于：</w:t>
      </w:r>
      <w:r>
        <w:rPr>
          <w:rFonts w:ascii="宋体" w:hAnsi="宋体" w:cs="宋体"/>
          <w:color w:val="auto"/>
          <w:kern w:val="0"/>
          <w:sz w:val="28"/>
          <w:szCs w:val="28"/>
          <w:highlight w:val="none"/>
        </w:rPr>
        <w:t>GB/T 29499-2013《建筑胶粘剂通用技术要求》</w:t>
      </w:r>
      <w:r>
        <w:rPr>
          <w:rFonts w:hint="eastAsia" w:ascii="宋体" w:hAnsi="宋体" w:cs="宋体"/>
          <w:color w:val="auto"/>
          <w:kern w:val="0"/>
          <w:sz w:val="28"/>
          <w:szCs w:val="28"/>
          <w:highlight w:val="none"/>
        </w:rPr>
        <w:t>、</w:t>
      </w:r>
      <w:r>
        <w:rPr>
          <w:rFonts w:ascii="宋体" w:hAnsi="宋体" w:cs="宋体"/>
          <w:color w:val="auto"/>
          <w:kern w:val="0"/>
          <w:sz w:val="28"/>
          <w:szCs w:val="28"/>
          <w:highlight w:val="none"/>
        </w:rPr>
        <w:t>GB 18583-2022《室内装饰装修材料 胶粘剂中有害物质限量》</w:t>
      </w:r>
      <w:r>
        <w:rPr>
          <w:rFonts w:hint="eastAsia" w:ascii="宋体" w:hAnsi="宋体" w:cs="宋体"/>
          <w:color w:val="auto"/>
          <w:kern w:val="0"/>
          <w:sz w:val="28"/>
          <w:szCs w:val="28"/>
          <w:highlight w:val="none"/>
        </w:rPr>
        <w:t>、</w:t>
      </w:r>
      <w:r>
        <w:rPr>
          <w:rFonts w:ascii="宋体" w:hAnsi="宋体" w:cs="宋体"/>
          <w:color w:val="auto"/>
          <w:kern w:val="0"/>
          <w:sz w:val="28"/>
          <w:szCs w:val="28"/>
          <w:highlight w:val="none"/>
        </w:rPr>
        <w:t>HG/T 2727-2010《聚乙酸乙烯酯乳液木材胶粘剂》</w:t>
      </w:r>
      <w:r>
        <w:rPr>
          <w:rFonts w:hint="eastAsia" w:ascii="宋体" w:hAnsi="宋体" w:cs="宋体"/>
          <w:bCs/>
          <w:color w:val="auto"/>
          <w:kern w:val="0"/>
          <w:sz w:val="28"/>
          <w:szCs w:val="28"/>
          <w:highlight w:val="none"/>
        </w:rPr>
        <w:t>，检测报告包含但不限于以下内容：外观；PH值；黏度；不挥发物；最低成膜温度；木材污染性；压缩剪切强度；游离甲醛≤0.05g/kg；总挥发性有机物≤50g/L；苯≤0.02g/kg；甲苯+二甲苯≤0.2g/kg；卤代烃不得检出；提供符合以上要求的检测报告复印件得0.5分。</w:t>
      </w:r>
    </w:p>
    <w:p w14:paraId="79DDFE2A">
      <w:pPr>
        <w:widowControl/>
        <w:spacing w:line="380" w:lineRule="exact"/>
        <w:ind w:firstLine="562" w:firstLineChars="200"/>
        <w:jc w:val="left"/>
        <w:rPr>
          <w:rFonts w:hint="eastAsia" w:ascii="宋体" w:hAnsi="宋体" w:eastAsia="宋体" w:cs="宋体"/>
          <w:b/>
          <w:bCs/>
          <w:color w:val="auto"/>
          <w:kern w:val="0"/>
          <w:sz w:val="28"/>
          <w:szCs w:val="28"/>
          <w:highlight w:val="none"/>
          <w:lang w:val="en-US" w:eastAsia="zh-CN" w:bidi="ar-SA"/>
        </w:rPr>
      </w:pPr>
      <w:r>
        <w:rPr>
          <w:rFonts w:hint="eastAsia" w:ascii="宋体" w:hAnsi="宋体" w:eastAsia="宋体" w:cs="宋体"/>
          <w:b/>
          <w:bCs/>
          <w:color w:val="auto"/>
          <w:kern w:val="0"/>
          <w:sz w:val="28"/>
          <w:szCs w:val="28"/>
          <w:highlight w:val="none"/>
          <w:lang w:val="en-US" w:eastAsia="zh-CN" w:bidi="ar-SA"/>
        </w:rPr>
        <w:t>成品类（4分）：</w:t>
      </w:r>
    </w:p>
    <w:p w14:paraId="664FB8B7">
      <w:pPr>
        <w:widowControl/>
        <w:spacing w:line="380" w:lineRule="exact"/>
        <w:ind w:firstLine="560" w:firstLineChars="200"/>
        <w:jc w:val="left"/>
        <w:rPr>
          <w:rFonts w:ascii="宋体" w:hAnsi="宋体" w:cs="宋体"/>
          <w:bCs/>
          <w:color w:val="auto"/>
          <w:kern w:val="0"/>
          <w:sz w:val="28"/>
          <w:szCs w:val="28"/>
          <w:highlight w:val="none"/>
        </w:rPr>
      </w:pPr>
      <w:r>
        <w:rPr>
          <w:rFonts w:hint="eastAsia" w:ascii="宋体" w:hAnsi="宋体" w:cs="宋体"/>
          <w:bCs/>
          <w:color w:val="auto"/>
          <w:kern w:val="0"/>
          <w:sz w:val="28"/>
          <w:szCs w:val="28"/>
          <w:highlight w:val="none"/>
        </w:rPr>
        <w:t>①投标人提供具有检测资质的第三方检验机构出具的“公寓床”检测报告，检测依据：QB/T2741-2013《学生公寓多功能家具》，检测报告包含但不限于以下内容：主要尺寸及偏差，形状与位置公差（翘曲度、平整度、邻边垂直度、底脚平稳性）均检测合格，软硬质覆面（耐冷热循环、耐干热、耐液性、表面耐磨性、抗冲击、耐光色牢度、桌面耐污染、表面胶合强度）均检测合格，金属件喷涂层（抗盐雾、抗冲击、附着力）均检测合格，力学性能（床面垂直静载荷、床面垂直耐久性、床面垂直冲击、床面水平静载荷、床面冲击）均检测合格，床甲醛释放量≤0.3mg/L，表面涂层可迁移元素（锑Sb、砷As、钡Ba、镉Cd、铬Cr、铅Pb、汞Hg、硒Se ）无检出；提供符合以上要求的抽样检测报告复印件得1分，提供符合以上要求的型式检测报告复印件得2分，本项满分2分。</w:t>
      </w:r>
    </w:p>
    <w:p w14:paraId="68E5E38C">
      <w:pPr>
        <w:widowControl/>
        <w:spacing w:line="380" w:lineRule="exact"/>
        <w:ind w:firstLine="560" w:firstLineChars="200"/>
        <w:jc w:val="left"/>
        <w:rPr>
          <w:rFonts w:ascii="宋体" w:hAnsi="宋体" w:cs="宋体"/>
          <w:bCs/>
          <w:color w:val="auto"/>
          <w:kern w:val="0"/>
          <w:sz w:val="28"/>
          <w:szCs w:val="28"/>
          <w:highlight w:val="none"/>
        </w:rPr>
      </w:pPr>
      <w:r>
        <w:rPr>
          <w:rFonts w:hint="eastAsia" w:ascii="宋体" w:hAnsi="宋体" w:cs="宋体"/>
          <w:bCs/>
          <w:color w:val="auto"/>
          <w:kern w:val="0"/>
          <w:sz w:val="28"/>
          <w:szCs w:val="28"/>
          <w:highlight w:val="none"/>
        </w:rPr>
        <w:t>②投标人提供具有检测资质的第三方检验机构出具的“公寓椅”检测报告，检测依据：QB/T 4071-2021《课桌椅》，检测报告包含但不限于以下内容：主要尺寸及偏差，软硬质覆面（耐冷热循环、耐干热、耐液性、表面耐磨性、抗冲击、耐光色牢度、表面耐污染、表面胶合强度）圴检测合格，力学性能（座面椅背联合静载荷、座面侧向静载荷、椅腿向前静载荷、椅腿侧向静载荷、座面冲击、椅背冲击、扶手侧向静载荷、扶手垂直向下静载荷、椅扶手冲击）均检测合格，公寓椅甲醛释放量≤0.3mg/L，表面涂层可迁移元素（锑Sb、砷As、钡Ba、镉Cd、铬Cr、铅Pb、汞Hg、硒Se ）无检出，塑料件中邻苯二甲酸酯无检出，塑料件中重金属（可溶性铅、可溶性镉、可溶性铬、可溶性汞）无检出，苯并[a]芘≤0.5mg/kg，16种多环芳烃（PAH）总量≤0.5mg/kg，塑料件中多溴联苯（PBB）≤10mg/kg，塑料件中多溴二苯醚（PBDE）≤10mg/kg；提供符合以上要求的抽样检测报告复印件得1分，提供符合以上要求的型式检测报告复印件得2分，本项满分2分。</w:t>
      </w:r>
    </w:p>
    <w:p w14:paraId="3116280A">
      <w:pPr>
        <w:widowControl/>
        <w:spacing w:line="380" w:lineRule="exact"/>
        <w:ind w:firstLine="562" w:firstLineChars="200"/>
        <w:jc w:val="left"/>
        <w:rPr>
          <w:rFonts w:hint="eastAsia" w:ascii="宋体" w:hAnsi="宋体" w:eastAsia="宋体" w:cs="宋体"/>
          <w:b/>
          <w:bCs/>
          <w:color w:val="auto"/>
          <w:kern w:val="0"/>
          <w:sz w:val="28"/>
          <w:szCs w:val="28"/>
          <w:highlight w:val="none"/>
          <w:lang w:val="en-US" w:eastAsia="zh-CN" w:bidi="ar-SA"/>
        </w:rPr>
      </w:pPr>
      <w:r>
        <w:rPr>
          <w:rFonts w:hint="eastAsia" w:ascii="宋体" w:hAnsi="宋体" w:eastAsia="宋体" w:cs="宋体"/>
          <w:b/>
          <w:bCs/>
          <w:color w:val="auto"/>
          <w:kern w:val="0"/>
          <w:sz w:val="28"/>
          <w:szCs w:val="28"/>
          <w:highlight w:val="none"/>
          <w:lang w:val="en-US" w:eastAsia="zh-CN" w:bidi="ar-SA"/>
        </w:rPr>
        <w:t>（2）小样分（满分8分）</w:t>
      </w:r>
    </w:p>
    <w:p w14:paraId="1B9A7923">
      <w:pPr>
        <w:pStyle w:val="32"/>
        <w:spacing w:line="360" w:lineRule="exact"/>
        <w:ind w:firstLine="560" w:firstLineChars="200"/>
        <w:rPr>
          <w:rFonts w:hAnsi="宋体"/>
          <w:bCs/>
          <w:color w:val="auto"/>
          <w:sz w:val="28"/>
          <w:szCs w:val="28"/>
          <w:highlight w:val="none"/>
        </w:rPr>
      </w:pPr>
      <w:r>
        <w:rPr>
          <w:rFonts w:hint="eastAsia" w:hAnsi="宋体"/>
          <w:bCs/>
          <w:color w:val="auto"/>
          <w:sz w:val="28"/>
          <w:szCs w:val="28"/>
          <w:highlight w:val="none"/>
        </w:rPr>
        <w:t>评标委员会对投标人提供小样的参数、结构、样式、材质及结构设计、外观、做工等方面进行综合评定打分：</w:t>
      </w:r>
    </w:p>
    <w:p w14:paraId="091BA1B2">
      <w:pPr>
        <w:pStyle w:val="32"/>
        <w:spacing w:line="360" w:lineRule="exact"/>
        <w:ind w:firstLine="560" w:firstLineChars="200"/>
        <w:rPr>
          <w:rFonts w:hAnsi="宋体"/>
          <w:bCs/>
          <w:color w:val="auto"/>
          <w:sz w:val="28"/>
          <w:szCs w:val="28"/>
          <w:highlight w:val="none"/>
        </w:rPr>
      </w:pPr>
      <w:r>
        <w:rPr>
          <w:rFonts w:hint="eastAsia" w:hAnsi="宋体"/>
          <w:bCs/>
          <w:color w:val="auto"/>
          <w:sz w:val="28"/>
          <w:szCs w:val="28"/>
          <w:highlight w:val="none"/>
        </w:rPr>
        <w:t>一档（2分）：①投标小样及辅件提供齐全；②小样参数、外观、样式、材料性能符合采购需求；③小样有2项以上明显瑕疵的（如有明显的焊渣、焊疤、裂缝、毛刺、黑斑、外观损伤等瑕疵的）。</w:t>
      </w:r>
    </w:p>
    <w:p w14:paraId="1DC696B9">
      <w:pPr>
        <w:pStyle w:val="32"/>
        <w:spacing w:line="360" w:lineRule="exact"/>
        <w:ind w:firstLine="560" w:firstLineChars="200"/>
        <w:rPr>
          <w:rFonts w:hAnsi="宋体"/>
          <w:bCs/>
          <w:color w:val="auto"/>
          <w:sz w:val="28"/>
          <w:szCs w:val="28"/>
          <w:highlight w:val="none"/>
        </w:rPr>
      </w:pPr>
      <w:r>
        <w:rPr>
          <w:rFonts w:hint="eastAsia" w:hAnsi="宋体"/>
          <w:bCs/>
          <w:color w:val="auto"/>
          <w:sz w:val="28"/>
          <w:szCs w:val="28"/>
          <w:highlight w:val="none"/>
        </w:rPr>
        <w:t>二档（4分）：①投标小样及辅件提供齐全；②小样参数、外观、样式、材料性能符合采购需求；③小样有1项瑕疵的（如有明显的焊渣、焊疤、裂缝、毛刺、黑斑、外观损伤等瑕疵的）。</w:t>
      </w:r>
    </w:p>
    <w:p w14:paraId="02C78D76">
      <w:pPr>
        <w:pStyle w:val="32"/>
        <w:spacing w:line="360" w:lineRule="exact"/>
        <w:ind w:firstLine="560" w:firstLineChars="200"/>
        <w:rPr>
          <w:rFonts w:hAnsi="宋体"/>
          <w:bCs/>
          <w:color w:val="auto"/>
          <w:sz w:val="28"/>
          <w:szCs w:val="28"/>
          <w:highlight w:val="none"/>
        </w:rPr>
      </w:pPr>
      <w:r>
        <w:rPr>
          <w:rFonts w:hint="eastAsia" w:hAnsi="宋体"/>
          <w:bCs/>
          <w:color w:val="auto"/>
          <w:sz w:val="28"/>
          <w:szCs w:val="28"/>
          <w:highlight w:val="none"/>
        </w:rPr>
        <w:t>三档（6分）：①投标小样及辅件提供齐全；②小样参数、外观、样式、材料性能符合采购需求，全部小样展示功能符合招标文件参数要求的；③小样无瑕疵，且有1-2项优于招标文件的。</w:t>
      </w:r>
    </w:p>
    <w:p w14:paraId="2E253C71">
      <w:pPr>
        <w:pStyle w:val="32"/>
        <w:spacing w:line="360" w:lineRule="exact"/>
        <w:ind w:firstLine="560" w:firstLineChars="200"/>
        <w:rPr>
          <w:rFonts w:hAnsi="宋体"/>
          <w:bCs/>
          <w:color w:val="auto"/>
          <w:sz w:val="28"/>
          <w:szCs w:val="28"/>
          <w:highlight w:val="none"/>
        </w:rPr>
      </w:pPr>
      <w:r>
        <w:rPr>
          <w:rFonts w:hint="eastAsia" w:hAnsi="宋体"/>
          <w:bCs/>
          <w:color w:val="auto"/>
          <w:sz w:val="28"/>
          <w:szCs w:val="28"/>
          <w:highlight w:val="none"/>
        </w:rPr>
        <w:t>四档（8分）：在三档的基础上满足以下要求：①小样外表感观良好，工艺精致，无明显刺激性气味。②款式设计符合人体工学设计、色彩搭配协调、丰满度高等；③功能有3项以上优于使用需求，舒适性好；结构牢固稳定，部件严密平整，棱边棱角倒圆倒角安全美观；喷涂平整光滑，纹理清晰、层次感分明、质感好等。</w:t>
      </w:r>
    </w:p>
    <w:p w14:paraId="2D788CED">
      <w:pPr>
        <w:pStyle w:val="32"/>
        <w:spacing w:line="360" w:lineRule="exact"/>
        <w:ind w:firstLine="560" w:firstLineChars="200"/>
        <w:rPr>
          <w:rFonts w:hAnsi="宋体"/>
          <w:bCs/>
          <w:color w:val="auto"/>
          <w:sz w:val="28"/>
          <w:szCs w:val="28"/>
          <w:highlight w:val="none"/>
        </w:rPr>
      </w:pPr>
      <w:r>
        <w:rPr>
          <w:rFonts w:hint="eastAsia" w:hAnsi="宋体"/>
          <w:bCs/>
          <w:color w:val="auto"/>
          <w:sz w:val="28"/>
          <w:szCs w:val="28"/>
          <w:highlight w:val="none"/>
        </w:rPr>
        <w:t>（投标人未提供小样或提供的小样不全的，本项不得分）</w:t>
      </w:r>
    </w:p>
    <w:p w14:paraId="4E956320">
      <w:pPr>
        <w:widowControl/>
        <w:spacing w:line="380" w:lineRule="exact"/>
        <w:ind w:firstLine="562" w:firstLineChars="200"/>
        <w:jc w:val="left"/>
        <w:rPr>
          <w:rFonts w:hint="eastAsia" w:ascii="宋体" w:hAnsi="宋体" w:eastAsia="宋体" w:cs="宋体"/>
          <w:b/>
          <w:bCs/>
          <w:color w:val="auto"/>
          <w:kern w:val="0"/>
          <w:sz w:val="28"/>
          <w:szCs w:val="28"/>
          <w:highlight w:val="none"/>
          <w:lang w:val="en-US" w:eastAsia="zh-CN" w:bidi="ar-SA"/>
        </w:rPr>
      </w:pPr>
      <w:r>
        <w:rPr>
          <w:rFonts w:hint="eastAsia" w:ascii="宋体" w:hAnsi="宋体" w:eastAsia="宋体" w:cs="宋体"/>
          <w:b/>
          <w:bCs/>
          <w:color w:val="auto"/>
          <w:kern w:val="0"/>
          <w:sz w:val="28"/>
          <w:szCs w:val="28"/>
          <w:highlight w:val="none"/>
          <w:lang w:val="en-US" w:eastAsia="zh-CN" w:bidi="ar-SA"/>
        </w:rPr>
        <w:t>（3）产品设计方案分（满分8分）</w:t>
      </w:r>
    </w:p>
    <w:p w14:paraId="06841BB2">
      <w:pPr>
        <w:widowControl/>
        <w:spacing w:line="360" w:lineRule="exact"/>
        <w:ind w:firstLine="560" w:firstLineChars="200"/>
        <w:jc w:val="left"/>
        <w:rPr>
          <w:rFonts w:ascii="宋体" w:hAnsi="宋体" w:cs="宋体"/>
          <w:color w:val="auto"/>
          <w:sz w:val="28"/>
          <w:szCs w:val="28"/>
          <w:highlight w:val="none"/>
        </w:rPr>
      </w:pPr>
      <w:r>
        <w:rPr>
          <w:rFonts w:hint="eastAsia" w:ascii="宋体" w:hAnsi="宋体" w:cs="宋体"/>
          <w:color w:val="auto"/>
          <w:sz w:val="28"/>
          <w:szCs w:val="28"/>
          <w:highlight w:val="none"/>
        </w:rPr>
        <w:t>评标委员会对投标人提供所投产品“项号</w:t>
      </w:r>
      <w:r>
        <w:rPr>
          <w:rFonts w:ascii="宋体" w:hAnsi="宋体" w:cs="宋体"/>
          <w:color w:val="auto"/>
          <w:sz w:val="28"/>
          <w:szCs w:val="28"/>
          <w:highlight w:val="none"/>
        </w:rPr>
        <w:t>1</w:t>
      </w:r>
      <w:r>
        <w:rPr>
          <w:rFonts w:hint="eastAsia" w:ascii="宋体" w:hAnsi="宋体" w:cs="宋体"/>
          <w:color w:val="auto"/>
          <w:sz w:val="28"/>
          <w:szCs w:val="28"/>
          <w:highlight w:val="none"/>
        </w:rPr>
        <w:t>三连体（三人位）组合公寓床、项号</w:t>
      </w:r>
      <w:r>
        <w:rPr>
          <w:rFonts w:ascii="宋体" w:hAnsi="宋体" w:cs="宋体"/>
          <w:color w:val="auto"/>
          <w:sz w:val="28"/>
          <w:szCs w:val="28"/>
          <w:highlight w:val="none"/>
        </w:rPr>
        <w:t>2</w:t>
      </w:r>
      <w:r>
        <w:rPr>
          <w:rFonts w:hint="eastAsia" w:ascii="宋体" w:hAnsi="宋体" w:cs="宋体"/>
          <w:color w:val="auto"/>
          <w:sz w:val="28"/>
          <w:szCs w:val="28"/>
          <w:highlight w:val="none"/>
        </w:rPr>
        <w:t>单体公寓床、项号3无障碍组合公寓床、项号4公寓椅”的设计结构图纸、产品效果图、产品部件图及规格尺寸、产品使用功能描述等内容，考核产品设计的规范合理性、安全实用性、创新性等。</w:t>
      </w:r>
    </w:p>
    <w:p w14:paraId="14883818">
      <w:pPr>
        <w:widowControl/>
        <w:spacing w:line="360" w:lineRule="exact"/>
        <w:ind w:firstLine="560" w:firstLineChars="200"/>
        <w:jc w:val="left"/>
        <w:rPr>
          <w:rFonts w:ascii="宋体" w:hAnsi="宋体" w:cs="宋体"/>
          <w:color w:val="auto"/>
          <w:sz w:val="28"/>
          <w:szCs w:val="28"/>
          <w:highlight w:val="none"/>
        </w:rPr>
      </w:pPr>
      <w:r>
        <w:rPr>
          <w:rFonts w:hint="eastAsia" w:ascii="宋体" w:hAnsi="宋体" w:cs="宋体"/>
          <w:color w:val="auto"/>
          <w:sz w:val="28"/>
          <w:szCs w:val="28"/>
          <w:highlight w:val="none"/>
        </w:rPr>
        <w:t>一档（2分)：提供产品的设计结构图、产品效果图及产品主要零部件尺寸测量图（边立柱、中立柱)，有产品使用功能描述的、产品结构分析，符合采购人实际要求的。</w:t>
      </w:r>
    </w:p>
    <w:p w14:paraId="7B2F0F34">
      <w:pPr>
        <w:widowControl/>
        <w:spacing w:line="360" w:lineRule="exact"/>
        <w:ind w:firstLine="560" w:firstLineChars="200"/>
        <w:jc w:val="left"/>
        <w:rPr>
          <w:rFonts w:ascii="宋体" w:hAnsi="宋体" w:cs="宋体"/>
          <w:color w:val="auto"/>
          <w:sz w:val="28"/>
          <w:szCs w:val="28"/>
          <w:highlight w:val="none"/>
        </w:rPr>
      </w:pPr>
      <w:r>
        <w:rPr>
          <w:rFonts w:hint="eastAsia" w:ascii="宋体" w:hAnsi="宋体" w:cs="宋体"/>
          <w:color w:val="auto"/>
          <w:sz w:val="28"/>
          <w:szCs w:val="28"/>
          <w:highlight w:val="none"/>
        </w:rPr>
        <w:t>二档（4分)：提供产品的设计结构图、产品效果图及其本项目涉及零部件的结构图、产品主要零部件尺寸测量图（边立柱、中立柱、床横梁、立柱上横管、下横管）、产品使用功能描述产品结构符合采购人实际要求，基本体现产品设计的规范合理性、安全实用性、创新性。</w:t>
      </w:r>
    </w:p>
    <w:p w14:paraId="60EF44EA">
      <w:pPr>
        <w:widowControl/>
        <w:spacing w:line="360" w:lineRule="exact"/>
        <w:ind w:firstLine="560" w:firstLineChars="200"/>
        <w:jc w:val="left"/>
        <w:rPr>
          <w:rFonts w:ascii="宋体" w:hAnsi="宋体" w:cs="宋体"/>
          <w:color w:val="auto"/>
          <w:sz w:val="28"/>
          <w:szCs w:val="28"/>
          <w:highlight w:val="none"/>
        </w:rPr>
      </w:pPr>
      <w:r>
        <w:rPr>
          <w:rFonts w:hint="eastAsia" w:ascii="宋体" w:hAnsi="宋体" w:cs="宋体"/>
          <w:color w:val="auto"/>
          <w:sz w:val="28"/>
          <w:szCs w:val="28"/>
          <w:highlight w:val="none"/>
        </w:rPr>
        <w:t>三档（6分)：提供产品的设计结构图、产品效果图及其本项目涉及零部件的结构图、产品主要零部件尺寸测量图（边立柱、中立柱、床横梁、立柱上横管、下横管、前护栏、爬梯、学习桌、书架），产品使用功能描述、产品结构符合采购人实际要求，体现产品设计的规范合理性、安全实用性、创新性，设计方案有特色。</w:t>
      </w:r>
    </w:p>
    <w:p w14:paraId="3CA0B864">
      <w:pPr>
        <w:widowControl/>
        <w:spacing w:line="360" w:lineRule="exact"/>
        <w:ind w:firstLine="560" w:firstLineChars="200"/>
        <w:jc w:val="left"/>
        <w:rPr>
          <w:rFonts w:ascii="宋体" w:hAnsi="宋体" w:cs="宋体"/>
          <w:color w:val="auto"/>
          <w:sz w:val="28"/>
          <w:szCs w:val="28"/>
          <w:highlight w:val="none"/>
        </w:rPr>
      </w:pPr>
      <w:r>
        <w:rPr>
          <w:rFonts w:hint="eastAsia" w:ascii="宋体" w:hAnsi="宋体" w:cs="宋体"/>
          <w:color w:val="auto"/>
          <w:sz w:val="28"/>
          <w:szCs w:val="28"/>
          <w:highlight w:val="none"/>
        </w:rPr>
        <w:t>四档（8分)：提供产品的设计结构图、产品效果图、设计摆放图及其本项目涉及零部件的结构图、产品主要零部件尺寸测量图（边立柱、中立柱、床横梁、立柱上横管、下横管、前护栏、爬梯、学习桌、书架、椅子钢管、椅子座面板、椅子靠背面板），产品使用功能描述很清晰、完整的，产品结构符合采购人实际要求的，完全体现产品设计的规范合理性、安全实用性、创新性，设计方案有特色，有人性化。</w:t>
      </w:r>
    </w:p>
    <w:p w14:paraId="60AB49ED">
      <w:pPr>
        <w:widowControl/>
        <w:spacing w:line="380" w:lineRule="exact"/>
        <w:ind w:firstLine="562" w:firstLineChars="200"/>
        <w:jc w:val="left"/>
        <w:rPr>
          <w:rFonts w:hint="eastAsia" w:ascii="宋体" w:hAnsi="宋体" w:eastAsia="宋体" w:cs="宋体"/>
          <w:b/>
          <w:bCs/>
          <w:color w:val="auto"/>
          <w:kern w:val="0"/>
          <w:sz w:val="28"/>
          <w:szCs w:val="28"/>
          <w:highlight w:val="none"/>
          <w:lang w:val="en-US" w:eastAsia="zh-CN" w:bidi="ar-SA"/>
        </w:rPr>
      </w:pPr>
      <w:r>
        <w:rPr>
          <w:rFonts w:hint="eastAsia" w:ascii="宋体" w:hAnsi="宋体" w:eastAsia="宋体" w:cs="宋体"/>
          <w:b/>
          <w:bCs/>
          <w:color w:val="auto"/>
          <w:kern w:val="0"/>
          <w:sz w:val="28"/>
          <w:szCs w:val="28"/>
          <w:highlight w:val="none"/>
          <w:lang w:val="en-US" w:eastAsia="zh-CN" w:bidi="ar-SA"/>
        </w:rPr>
        <w:t>（4）项目实施安装分(满分9分)</w:t>
      </w:r>
    </w:p>
    <w:p w14:paraId="4AC7E330">
      <w:pPr>
        <w:widowControl/>
        <w:spacing w:line="360" w:lineRule="exact"/>
        <w:ind w:firstLine="560" w:firstLineChars="200"/>
        <w:jc w:val="left"/>
        <w:rPr>
          <w:rFonts w:ascii="宋体" w:hAnsi="宋体" w:cs="宋体"/>
          <w:color w:val="auto"/>
          <w:sz w:val="28"/>
          <w:szCs w:val="28"/>
          <w:highlight w:val="none"/>
        </w:rPr>
      </w:pPr>
      <w:r>
        <w:rPr>
          <w:rFonts w:hint="eastAsia" w:ascii="宋体" w:hAnsi="宋体" w:cs="宋体"/>
          <w:color w:val="auto"/>
          <w:sz w:val="28"/>
          <w:szCs w:val="28"/>
          <w:highlight w:val="none"/>
        </w:rPr>
        <w:t>一档（3 分）：项目实施方案进度安排合理，实施方案简单，配套有货物存放仓库、送货人员、运输工具、项目实施人员，能按时完成配送、安装任务，保证项目正常实施。</w:t>
      </w:r>
    </w:p>
    <w:p w14:paraId="760380AD">
      <w:pPr>
        <w:widowControl/>
        <w:spacing w:line="360" w:lineRule="exact"/>
        <w:ind w:firstLine="560" w:firstLineChars="200"/>
        <w:jc w:val="left"/>
        <w:rPr>
          <w:rFonts w:ascii="宋体" w:hAnsi="宋体" w:cs="宋体"/>
          <w:color w:val="auto"/>
          <w:sz w:val="28"/>
          <w:szCs w:val="28"/>
          <w:highlight w:val="none"/>
        </w:rPr>
      </w:pPr>
      <w:r>
        <w:rPr>
          <w:rFonts w:hint="eastAsia" w:ascii="宋体" w:hAnsi="宋体" w:cs="宋体"/>
          <w:color w:val="auto"/>
          <w:sz w:val="28"/>
          <w:szCs w:val="28"/>
          <w:highlight w:val="none"/>
        </w:rPr>
        <w:t>二档（6分）：项目实施方案较详细，配套有货物存放仓库、送货人员、运输工具、项目实施人员，项目生产能力、实施的技术力量和人力资源安排等有一定保障，安装调试方案详细完整。</w:t>
      </w:r>
    </w:p>
    <w:p w14:paraId="5236626E">
      <w:pPr>
        <w:widowControl/>
        <w:spacing w:line="360" w:lineRule="exact"/>
        <w:ind w:firstLine="560" w:firstLineChars="200"/>
        <w:jc w:val="left"/>
        <w:rPr>
          <w:rFonts w:ascii="宋体" w:hAnsi="宋体" w:cs="宋体"/>
          <w:color w:val="auto"/>
          <w:sz w:val="28"/>
          <w:szCs w:val="28"/>
          <w:highlight w:val="none"/>
        </w:rPr>
      </w:pPr>
      <w:r>
        <w:rPr>
          <w:rFonts w:hint="eastAsia" w:ascii="宋体" w:hAnsi="宋体" w:cs="宋体"/>
          <w:color w:val="auto"/>
          <w:sz w:val="28"/>
          <w:szCs w:val="28"/>
          <w:highlight w:val="none"/>
        </w:rPr>
        <w:t>三档（9分）：项目实施方案详细完整，配套有货物存放仓库、送货人员、运输工具、项目实施人员，项目实施的技术力量和人力资源安排充足且提供有可靠保障，能对突发计划外供货需求的应对能力，配送和安装有完整的流程及规范标准，方案包括安装工艺技术、配送安装组织机构、项目实施人员及设备的配备、进度计划、质量保证措施、保证安全及文明施工的措施等。</w:t>
      </w:r>
    </w:p>
    <w:p w14:paraId="018F9513">
      <w:pPr>
        <w:widowControl/>
        <w:spacing w:line="360" w:lineRule="exact"/>
        <w:ind w:firstLine="560" w:firstLineChars="200"/>
        <w:jc w:val="left"/>
        <w:rPr>
          <w:rFonts w:ascii="宋体" w:hAnsi="宋体" w:cs="宋体"/>
          <w:color w:val="auto"/>
          <w:sz w:val="28"/>
          <w:szCs w:val="28"/>
          <w:highlight w:val="none"/>
        </w:rPr>
      </w:pPr>
      <w:r>
        <w:rPr>
          <w:rFonts w:hint="eastAsia" w:ascii="宋体" w:hAnsi="宋体" w:cs="宋体"/>
          <w:color w:val="auto"/>
          <w:sz w:val="28"/>
          <w:szCs w:val="28"/>
          <w:highlight w:val="none"/>
        </w:rPr>
        <w:t>（备注：未提供“项目实施安装方案”或经评定不能进档的不得分）</w:t>
      </w:r>
    </w:p>
    <w:p w14:paraId="742EAD1C">
      <w:pPr>
        <w:widowControl/>
        <w:spacing w:line="380" w:lineRule="exact"/>
        <w:ind w:firstLine="562" w:firstLineChars="200"/>
        <w:jc w:val="left"/>
        <w:rPr>
          <w:rFonts w:hint="eastAsia" w:ascii="宋体" w:hAnsi="宋体" w:eastAsia="宋体" w:cs="宋体"/>
          <w:b/>
          <w:bCs/>
          <w:color w:val="auto"/>
          <w:kern w:val="0"/>
          <w:sz w:val="28"/>
          <w:szCs w:val="28"/>
          <w:highlight w:val="none"/>
          <w:lang w:val="en-US" w:eastAsia="zh-CN" w:bidi="ar-SA"/>
        </w:rPr>
      </w:pPr>
      <w:r>
        <w:rPr>
          <w:rFonts w:hint="eastAsia" w:ascii="宋体" w:hAnsi="宋体" w:eastAsia="宋体" w:cs="宋体"/>
          <w:b/>
          <w:bCs/>
          <w:color w:val="auto"/>
          <w:kern w:val="0"/>
          <w:sz w:val="28"/>
          <w:szCs w:val="28"/>
          <w:highlight w:val="none"/>
          <w:lang w:val="en-US" w:eastAsia="zh-CN" w:bidi="ar-SA"/>
        </w:rPr>
        <w:t>（5）产品生产能力分（满分8分）</w:t>
      </w:r>
    </w:p>
    <w:p w14:paraId="2491070C">
      <w:pPr>
        <w:pStyle w:val="41"/>
        <w:adjustRightInd w:val="0"/>
        <w:snapToGrid w:val="0"/>
        <w:spacing w:line="360" w:lineRule="exact"/>
        <w:ind w:firstLine="504" w:firstLineChars="180"/>
        <w:rPr>
          <w:color w:val="auto"/>
          <w:sz w:val="28"/>
          <w:szCs w:val="28"/>
          <w:highlight w:val="none"/>
        </w:rPr>
      </w:pPr>
      <w:r>
        <w:rPr>
          <w:rFonts w:hint="eastAsia"/>
          <w:color w:val="auto"/>
          <w:sz w:val="28"/>
          <w:szCs w:val="28"/>
          <w:highlight w:val="none"/>
        </w:rPr>
        <w:t>对投标人或生产厂家提供与本项目货物生产相关的生产设备、生产场地、生产计划和技术人员、质量管控措施等进行综合评定，专家评委根据综合评定进行打分。</w:t>
      </w:r>
    </w:p>
    <w:p w14:paraId="7EE3EC6A">
      <w:pPr>
        <w:ind w:firstLine="420" w:firstLineChars="150"/>
        <w:rPr>
          <w:rFonts w:hint="eastAsia" w:ascii="宋体" w:hAnsi="宋体" w:eastAsia="宋体" w:cs="宋体"/>
          <w:color w:val="auto"/>
          <w:kern w:val="0"/>
          <w:sz w:val="28"/>
          <w:szCs w:val="28"/>
          <w:highlight w:val="none"/>
          <w:lang w:val="en-US" w:eastAsia="zh-CN" w:bidi="ar-SA"/>
        </w:rPr>
      </w:pPr>
      <w:r>
        <w:rPr>
          <w:rFonts w:hint="eastAsia" w:ascii="宋体" w:hAnsi="宋体" w:eastAsia="宋体" w:cs="宋体"/>
          <w:color w:val="auto"/>
          <w:kern w:val="0"/>
          <w:sz w:val="28"/>
          <w:szCs w:val="28"/>
          <w:highlight w:val="none"/>
          <w:lang w:val="en-US" w:eastAsia="zh-CN" w:bidi="ar-SA"/>
        </w:rPr>
        <w:t>①提供与本项目货物相关的生产设备（同等功能的设备）的证明材料，包含：自动化喷涂（喷塑）设备、封边机、焊接机、切割机、弯管机、剪板机、注塑机、冲压设备、开料锯机、一次成型辊压机，每提供一项设备得0.5分，满分3分。（提供设备购置发票或租赁合同等扫描件、提供设备现场作业真实视频，视频内容包含经营执照、厂牌、所投产品标识，供应商提供的视频资料仅用于本项目履约验证，采购方不得将视频内容用于商业推广或其他目的。）</w:t>
      </w:r>
    </w:p>
    <w:p w14:paraId="34C08815">
      <w:pPr>
        <w:pStyle w:val="41"/>
        <w:adjustRightInd w:val="0"/>
        <w:snapToGrid w:val="0"/>
        <w:spacing w:line="360" w:lineRule="exact"/>
        <w:ind w:firstLine="504" w:firstLineChars="180"/>
        <w:rPr>
          <w:color w:val="auto"/>
          <w:sz w:val="28"/>
          <w:szCs w:val="28"/>
          <w:highlight w:val="none"/>
        </w:rPr>
      </w:pPr>
      <w:r>
        <w:rPr>
          <w:rFonts w:hint="eastAsia"/>
          <w:color w:val="auto"/>
          <w:sz w:val="28"/>
          <w:szCs w:val="28"/>
          <w:highlight w:val="none"/>
        </w:rPr>
        <w:t>②提供生产场地证明材料，生产场地的真实</w:t>
      </w:r>
      <w:r>
        <w:rPr>
          <w:rFonts w:hint="eastAsia"/>
          <w:color w:val="auto"/>
          <w:sz w:val="28"/>
          <w:szCs w:val="28"/>
          <w:highlight w:val="none"/>
          <w:lang w:val="en-US" w:eastAsia="zh-CN"/>
        </w:rPr>
        <w:t>视频</w:t>
      </w:r>
      <w:r>
        <w:rPr>
          <w:rFonts w:hint="eastAsia"/>
          <w:color w:val="auto"/>
          <w:sz w:val="28"/>
          <w:szCs w:val="28"/>
          <w:highlight w:val="none"/>
        </w:rPr>
        <w:t>，得</w:t>
      </w:r>
      <w:r>
        <w:rPr>
          <w:color w:val="auto"/>
          <w:sz w:val="28"/>
          <w:szCs w:val="28"/>
          <w:highlight w:val="none"/>
        </w:rPr>
        <w:t>1</w:t>
      </w:r>
      <w:r>
        <w:rPr>
          <w:rFonts w:hint="eastAsia"/>
          <w:color w:val="auto"/>
          <w:sz w:val="28"/>
          <w:szCs w:val="28"/>
          <w:highlight w:val="none"/>
        </w:rPr>
        <w:t>分。满分</w:t>
      </w:r>
      <w:r>
        <w:rPr>
          <w:color w:val="auto"/>
          <w:sz w:val="28"/>
          <w:szCs w:val="28"/>
          <w:highlight w:val="none"/>
        </w:rPr>
        <w:t>1分。</w:t>
      </w:r>
      <w:r>
        <w:rPr>
          <w:rFonts w:hint="eastAsia"/>
          <w:color w:val="auto"/>
          <w:sz w:val="28"/>
          <w:szCs w:val="28"/>
          <w:highlight w:val="none"/>
        </w:rPr>
        <w:t>（提供生产场地产权证明或租赁合同、生产车间、仓库</w:t>
      </w:r>
      <w:r>
        <w:rPr>
          <w:rFonts w:hint="eastAsia"/>
          <w:color w:val="auto"/>
          <w:sz w:val="28"/>
          <w:szCs w:val="28"/>
          <w:highlight w:val="none"/>
          <w:lang w:val="en-US" w:eastAsia="zh-CN"/>
        </w:rPr>
        <w:t>视频</w:t>
      </w:r>
      <w:r>
        <w:rPr>
          <w:rFonts w:hint="eastAsia"/>
          <w:color w:val="auto"/>
          <w:sz w:val="28"/>
          <w:szCs w:val="28"/>
          <w:highlight w:val="none"/>
        </w:rPr>
        <w:t>等）</w:t>
      </w:r>
    </w:p>
    <w:p w14:paraId="653C1831">
      <w:pPr>
        <w:pStyle w:val="41"/>
        <w:adjustRightInd w:val="0"/>
        <w:snapToGrid w:val="0"/>
        <w:spacing w:line="360" w:lineRule="exact"/>
        <w:ind w:firstLine="504" w:firstLineChars="180"/>
        <w:rPr>
          <w:color w:val="auto"/>
          <w:sz w:val="28"/>
          <w:szCs w:val="28"/>
          <w:highlight w:val="none"/>
        </w:rPr>
      </w:pPr>
      <w:r>
        <w:rPr>
          <w:rFonts w:hint="eastAsia"/>
          <w:color w:val="auto"/>
          <w:sz w:val="28"/>
          <w:szCs w:val="28"/>
          <w:highlight w:val="none"/>
        </w:rPr>
        <w:t>③生产进度保障分</w:t>
      </w:r>
      <w:r>
        <w:rPr>
          <w:color w:val="auto"/>
          <w:sz w:val="28"/>
          <w:szCs w:val="28"/>
          <w:highlight w:val="none"/>
        </w:rPr>
        <w:t>:</w:t>
      </w:r>
      <w:r>
        <w:rPr>
          <w:rFonts w:hint="eastAsia"/>
          <w:color w:val="auto"/>
          <w:sz w:val="28"/>
          <w:szCs w:val="28"/>
          <w:highlight w:val="none"/>
        </w:rPr>
        <w:t>提供生产进度计划表、生产流程图、生产人员安排表得</w:t>
      </w:r>
      <w:r>
        <w:rPr>
          <w:color w:val="auto"/>
          <w:sz w:val="28"/>
          <w:szCs w:val="28"/>
          <w:highlight w:val="none"/>
        </w:rPr>
        <w:t>1分；</w:t>
      </w:r>
      <w:r>
        <w:rPr>
          <w:rFonts w:hint="eastAsia"/>
          <w:color w:val="auto"/>
          <w:sz w:val="28"/>
          <w:szCs w:val="28"/>
          <w:highlight w:val="none"/>
        </w:rPr>
        <w:t>提供生产进度计划表、生产流程图、生产人员安排表，有安全保障措施，完善的管理组织得</w:t>
      </w:r>
      <w:r>
        <w:rPr>
          <w:color w:val="auto"/>
          <w:sz w:val="28"/>
          <w:szCs w:val="28"/>
          <w:highlight w:val="none"/>
        </w:rPr>
        <w:t>2</w:t>
      </w:r>
      <w:r>
        <w:rPr>
          <w:rFonts w:hint="eastAsia"/>
          <w:color w:val="auto"/>
          <w:sz w:val="28"/>
          <w:szCs w:val="28"/>
          <w:highlight w:val="none"/>
        </w:rPr>
        <w:t>分。满分</w:t>
      </w:r>
      <w:r>
        <w:rPr>
          <w:color w:val="auto"/>
          <w:sz w:val="28"/>
          <w:szCs w:val="28"/>
          <w:highlight w:val="none"/>
        </w:rPr>
        <w:t>2分</w:t>
      </w:r>
      <w:r>
        <w:rPr>
          <w:rFonts w:hint="eastAsia"/>
          <w:color w:val="auto"/>
          <w:sz w:val="28"/>
          <w:szCs w:val="28"/>
          <w:highlight w:val="none"/>
        </w:rPr>
        <w:t>。</w:t>
      </w:r>
    </w:p>
    <w:p w14:paraId="61D3A29E">
      <w:pPr>
        <w:pStyle w:val="41"/>
        <w:adjustRightInd w:val="0"/>
        <w:snapToGrid w:val="0"/>
        <w:spacing w:line="360" w:lineRule="exact"/>
        <w:ind w:firstLine="504" w:firstLineChars="180"/>
        <w:rPr>
          <w:color w:val="auto"/>
          <w:highlight w:val="none"/>
        </w:rPr>
      </w:pPr>
      <w:r>
        <w:rPr>
          <w:rFonts w:hint="eastAsia"/>
          <w:color w:val="auto"/>
          <w:sz w:val="28"/>
          <w:szCs w:val="28"/>
          <w:highlight w:val="none"/>
        </w:rPr>
        <w:t>④质量管控措施方案分：提供质量管控措施方案的0.5分；提供质量管理制度、生产各工序、质量管控措施的得1分；提供针对本项目的质量管理制度、生产各工序、产品出厂标准、质量管控措施的得2分。满分2分。</w:t>
      </w:r>
    </w:p>
    <w:p w14:paraId="15D839D2">
      <w:pPr>
        <w:spacing w:line="360" w:lineRule="exact"/>
        <w:ind w:firstLine="562" w:firstLineChars="200"/>
        <w:jc w:val="left"/>
        <w:rPr>
          <w:rFonts w:ascii="宋体" w:hAnsi="宋体" w:cs="宋体"/>
          <w:b/>
          <w:bCs/>
          <w:color w:val="auto"/>
          <w:kern w:val="0"/>
          <w:sz w:val="28"/>
          <w:szCs w:val="28"/>
          <w:highlight w:val="none"/>
        </w:rPr>
      </w:pPr>
      <w:r>
        <w:rPr>
          <w:rFonts w:hint="eastAsia" w:ascii="宋体" w:hAnsi="宋体" w:cs="宋体"/>
          <w:b/>
          <w:bCs/>
          <w:color w:val="auto"/>
          <w:sz w:val="28"/>
          <w:szCs w:val="28"/>
          <w:highlight w:val="none"/>
        </w:rPr>
        <w:t>3、售后服务方案及保障能力分……………………………</w:t>
      </w:r>
      <w:r>
        <w:rPr>
          <w:rFonts w:hint="eastAsia" w:ascii="宋体" w:hAnsi="宋体" w:cs="宋体"/>
          <w:b/>
          <w:bCs/>
          <w:color w:val="auto"/>
          <w:kern w:val="0"/>
          <w:sz w:val="28"/>
          <w:szCs w:val="28"/>
          <w:highlight w:val="none"/>
        </w:rPr>
        <w:t>10分</w:t>
      </w:r>
    </w:p>
    <w:p w14:paraId="338E1C69">
      <w:pPr>
        <w:widowControl/>
        <w:spacing w:line="360" w:lineRule="exact"/>
        <w:ind w:firstLine="560" w:firstLineChars="200"/>
        <w:jc w:val="left"/>
        <w:rPr>
          <w:rFonts w:ascii="宋体" w:hAnsi="宋体" w:cs="宋体"/>
          <w:color w:val="auto"/>
          <w:sz w:val="28"/>
          <w:szCs w:val="28"/>
          <w:highlight w:val="none"/>
        </w:rPr>
      </w:pPr>
      <w:r>
        <w:rPr>
          <w:rFonts w:ascii="宋体" w:hAnsi="宋体" w:cs="宋体"/>
          <w:color w:val="auto"/>
          <w:sz w:val="28"/>
          <w:szCs w:val="28"/>
          <w:highlight w:val="none"/>
        </w:rPr>
        <w:t>项目实施及售后服务承诺基本要求：至少应包括质保期、免费保修期限、到达故障现场时间（维护电话保证7×24小时响应，自接到故障通知起2小时内到达故障现场）、故障出现解决方案、定期维护（注明时间）、质保期内提供专人负责维保（售后服务承诺书内应有维保人员名单及联系方式），故障处理时限（不能超过4小时，对不能修复的保证在24小时内提供替代品或直接更换），质保期满前一个月及质保期内每年进行一次全面检修与保养，保修期外维修方案、其他优惠措施、安装要求及方案。</w:t>
      </w:r>
      <w:r>
        <w:rPr>
          <w:rFonts w:ascii="宋体" w:hAnsi="宋体" w:cs="宋体"/>
          <w:color w:val="auto"/>
          <w:sz w:val="28"/>
          <w:szCs w:val="28"/>
          <w:highlight w:val="none"/>
        </w:rPr>
        <w:br w:type="textWrapping"/>
      </w:r>
      <w:r>
        <w:rPr>
          <w:rFonts w:ascii="宋体" w:hAnsi="宋体" w:cs="宋体"/>
          <w:color w:val="auto"/>
          <w:sz w:val="28"/>
          <w:szCs w:val="28"/>
          <w:highlight w:val="none"/>
        </w:rPr>
        <w:t>一档（</w:t>
      </w:r>
      <w:r>
        <w:rPr>
          <w:rFonts w:hint="eastAsia" w:ascii="宋体" w:hAnsi="宋体" w:cs="宋体"/>
          <w:color w:val="auto"/>
          <w:sz w:val="28"/>
          <w:szCs w:val="28"/>
          <w:highlight w:val="none"/>
        </w:rPr>
        <w:t>4</w:t>
      </w:r>
      <w:r>
        <w:rPr>
          <w:rFonts w:ascii="宋体" w:hAnsi="宋体" w:cs="宋体"/>
          <w:color w:val="auto"/>
          <w:sz w:val="28"/>
          <w:szCs w:val="28"/>
          <w:highlight w:val="none"/>
        </w:rPr>
        <w:t>分）：有售后服务承诺书；满足招标文件的要求，有故障出现解决方案，有技术培训方案、保修期外维修方案。</w:t>
      </w:r>
      <w:r>
        <w:rPr>
          <w:rFonts w:ascii="宋体" w:hAnsi="宋体" w:cs="宋体"/>
          <w:color w:val="auto"/>
          <w:sz w:val="28"/>
          <w:szCs w:val="28"/>
          <w:highlight w:val="none"/>
        </w:rPr>
        <w:br w:type="textWrapping"/>
      </w:r>
      <w:r>
        <w:rPr>
          <w:rFonts w:ascii="宋体" w:hAnsi="宋体" w:cs="宋体"/>
          <w:color w:val="auto"/>
          <w:sz w:val="28"/>
          <w:szCs w:val="28"/>
          <w:highlight w:val="none"/>
        </w:rPr>
        <w:t>二档（</w:t>
      </w:r>
      <w:r>
        <w:rPr>
          <w:rFonts w:hint="eastAsia" w:ascii="宋体" w:hAnsi="宋体" w:cs="宋体"/>
          <w:color w:val="auto"/>
          <w:sz w:val="28"/>
          <w:szCs w:val="28"/>
          <w:highlight w:val="none"/>
        </w:rPr>
        <w:t>6</w:t>
      </w:r>
      <w:r>
        <w:rPr>
          <w:rFonts w:ascii="宋体" w:hAnsi="宋体" w:cs="宋体"/>
          <w:color w:val="auto"/>
          <w:sz w:val="28"/>
          <w:szCs w:val="28"/>
          <w:highlight w:val="none"/>
        </w:rPr>
        <w:t>分）：售后服务承诺书内容完整；解决事故时间在4小时内，故障出现解决方案可靠，定期维护方式方法合理，有完整的免费技术培训方案、保修期外维修方案；有售后服务能力措施。</w:t>
      </w:r>
      <w:r>
        <w:rPr>
          <w:rFonts w:ascii="宋体" w:hAnsi="宋体" w:cs="宋体"/>
          <w:color w:val="auto"/>
          <w:sz w:val="28"/>
          <w:szCs w:val="28"/>
          <w:highlight w:val="none"/>
        </w:rPr>
        <w:br w:type="textWrapping"/>
      </w:r>
      <w:r>
        <w:rPr>
          <w:rFonts w:ascii="宋体" w:hAnsi="宋体" w:cs="宋体"/>
          <w:color w:val="auto"/>
          <w:sz w:val="28"/>
          <w:szCs w:val="28"/>
          <w:highlight w:val="none"/>
        </w:rPr>
        <w:t>三档（</w:t>
      </w:r>
      <w:r>
        <w:rPr>
          <w:rFonts w:hint="eastAsia" w:ascii="宋体" w:hAnsi="宋体" w:cs="宋体"/>
          <w:color w:val="auto"/>
          <w:sz w:val="28"/>
          <w:szCs w:val="28"/>
          <w:highlight w:val="none"/>
        </w:rPr>
        <w:t>8</w:t>
      </w:r>
      <w:r>
        <w:rPr>
          <w:rFonts w:ascii="宋体" w:hAnsi="宋体" w:cs="宋体"/>
          <w:color w:val="auto"/>
          <w:sz w:val="28"/>
          <w:szCs w:val="28"/>
          <w:highlight w:val="none"/>
        </w:rPr>
        <w:t>分）：售后服务承诺书内容详细具体；解决事故时间在2小时内，故障出现解决方案可靠，定期维护方式方法合理，有完整的免费技术培训方案、保修期外维修方案；有完善的本地化售后服务措施；对售后服务应急预案、其他优惠措施等方面都有描述，可操作性强；项目投标人能够举实例充分证明（同类案例）售后服务方案的可靠性，能提针对本项目采购需求提供较多的优于采购文件要求的实质性服务承诺。</w:t>
      </w:r>
      <w:r>
        <w:rPr>
          <w:rFonts w:ascii="宋体" w:hAnsi="宋体" w:cs="宋体"/>
          <w:color w:val="auto"/>
          <w:sz w:val="28"/>
          <w:szCs w:val="28"/>
          <w:highlight w:val="none"/>
        </w:rPr>
        <w:br w:type="textWrapping"/>
      </w:r>
      <w:r>
        <w:rPr>
          <w:rFonts w:ascii="宋体" w:hAnsi="宋体" w:cs="宋体"/>
          <w:color w:val="auto"/>
          <w:sz w:val="28"/>
          <w:szCs w:val="28"/>
          <w:highlight w:val="none"/>
        </w:rPr>
        <w:t>四档（1</w:t>
      </w:r>
      <w:r>
        <w:rPr>
          <w:rFonts w:hint="eastAsia" w:ascii="宋体" w:hAnsi="宋体" w:cs="宋体"/>
          <w:color w:val="auto"/>
          <w:sz w:val="28"/>
          <w:szCs w:val="28"/>
          <w:highlight w:val="none"/>
        </w:rPr>
        <w:t>0</w:t>
      </w:r>
      <w:r>
        <w:rPr>
          <w:rFonts w:ascii="宋体" w:hAnsi="宋体" w:cs="宋体"/>
          <w:color w:val="auto"/>
          <w:sz w:val="28"/>
          <w:szCs w:val="28"/>
          <w:highlight w:val="none"/>
        </w:rPr>
        <w:t>分）：在满足三档的基础上，能针对采购需求提供较多的优质的增值服务承诺，提供的服务承诺针对性强，可靠保证，符合采购方实际需求的，售后服务方案详细描述了设备售后维护和应急保障方案的方法以及实现方式，常年备有齐全的配件，整体方案针对性、可行性强，对采购人有实际性帮助。投标人或投标产品生产厂家具备“家具报修服务平台”，平台服务具备如下功能：（1）报修功能；（2）派单功能；（3）定位和签到功能；（4）预警功能。（提供功能截图并加盖公章）</w:t>
      </w:r>
    </w:p>
    <w:p w14:paraId="455F5FBE">
      <w:pPr>
        <w:widowControl/>
        <w:spacing w:line="360" w:lineRule="exact"/>
        <w:ind w:firstLine="560" w:firstLineChars="200"/>
        <w:jc w:val="left"/>
        <w:rPr>
          <w:rFonts w:ascii="宋体" w:hAnsi="宋体" w:cs="宋体"/>
          <w:color w:val="auto"/>
          <w:sz w:val="28"/>
          <w:szCs w:val="28"/>
          <w:highlight w:val="none"/>
        </w:rPr>
      </w:pPr>
      <w:r>
        <w:rPr>
          <w:rFonts w:hint="eastAsia" w:ascii="宋体" w:hAnsi="宋体" w:cs="宋体"/>
          <w:color w:val="auto"/>
          <w:sz w:val="28"/>
          <w:szCs w:val="28"/>
          <w:highlight w:val="none"/>
        </w:rPr>
        <w:t>无相关内容或不满足最低进档要求不得分。</w:t>
      </w:r>
    </w:p>
    <w:p w14:paraId="6C6F193B">
      <w:pPr>
        <w:spacing w:line="360" w:lineRule="exact"/>
        <w:ind w:firstLine="562" w:firstLineChars="200"/>
        <w:jc w:val="left"/>
        <w:rPr>
          <w:rFonts w:ascii="宋体" w:hAnsi="宋体" w:cs="宋体"/>
          <w:b/>
          <w:bCs/>
          <w:color w:val="auto"/>
          <w:sz w:val="28"/>
          <w:szCs w:val="28"/>
          <w:highlight w:val="none"/>
        </w:rPr>
      </w:pPr>
      <w:r>
        <w:rPr>
          <w:rFonts w:hint="eastAsia" w:ascii="宋体" w:hAnsi="宋体" w:cs="宋体"/>
          <w:b/>
          <w:bCs/>
          <w:color w:val="auto"/>
          <w:sz w:val="28"/>
          <w:szCs w:val="28"/>
          <w:highlight w:val="none"/>
        </w:rPr>
        <w:t>4、商务分……………………………………………………9分</w:t>
      </w:r>
    </w:p>
    <w:p w14:paraId="3F8F87A1">
      <w:pPr>
        <w:widowControl/>
        <w:spacing w:line="380" w:lineRule="exact"/>
        <w:ind w:firstLine="562" w:firstLineChars="200"/>
        <w:jc w:val="left"/>
        <w:rPr>
          <w:rFonts w:hint="eastAsia" w:ascii="宋体" w:hAnsi="宋体" w:eastAsia="宋体" w:cs="宋体"/>
          <w:b/>
          <w:bCs/>
          <w:color w:val="auto"/>
          <w:kern w:val="0"/>
          <w:sz w:val="28"/>
          <w:szCs w:val="28"/>
          <w:highlight w:val="none"/>
          <w:lang w:val="en-US" w:eastAsia="zh-CN" w:bidi="ar-SA"/>
        </w:rPr>
      </w:pPr>
      <w:r>
        <w:rPr>
          <w:rFonts w:hint="eastAsia" w:ascii="宋体" w:hAnsi="宋体" w:eastAsia="宋体" w:cs="宋体"/>
          <w:b/>
          <w:bCs/>
          <w:color w:val="auto"/>
          <w:kern w:val="0"/>
          <w:sz w:val="28"/>
          <w:szCs w:val="28"/>
          <w:highlight w:val="none"/>
          <w:lang w:val="en-US" w:eastAsia="zh-CN" w:bidi="ar-SA"/>
        </w:rPr>
        <w:t>（1）业绩分（满分5分）</w:t>
      </w:r>
    </w:p>
    <w:p w14:paraId="6DDAF092">
      <w:pPr>
        <w:spacing w:line="36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投标人自2022年1月1日至开标截止时间前具有同类产品的销售业绩，每有1项得0.5分，满分5分，投标文件中提供有效的合同复印件或中标（成交）通知书复印件。若投标人非生产厂家，可提供生产厂家同类项目业绩（需提供合同复印件及生产厂家授权书）。</w:t>
      </w:r>
    </w:p>
    <w:p w14:paraId="4F819781">
      <w:pPr>
        <w:widowControl/>
        <w:spacing w:line="380" w:lineRule="exact"/>
        <w:ind w:firstLine="562" w:firstLineChars="200"/>
        <w:jc w:val="left"/>
        <w:rPr>
          <w:rFonts w:hint="eastAsia" w:ascii="宋体" w:hAnsi="宋体" w:eastAsia="宋体" w:cs="宋体"/>
          <w:b/>
          <w:bCs/>
          <w:color w:val="auto"/>
          <w:kern w:val="0"/>
          <w:sz w:val="28"/>
          <w:szCs w:val="28"/>
          <w:highlight w:val="none"/>
          <w:lang w:val="en-US" w:eastAsia="zh-CN" w:bidi="ar-SA"/>
        </w:rPr>
      </w:pPr>
      <w:r>
        <w:rPr>
          <w:rFonts w:hint="eastAsia" w:ascii="宋体" w:hAnsi="宋体" w:eastAsia="宋体" w:cs="宋体"/>
          <w:b/>
          <w:bCs/>
          <w:color w:val="auto"/>
          <w:kern w:val="0"/>
          <w:sz w:val="28"/>
          <w:szCs w:val="28"/>
          <w:highlight w:val="none"/>
          <w:lang w:val="en-US" w:eastAsia="zh-CN" w:bidi="ar-SA"/>
        </w:rPr>
        <w:t>（2）信誉分（满分3分）</w:t>
      </w:r>
    </w:p>
    <w:p w14:paraId="342BFC08">
      <w:pPr>
        <w:spacing w:line="36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①投标人或投标产品生产厂家提供</w:t>
      </w:r>
      <w:r>
        <w:rPr>
          <w:rFonts w:ascii="宋体" w:hAnsi="宋体" w:cs="宋体"/>
          <w:color w:val="auto"/>
          <w:sz w:val="28"/>
          <w:szCs w:val="28"/>
          <w:highlight w:val="none"/>
        </w:rPr>
        <w:t xml:space="preserve"> ISO9001 </w:t>
      </w:r>
      <w:r>
        <w:rPr>
          <w:rFonts w:hint="eastAsia" w:ascii="宋体" w:hAnsi="宋体" w:cs="宋体"/>
          <w:color w:val="auto"/>
          <w:sz w:val="28"/>
          <w:szCs w:val="28"/>
          <w:highlight w:val="none"/>
        </w:rPr>
        <w:t>质量管理体系认证、</w:t>
      </w:r>
      <w:r>
        <w:rPr>
          <w:rFonts w:ascii="宋体" w:hAnsi="宋体" w:cs="宋体"/>
          <w:color w:val="auto"/>
          <w:sz w:val="28"/>
          <w:szCs w:val="28"/>
          <w:highlight w:val="none"/>
        </w:rPr>
        <w:t xml:space="preserve">ISO14001 </w:t>
      </w:r>
      <w:r>
        <w:rPr>
          <w:rFonts w:hint="eastAsia" w:ascii="宋体" w:hAnsi="宋体" w:cs="宋体"/>
          <w:color w:val="auto"/>
          <w:sz w:val="28"/>
          <w:szCs w:val="28"/>
          <w:highlight w:val="none"/>
        </w:rPr>
        <w:t>环境管理体系认证、职业健康安全管理体系认证。每提供一种证书得</w:t>
      </w:r>
      <w:r>
        <w:rPr>
          <w:rFonts w:ascii="宋体" w:hAnsi="宋体" w:cs="宋体"/>
          <w:color w:val="auto"/>
          <w:sz w:val="28"/>
          <w:szCs w:val="28"/>
          <w:highlight w:val="none"/>
        </w:rPr>
        <w:t xml:space="preserve">0.5分，共 1.5 </w:t>
      </w:r>
      <w:r>
        <w:rPr>
          <w:rFonts w:hint="eastAsia" w:ascii="宋体" w:hAnsi="宋体" w:cs="宋体"/>
          <w:color w:val="auto"/>
          <w:sz w:val="28"/>
          <w:szCs w:val="28"/>
          <w:highlight w:val="none"/>
        </w:rPr>
        <w:t>分。（投标文件中提供有效的复印件并加盖投标人公章，原件备查）</w:t>
      </w:r>
    </w:p>
    <w:p w14:paraId="5CCF98FD">
      <w:pPr>
        <w:spacing w:line="36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②投标人或投标产品生产厂家提供所投产品获得“人类工效学认证证书”的，得</w:t>
      </w:r>
      <w:r>
        <w:rPr>
          <w:rFonts w:ascii="宋体" w:hAnsi="宋体" w:cs="宋体"/>
          <w:color w:val="auto"/>
          <w:sz w:val="28"/>
          <w:szCs w:val="28"/>
          <w:highlight w:val="none"/>
        </w:rPr>
        <w:t>0.5</w:t>
      </w:r>
      <w:r>
        <w:rPr>
          <w:rFonts w:hint="eastAsia" w:ascii="宋体" w:hAnsi="宋体" w:cs="宋体"/>
          <w:color w:val="auto"/>
          <w:sz w:val="28"/>
          <w:szCs w:val="28"/>
          <w:highlight w:val="none"/>
        </w:rPr>
        <w:t>分。</w:t>
      </w:r>
    </w:p>
    <w:p w14:paraId="4612F9C3">
      <w:pPr>
        <w:spacing w:line="36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③投标人或所投产品的生产厂家提供所投产品获得“中国环保认证证书”的，得</w:t>
      </w:r>
      <w:r>
        <w:rPr>
          <w:rFonts w:ascii="宋体" w:hAnsi="宋体" w:cs="宋体"/>
          <w:color w:val="auto"/>
          <w:sz w:val="28"/>
          <w:szCs w:val="28"/>
          <w:highlight w:val="none"/>
        </w:rPr>
        <w:t>0.5</w:t>
      </w:r>
      <w:r>
        <w:rPr>
          <w:rFonts w:hint="eastAsia" w:ascii="宋体" w:hAnsi="宋体" w:cs="宋体"/>
          <w:color w:val="auto"/>
          <w:sz w:val="28"/>
          <w:szCs w:val="28"/>
          <w:highlight w:val="none"/>
        </w:rPr>
        <w:t>分</w:t>
      </w:r>
      <w:r>
        <w:rPr>
          <w:rFonts w:ascii="宋体" w:hAnsi="宋体" w:cs="宋体"/>
          <w:color w:val="auto"/>
          <w:sz w:val="28"/>
          <w:szCs w:val="28"/>
          <w:highlight w:val="none"/>
        </w:rPr>
        <w:t xml:space="preserve"> </w:t>
      </w:r>
      <w:r>
        <w:rPr>
          <w:rFonts w:hint="eastAsia" w:ascii="宋体" w:hAnsi="宋体" w:cs="宋体"/>
          <w:color w:val="auto"/>
          <w:sz w:val="28"/>
          <w:szCs w:val="28"/>
          <w:highlight w:val="none"/>
        </w:rPr>
        <w:t>。</w:t>
      </w:r>
    </w:p>
    <w:p w14:paraId="47D77B10">
      <w:pPr>
        <w:spacing w:line="36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④投标人或投标产品生产厂家提供所投产品获得“有害物质限量体系认证证书”的，得</w:t>
      </w:r>
      <w:r>
        <w:rPr>
          <w:rFonts w:ascii="宋体" w:hAnsi="宋体" w:cs="宋体"/>
          <w:color w:val="auto"/>
          <w:sz w:val="28"/>
          <w:szCs w:val="28"/>
          <w:highlight w:val="none"/>
        </w:rPr>
        <w:t>0.5</w:t>
      </w:r>
      <w:r>
        <w:rPr>
          <w:rFonts w:hint="eastAsia" w:ascii="宋体" w:hAnsi="宋体" w:cs="宋体"/>
          <w:color w:val="auto"/>
          <w:sz w:val="28"/>
          <w:szCs w:val="28"/>
          <w:highlight w:val="none"/>
        </w:rPr>
        <w:t>分。</w:t>
      </w:r>
    </w:p>
    <w:p w14:paraId="2929AF9F">
      <w:pPr>
        <w:spacing w:line="36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（注</w:t>
      </w:r>
      <w:r>
        <w:rPr>
          <w:rFonts w:ascii="宋体" w:hAnsi="宋体" w:cs="宋体"/>
          <w:color w:val="auto"/>
          <w:sz w:val="28"/>
          <w:szCs w:val="28"/>
          <w:highlight w:val="none"/>
        </w:rPr>
        <w:t xml:space="preserve"> </w:t>
      </w:r>
      <w:r>
        <w:rPr>
          <w:rFonts w:hint="eastAsia" w:ascii="宋体" w:hAnsi="宋体" w:cs="宋体"/>
          <w:color w:val="auto"/>
          <w:sz w:val="28"/>
          <w:szCs w:val="28"/>
          <w:highlight w:val="none"/>
        </w:rPr>
        <w:t>：以上证书以通过认证机构年审合格为准</w:t>
      </w:r>
      <w:r>
        <w:rPr>
          <w:rFonts w:ascii="宋体" w:hAnsi="宋体" w:cs="宋体"/>
          <w:color w:val="auto"/>
          <w:sz w:val="28"/>
          <w:szCs w:val="28"/>
          <w:highlight w:val="none"/>
        </w:rPr>
        <w:t xml:space="preserve"> </w:t>
      </w:r>
      <w:r>
        <w:rPr>
          <w:rFonts w:hint="eastAsia" w:ascii="宋体" w:hAnsi="宋体" w:cs="宋体"/>
          <w:color w:val="auto"/>
          <w:sz w:val="28"/>
          <w:szCs w:val="28"/>
          <w:highlight w:val="none"/>
        </w:rPr>
        <w:t>，证书有效期须保持至本项目投标截止之日，提供证书扫描件或其他电子文件，并加盖投标人公章）</w:t>
      </w:r>
    </w:p>
    <w:p w14:paraId="7E5F4330">
      <w:pPr>
        <w:widowControl/>
        <w:spacing w:line="380" w:lineRule="exact"/>
        <w:ind w:firstLine="562" w:firstLineChars="200"/>
        <w:jc w:val="left"/>
        <w:rPr>
          <w:rFonts w:hint="eastAsia" w:ascii="宋体" w:hAnsi="宋体" w:eastAsia="宋体" w:cs="宋体"/>
          <w:b/>
          <w:bCs/>
          <w:color w:val="auto"/>
          <w:kern w:val="0"/>
          <w:sz w:val="28"/>
          <w:szCs w:val="28"/>
          <w:highlight w:val="none"/>
          <w:lang w:val="en-US" w:eastAsia="zh-CN" w:bidi="ar-SA"/>
        </w:rPr>
      </w:pPr>
      <w:r>
        <w:rPr>
          <w:rFonts w:hint="eastAsia" w:ascii="宋体" w:hAnsi="宋体" w:eastAsia="宋体" w:cs="宋体"/>
          <w:b/>
          <w:bCs/>
          <w:color w:val="auto"/>
          <w:kern w:val="0"/>
          <w:sz w:val="28"/>
          <w:szCs w:val="28"/>
          <w:highlight w:val="none"/>
          <w:lang w:val="en-US" w:eastAsia="zh-CN" w:bidi="ar-SA"/>
        </w:rPr>
        <w:t xml:space="preserve">（3）政策功能分（满分1分） </w:t>
      </w:r>
    </w:p>
    <w:p w14:paraId="042C8611">
      <w:pPr>
        <w:widowControl/>
        <w:spacing w:line="360" w:lineRule="exact"/>
        <w:ind w:firstLine="560" w:firstLineChars="200"/>
        <w:jc w:val="left"/>
        <w:rPr>
          <w:rFonts w:ascii="宋体" w:hAnsi="宋体" w:cs="宋体"/>
          <w:color w:val="auto"/>
          <w:sz w:val="28"/>
          <w:szCs w:val="28"/>
          <w:highlight w:val="none"/>
        </w:rPr>
      </w:pPr>
      <w:r>
        <w:rPr>
          <w:rFonts w:hint="eastAsia" w:ascii="宋体" w:hAnsi="宋体" w:cs="宋体"/>
          <w:color w:val="auto"/>
          <w:sz w:val="28"/>
          <w:szCs w:val="28"/>
          <w:highlight w:val="none"/>
        </w:rPr>
        <w:t>①投标产品纳入财政部 国家发展改革委《关于印发节能产品政府采购品目清单的通知》（财库[2019]19号）中节能产品政府采购品目清单的（适用于非强制采购节能产品，报价金额或项号数占三分之一及以上，并须依据《市场监管总局关于发布参与实施政府采购节能产品、环境标志产品认证机构名录的公告》，提供所投相应型号产品有效的认证证书复印件）得0.5分；</w:t>
      </w:r>
    </w:p>
    <w:p w14:paraId="7023FDAA">
      <w:pPr>
        <w:widowControl/>
        <w:spacing w:line="360" w:lineRule="exact"/>
        <w:ind w:firstLine="560" w:firstLineChars="200"/>
        <w:jc w:val="left"/>
        <w:rPr>
          <w:rFonts w:ascii="宋体" w:hAnsi="宋体" w:cs="宋体"/>
          <w:color w:val="auto"/>
          <w:sz w:val="28"/>
          <w:szCs w:val="28"/>
          <w:highlight w:val="none"/>
        </w:rPr>
      </w:pPr>
      <w:r>
        <w:rPr>
          <w:rFonts w:hint="eastAsia" w:ascii="宋体" w:hAnsi="宋体" w:cs="宋体"/>
          <w:color w:val="auto"/>
          <w:sz w:val="28"/>
          <w:szCs w:val="28"/>
          <w:highlight w:val="none"/>
        </w:rPr>
        <w:t>②投标产品纳入财政部 国家发展改革委《关于印发环境标志产品政府采购品目清单的通知》（财库[2019]18号）中环境标志产品政府采购品目清单的（报价金额或项号数占三分之一及以上，并须依据《市场监管总局关于发布参与实施政府采购节能产品、环境标志产品认证机构名录的公告》，提供所投相应型号产品有效的认证证书复印件）得0.5分。</w:t>
      </w:r>
    </w:p>
    <w:p w14:paraId="1A896D59">
      <w:pPr>
        <w:widowControl/>
        <w:spacing w:line="380" w:lineRule="exact"/>
        <w:ind w:firstLine="562" w:firstLineChars="200"/>
        <w:jc w:val="left"/>
        <w:rPr>
          <w:rFonts w:hint="eastAsia" w:ascii="宋体" w:hAnsi="宋体" w:eastAsia="宋体" w:cs="宋体"/>
          <w:b/>
          <w:bCs/>
          <w:color w:val="auto"/>
          <w:kern w:val="0"/>
          <w:sz w:val="28"/>
          <w:szCs w:val="28"/>
          <w:highlight w:val="none"/>
          <w:lang w:val="en-US" w:eastAsia="zh-CN" w:bidi="ar-SA"/>
        </w:rPr>
      </w:pPr>
      <w:r>
        <w:rPr>
          <w:rFonts w:hint="eastAsia" w:ascii="宋体" w:hAnsi="宋体" w:eastAsia="宋体" w:cs="宋体"/>
          <w:b/>
          <w:bCs/>
          <w:color w:val="auto"/>
          <w:kern w:val="0"/>
          <w:sz w:val="28"/>
          <w:szCs w:val="28"/>
          <w:highlight w:val="none"/>
          <w:lang w:val="en-US" w:eastAsia="zh-CN" w:bidi="ar-SA"/>
        </w:rPr>
        <w:t>（三）总得分=1+2+3+4。</w:t>
      </w:r>
    </w:p>
    <w:p w14:paraId="3AB15AE3">
      <w:pPr>
        <w:widowControl/>
        <w:spacing w:line="360" w:lineRule="exact"/>
        <w:ind w:firstLine="560" w:firstLineChars="200"/>
        <w:jc w:val="left"/>
        <w:rPr>
          <w:rFonts w:ascii="宋体" w:hAnsi="宋体" w:cs="宋体"/>
          <w:color w:val="auto"/>
          <w:sz w:val="28"/>
          <w:szCs w:val="28"/>
          <w:highlight w:val="none"/>
        </w:rPr>
      </w:pPr>
      <w:r>
        <w:rPr>
          <w:rFonts w:hint="eastAsia" w:ascii="宋体" w:hAnsi="宋体" w:cs="宋体"/>
          <w:color w:val="auto"/>
          <w:sz w:val="28"/>
          <w:szCs w:val="28"/>
          <w:highlight w:val="none"/>
        </w:rPr>
        <w:t>三、中标候选人推荐原则</w:t>
      </w:r>
    </w:p>
    <w:p w14:paraId="6BFB5F8B">
      <w:pPr>
        <w:widowControl/>
        <w:spacing w:line="360" w:lineRule="exact"/>
        <w:ind w:firstLine="560" w:firstLineChars="200"/>
        <w:jc w:val="left"/>
        <w:rPr>
          <w:rFonts w:ascii="宋体" w:hAnsi="宋体" w:cs="宋体"/>
          <w:color w:val="auto"/>
          <w:sz w:val="28"/>
          <w:szCs w:val="28"/>
          <w:highlight w:val="none"/>
        </w:rPr>
      </w:pPr>
      <w:r>
        <w:rPr>
          <w:rFonts w:hint="eastAsia" w:ascii="宋体" w:hAnsi="宋体" w:cs="宋体"/>
          <w:color w:val="auto"/>
          <w:sz w:val="28"/>
          <w:szCs w:val="28"/>
          <w:highlight w:val="none"/>
        </w:rPr>
        <w:t>（一）评标委员会将根据得分由高到低排列次序（得分相同时，以投标报价由低到高顺序排列；得分相同且投标报价相同的，按技术评分从高到低顺序排列）并推荐中标候选供应商。采购人应当确定评审委员会推荐排名第一的中标候选人为中标人。</w:t>
      </w:r>
    </w:p>
    <w:p w14:paraId="02BDCCBE">
      <w:pPr>
        <w:widowControl/>
        <w:spacing w:line="360" w:lineRule="exact"/>
        <w:ind w:firstLine="560" w:firstLineChars="200"/>
        <w:jc w:val="left"/>
        <w:rPr>
          <w:rFonts w:ascii="宋体" w:hAnsi="宋体" w:cs="宋体"/>
          <w:color w:val="auto"/>
          <w:sz w:val="28"/>
          <w:szCs w:val="28"/>
          <w:highlight w:val="none"/>
        </w:rPr>
      </w:pPr>
      <w:r>
        <w:rPr>
          <w:rFonts w:hint="eastAsia" w:ascii="宋体" w:hAnsi="宋体" w:cs="宋体"/>
          <w:color w:val="auto"/>
          <w:sz w:val="28"/>
          <w:szCs w:val="28"/>
          <w:highlight w:val="none"/>
        </w:rPr>
        <w:t>排名第一的中标候选人放弃中标、因不可抗力不能履行合同，或者招标文件规定应当提交履约保证金而在规定的期限内未能提交的，采购人可以确定排名第二的中标候选人为中标人。排名第二的中标候选人因前款规定的同样原因不能签订合同的，采购人可以确定排名第三的中标候选人为中标人，其余以此类推。</w:t>
      </w:r>
    </w:p>
    <w:p w14:paraId="69E53D0F">
      <w:pPr>
        <w:widowControl/>
        <w:spacing w:line="360" w:lineRule="exact"/>
        <w:ind w:firstLine="560" w:firstLineChars="200"/>
        <w:jc w:val="left"/>
        <w:rPr>
          <w:rFonts w:ascii="宋体" w:hAnsi="宋体" w:cs="宋体"/>
          <w:color w:val="auto"/>
          <w:sz w:val="28"/>
          <w:szCs w:val="28"/>
          <w:highlight w:val="none"/>
        </w:rPr>
      </w:pPr>
      <w:r>
        <w:rPr>
          <w:rFonts w:hint="eastAsia" w:ascii="宋体" w:hAnsi="宋体" w:cs="宋体"/>
          <w:color w:val="auto"/>
          <w:sz w:val="28"/>
          <w:szCs w:val="28"/>
          <w:highlight w:val="none"/>
        </w:rPr>
        <w:t>（二）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5909ECE3">
      <w:pPr>
        <w:spacing w:line="360" w:lineRule="exact"/>
        <w:jc w:val="left"/>
        <w:rPr>
          <w:color w:val="auto"/>
          <w:highlight w:val="none"/>
        </w:rPr>
      </w:pPr>
    </w:p>
    <w:p w14:paraId="71406ECF">
      <w:pPr>
        <w:widowControl/>
        <w:spacing w:line="360" w:lineRule="exact"/>
        <w:ind w:firstLine="422" w:firstLineChars="200"/>
        <w:jc w:val="left"/>
        <w:rPr>
          <w:rFonts w:ascii="宋体" w:hAnsi="宋体"/>
          <w:b/>
          <w:bCs/>
          <w:color w:val="auto"/>
          <w:kern w:val="0"/>
          <w:szCs w:val="21"/>
          <w:highlight w:val="none"/>
        </w:rPr>
      </w:pPr>
    </w:p>
    <w:p w14:paraId="66CFE8B2">
      <w:pPr>
        <w:spacing w:line="440" w:lineRule="exact"/>
        <w:rPr>
          <w:color w:val="auto"/>
          <w:highlight w:val="none"/>
        </w:rPr>
      </w:pPr>
    </w:p>
    <w:sectPr>
      <w:foot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8CB98A">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4A26E8">
                          <w:pPr>
                            <w:pStyle w:val="11"/>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354A26E8">
                    <w:pPr>
                      <w:pStyle w:val="11"/>
                    </w:pPr>
                    <w:r>
                      <w:fldChar w:fldCharType="begin"/>
                    </w:r>
                    <w:r>
                      <w:instrText xml:space="preserve"> PAGE  \* MERGEFORMAT </w:instrText>
                    </w:r>
                    <w:r>
                      <w:fldChar w:fldCharType="separate"/>
                    </w:r>
                    <w:r>
                      <w:t>16</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A3ZDQwMmNiOWFlYzZjYTcwOWJiZGQ0YTA5ODBmZGUifQ=="/>
    <w:docVar w:name="KSO_WPS_MARK_KEY" w:val="f226f762-bbab-489d-abee-780cc20be2f5"/>
  </w:docVars>
  <w:rsids>
    <w:rsidRoot w:val="00970D54"/>
    <w:rsid w:val="00025C5B"/>
    <w:rsid w:val="00042088"/>
    <w:rsid w:val="0005185F"/>
    <w:rsid w:val="000D7BF6"/>
    <w:rsid w:val="000F3AFF"/>
    <w:rsid w:val="000F4CEB"/>
    <w:rsid w:val="00117E1E"/>
    <w:rsid w:val="001655E6"/>
    <w:rsid w:val="0017545C"/>
    <w:rsid w:val="001A114F"/>
    <w:rsid w:val="001A4C7C"/>
    <w:rsid w:val="001A4D18"/>
    <w:rsid w:val="001B2D61"/>
    <w:rsid w:val="0020554B"/>
    <w:rsid w:val="00223BE2"/>
    <w:rsid w:val="00297009"/>
    <w:rsid w:val="0032354C"/>
    <w:rsid w:val="00331E41"/>
    <w:rsid w:val="00343F78"/>
    <w:rsid w:val="00357436"/>
    <w:rsid w:val="00373E32"/>
    <w:rsid w:val="003B3053"/>
    <w:rsid w:val="003D2E53"/>
    <w:rsid w:val="003F1F49"/>
    <w:rsid w:val="00416C92"/>
    <w:rsid w:val="00417660"/>
    <w:rsid w:val="0043286F"/>
    <w:rsid w:val="004671B2"/>
    <w:rsid w:val="00473D71"/>
    <w:rsid w:val="00481196"/>
    <w:rsid w:val="004A6C4A"/>
    <w:rsid w:val="004F4AE7"/>
    <w:rsid w:val="00515D4C"/>
    <w:rsid w:val="00541095"/>
    <w:rsid w:val="00543222"/>
    <w:rsid w:val="00563903"/>
    <w:rsid w:val="005816BA"/>
    <w:rsid w:val="00597333"/>
    <w:rsid w:val="005A1AFB"/>
    <w:rsid w:val="005C672A"/>
    <w:rsid w:val="00654346"/>
    <w:rsid w:val="006546D6"/>
    <w:rsid w:val="00665BAD"/>
    <w:rsid w:val="00665CEE"/>
    <w:rsid w:val="00687C16"/>
    <w:rsid w:val="006A6620"/>
    <w:rsid w:val="00726300"/>
    <w:rsid w:val="00727F57"/>
    <w:rsid w:val="00730A2E"/>
    <w:rsid w:val="007338DD"/>
    <w:rsid w:val="00753260"/>
    <w:rsid w:val="00790F2A"/>
    <w:rsid w:val="007B6B6B"/>
    <w:rsid w:val="0080020D"/>
    <w:rsid w:val="0086330A"/>
    <w:rsid w:val="0088414D"/>
    <w:rsid w:val="008A623D"/>
    <w:rsid w:val="008B50B2"/>
    <w:rsid w:val="008E2A0E"/>
    <w:rsid w:val="008E4BA3"/>
    <w:rsid w:val="00904389"/>
    <w:rsid w:val="009512ED"/>
    <w:rsid w:val="00970D54"/>
    <w:rsid w:val="00983D69"/>
    <w:rsid w:val="009D10D1"/>
    <w:rsid w:val="00A179DB"/>
    <w:rsid w:val="00A309B2"/>
    <w:rsid w:val="00A976D7"/>
    <w:rsid w:val="00AC2955"/>
    <w:rsid w:val="00BD65CE"/>
    <w:rsid w:val="00C13C98"/>
    <w:rsid w:val="00C42BA8"/>
    <w:rsid w:val="00C75667"/>
    <w:rsid w:val="00CC4CC7"/>
    <w:rsid w:val="00D42F54"/>
    <w:rsid w:val="00D44061"/>
    <w:rsid w:val="00D77BF2"/>
    <w:rsid w:val="00D948AC"/>
    <w:rsid w:val="00DD2C72"/>
    <w:rsid w:val="00DD4850"/>
    <w:rsid w:val="00E3320C"/>
    <w:rsid w:val="00E422E5"/>
    <w:rsid w:val="00E55CD6"/>
    <w:rsid w:val="00E842FE"/>
    <w:rsid w:val="00E96131"/>
    <w:rsid w:val="00EA73CB"/>
    <w:rsid w:val="00EB6E3D"/>
    <w:rsid w:val="00EE78E7"/>
    <w:rsid w:val="00EF3001"/>
    <w:rsid w:val="00F34755"/>
    <w:rsid w:val="00F37776"/>
    <w:rsid w:val="00F44F8E"/>
    <w:rsid w:val="00F50CDF"/>
    <w:rsid w:val="00F969EC"/>
    <w:rsid w:val="00FD4666"/>
    <w:rsid w:val="00FE0D7D"/>
    <w:rsid w:val="013B2B96"/>
    <w:rsid w:val="015B3238"/>
    <w:rsid w:val="018500EB"/>
    <w:rsid w:val="01991D03"/>
    <w:rsid w:val="01F53652"/>
    <w:rsid w:val="025E7C04"/>
    <w:rsid w:val="026779BA"/>
    <w:rsid w:val="026F2FCA"/>
    <w:rsid w:val="02704AC1"/>
    <w:rsid w:val="027C4F05"/>
    <w:rsid w:val="028816CE"/>
    <w:rsid w:val="02B86A83"/>
    <w:rsid w:val="02FB57E0"/>
    <w:rsid w:val="03367AB9"/>
    <w:rsid w:val="03513FE8"/>
    <w:rsid w:val="03DA6157"/>
    <w:rsid w:val="03E05C76"/>
    <w:rsid w:val="03FF3EAE"/>
    <w:rsid w:val="041F054D"/>
    <w:rsid w:val="04497378"/>
    <w:rsid w:val="044A30F0"/>
    <w:rsid w:val="04610B65"/>
    <w:rsid w:val="046E3DE2"/>
    <w:rsid w:val="048E122E"/>
    <w:rsid w:val="04E2640E"/>
    <w:rsid w:val="04E83AB4"/>
    <w:rsid w:val="04E92E90"/>
    <w:rsid w:val="04EC217A"/>
    <w:rsid w:val="0545048F"/>
    <w:rsid w:val="05B57989"/>
    <w:rsid w:val="05CB200E"/>
    <w:rsid w:val="05E21976"/>
    <w:rsid w:val="05EA06E6"/>
    <w:rsid w:val="05FF3A40"/>
    <w:rsid w:val="064323A1"/>
    <w:rsid w:val="064918B1"/>
    <w:rsid w:val="068030E5"/>
    <w:rsid w:val="06872E9D"/>
    <w:rsid w:val="06947590"/>
    <w:rsid w:val="06B20F69"/>
    <w:rsid w:val="072B1BB5"/>
    <w:rsid w:val="0742094B"/>
    <w:rsid w:val="0744651C"/>
    <w:rsid w:val="076A5F83"/>
    <w:rsid w:val="078B7C19"/>
    <w:rsid w:val="079C7CB2"/>
    <w:rsid w:val="085D3D32"/>
    <w:rsid w:val="087F5A5E"/>
    <w:rsid w:val="08826780"/>
    <w:rsid w:val="08AE7889"/>
    <w:rsid w:val="08F6728B"/>
    <w:rsid w:val="093A7BB6"/>
    <w:rsid w:val="09581E0B"/>
    <w:rsid w:val="095A3DD5"/>
    <w:rsid w:val="09E33EB1"/>
    <w:rsid w:val="0A0F2E11"/>
    <w:rsid w:val="0A2900D7"/>
    <w:rsid w:val="0A3C1929"/>
    <w:rsid w:val="0A3E48A2"/>
    <w:rsid w:val="0A4427FB"/>
    <w:rsid w:val="0A5D5F08"/>
    <w:rsid w:val="0A6C0264"/>
    <w:rsid w:val="0A83110A"/>
    <w:rsid w:val="0A9652E1"/>
    <w:rsid w:val="0ABA2D7D"/>
    <w:rsid w:val="0ACF0033"/>
    <w:rsid w:val="0B04224A"/>
    <w:rsid w:val="0B0A397A"/>
    <w:rsid w:val="0B3058BE"/>
    <w:rsid w:val="0B5C2086"/>
    <w:rsid w:val="0B5F7EE0"/>
    <w:rsid w:val="0B835994"/>
    <w:rsid w:val="0B9E7266"/>
    <w:rsid w:val="0C1464BD"/>
    <w:rsid w:val="0C222435"/>
    <w:rsid w:val="0C790A16"/>
    <w:rsid w:val="0C936BC5"/>
    <w:rsid w:val="0CBF5287"/>
    <w:rsid w:val="0CD36378"/>
    <w:rsid w:val="0D0A78C0"/>
    <w:rsid w:val="0D1D1559"/>
    <w:rsid w:val="0D1F7665"/>
    <w:rsid w:val="0D43731A"/>
    <w:rsid w:val="0D97092C"/>
    <w:rsid w:val="0DAC4B34"/>
    <w:rsid w:val="0DDE3227"/>
    <w:rsid w:val="0DE6032D"/>
    <w:rsid w:val="0DEF3BC2"/>
    <w:rsid w:val="0E2E3FD5"/>
    <w:rsid w:val="0E4424F1"/>
    <w:rsid w:val="0EBD2E3C"/>
    <w:rsid w:val="0EEF4FBF"/>
    <w:rsid w:val="0F087E2F"/>
    <w:rsid w:val="0F2E7896"/>
    <w:rsid w:val="0F977B31"/>
    <w:rsid w:val="0F9A317D"/>
    <w:rsid w:val="0FA638D0"/>
    <w:rsid w:val="0FE467C4"/>
    <w:rsid w:val="10AC3F5A"/>
    <w:rsid w:val="10B92541"/>
    <w:rsid w:val="10C61D50"/>
    <w:rsid w:val="10E42CCD"/>
    <w:rsid w:val="10F964B5"/>
    <w:rsid w:val="11397AC9"/>
    <w:rsid w:val="11490D75"/>
    <w:rsid w:val="11A53021"/>
    <w:rsid w:val="11AD707F"/>
    <w:rsid w:val="11DA61BE"/>
    <w:rsid w:val="11DF30C9"/>
    <w:rsid w:val="11EA598B"/>
    <w:rsid w:val="11F1104F"/>
    <w:rsid w:val="12241424"/>
    <w:rsid w:val="12803E1B"/>
    <w:rsid w:val="12E806A4"/>
    <w:rsid w:val="12EE11CD"/>
    <w:rsid w:val="12FC55F3"/>
    <w:rsid w:val="134428A9"/>
    <w:rsid w:val="13974868"/>
    <w:rsid w:val="13B32A60"/>
    <w:rsid w:val="13C0219B"/>
    <w:rsid w:val="13C62793"/>
    <w:rsid w:val="13D951B3"/>
    <w:rsid w:val="140B4606"/>
    <w:rsid w:val="141D2158"/>
    <w:rsid w:val="142B0BE2"/>
    <w:rsid w:val="144E09DA"/>
    <w:rsid w:val="149E2FB0"/>
    <w:rsid w:val="149E54BE"/>
    <w:rsid w:val="14BD14C6"/>
    <w:rsid w:val="14F73494"/>
    <w:rsid w:val="158A77F0"/>
    <w:rsid w:val="159B1B8A"/>
    <w:rsid w:val="15A207A1"/>
    <w:rsid w:val="15B52F1D"/>
    <w:rsid w:val="15C34B92"/>
    <w:rsid w:val="15D23872"/>
    <w:rsid w:val="16534086"/>
    <w:rsid w:val="1655077D"/>
    <w:rsid w:val="1672275E"/>
    <w:rsid w:val="167449C4"/>
    <w:rsid w:val="16781D3E"/>
    <w:rsid w:val="16AF4B18"/>
    <w:rsid w:val="16CD3C32"/>
    <w:rsid w:val="1776002C"/>
    <w:rsid w:val="17C214C3"/>
    <w:rsid w:val="1824469F"/>
    <w:rsid w:val="18354985"/>
    <w:rsid w:val="183A2BB8"/>
    <w:rsid w:val="183F6F76"/>
    <w:rsid w:val="18560C48"/>
    <w:rsid w:val="189521AD"/>
    <w:rsid w:val="18AD1A10"/>
    <w:rsid w:val="18BC5824"/>
    <w:rsid w:val="19406B43"/>
    <w:rsid w:val="19B80381"/>
    <w:rsid w:val="19E105C8"/>
    <w:rsid w:val="1A062596"/>
    <w:rsid w:val="1ABC757E"/>
    <w:rsid w:val="1B340CBE"/>
    <w:rsid w:val="1B422B54"/>
    <w:rsid w:val="1B8151F1"/>
    <w:rsid w:val="1B9D002C"/>
    <w:rsid w:val="1BB13D28"/>
    <w:rsid w:val="1BCF0D96"/>
    <w:rsid w:val="1C1B73F4"/>
    <w:rsid w:val="1C940F54"/>
    <w:rsid w:val="1CCB5AB9"/>
    <w:rsid w:val="1CE21609"/>
    <w:rsid w:val="1CE974F2"/>
    <w:rsid w:val="1D1327C1"/>
    <w:rsid w:val="1D413844"/>
    <w:rsid w:val="1D434E54"/>
    <w:rsid w:val="1D73345A"/>
    <w:rsid w:val="1D8255CF"/>
    <w:rsid w:val="1DE008F5"/>
    <w:rsid w:val="1DE135BD"/>
    <w:rsid w:val="1DE4451C"/>
    <w:rsid w:val="1E0572E4"/>
    <w:rsid w:val="1E1862E1"/>
    <w:rsid w:val="1E3C09E6"/>
    <w:rsid w:val="1E51078E"/>
    <w:rsid w:val="1E860908"/>
    <w:rsid w:val="1EA23DFC"/>
    <w:rsid w:val="1EFB51AE"/>
    <w:rsid w:val="1F016D75"/>
    <w:rsid w:val="1FD33F87"/>
    <w:rsid w:val="1FDB291B"/>
    <w:rsid w:val="1FFB05D5"/>
    <w:rsid w:val="20166850"/>
    <w:rsid w:val="20230F6D"/>
    <w:rsid w:val="2099122F"/>
    <w:rsid w:val="20BB2F53"/>
    <w:rsid w:val="20F85F7A"/>
    <w:rsid w:val="20F86589"/>
    <w:rsid w:val="21042B4C"/>
    <w:rsid w:val="210E2DA2"/>
    <w:rsid w:val="216F6FDD"/>
    <w:rsid w:val="2199723C"/>
    <w:rsid w:val="21C760A6"/>
    <w:rsid w:val="21C83B7A"/>
    <w:rsid w:val="21CD4054"/>
    <w:rsid w:val="21DE1BB8"/>
    <w:rsid w:val="21E15295"/>
    <w:rsid w:val="224D407F"/>
    <w:rsid w:val="226D64CF"/>
    <w:rsid w:val="22D23BD0"/>
    <w:rsid w:val="23231BC0"/>
    <w:rsid w:val="23324EC0"/>
    <w:rsid w:val="235C04C9"/>
    <w:rsid w:val="235F406A"/>
    <w:rsid w:val="2360502C"/>
    <w:rsid w:val="23A777BF"/>
    <w:rsid w:val="242C16EC"/>
    <w:rsid w:val="24980440"/>
    <w:rsid w:val="253A672A"/>
    <w:rsid w:val="25627E42"/>
    <w:rsid w:val="25707780"/>
    <w:rsid w:val="2583691A"/>
    <w:rsid w:val="259049AF"/>
    <w:rsid w:val="25C96113"/>
    <w:rsid w:val="26190E48"/>
    <w:rsid w:val="2639768F"/>
    <w:rsid w:val="26511383"/>
    <w:rsid w:val="266F0A68"/>
    <w:rsid w:val="267E514F"/>
    <w:rsid w:val="26BD249B"/>
    <w:rsid w:val="26D044DE"/>
    <w:rsid w:val="26D0702D"/>
    <w:rsid w:val="26D27249"/>
    <w:rsid w:val="26D5578C"/>
    <w:rsid w:val="26E1123A"/>
    <w:rsid w:val="273575D9"/>
    <w:rsid w:val="273D2496"/>
    <w:rsid w:val="276B0FC6"/>
    <w:rsid w:val="27843941"/>
    <w:rsid w:val="278A0FAF"/>
    <w:rsid w:val="27983FEE"/>
    <w:rsid w:val="279D63A8"/>
    <w:rsid w:val="27AC5CEC"/>
    <w:rsid w:val="27DC212D"/>
    <w:rsid w:val="27E9484A"/>
    <w:rsid w:val="28156F1E"/>
    <w:rsid w:val="281E5572"/>
    <w:rsid w:val="28357A8F"/>
    <w:rsid w:val="285F643D"/>
    <w:rsid w:val="28B947C8"/>
    <w:rsid w:val="28C8506A"/>
    <w:rsid w:val="292C1818"/>
    <w:rsid w:val="294213D2"/>
    <w:rsid w:val="2968267C"/>
    <w:rsid w:val="297B3BC8"/>
    <w:rsid w:val="29EA6657"/>
    <w:rsid w:val="29EE5D35"/>
    <w:rsid w:val="2A4346E5"/>
    <w:rsid w:val="2A866380"/>
    <w:rsid w:val="2AC74B8A"/>
    <w:rsid w:val="2AFB3B01"/>
    <w:rsid w:val="2B1B4A5A"/>
    <w:rsid w:val="2B391645"/>
    <w:rsid w:val="2BA44FCF"/>
    <w:rsid w:val="2BBF5FEE"/>
    <w:rsid w:val="2BED26EA"/>
    <w:rsid w:val="2BF92E4C"/>
    <w:rsid w:val="2C02412C"/>
    <w:rsid w:val="2C565F26"/>
    <w:rsid w:val="2C5B55EB"/>
    <w:rsid w:val="2C9F6664"/>
    <w:rsid w:val="2CAB0320"/>
    <w:rsid w:val="2CE84DB9"/>
    <w:rsid w:val="2CF0667B"/>
    <w:rsid w:val="2D43243E"/>
    <w:rsid w:val="2D590C84"/>
    <w:rsid w:val="2D6706EB"/>
    <w:rsid w:val="2D6A0061"/>
    <w:rsid w:val="2D7129F0"/>
    <w:rsid w:val="2D852B0F"/>
    <w:rsid w:val="2DD4283B"/>
    <w:rsid w:val="2DFF277A"/>
    <w:rsid w:val="2E261ADB"/>
    <w:rsid w:val="2E4938B9"/>
    <w:rsid w:val="2E8B0409"/>
    <w:rsid w:val="2E9279E9"/>
    <w:rsid w:val="2EAA4D1B"/>
    <w:rsid w:val="2ECD6C74"/>
    <w:rsid w:val="2F1138AF"/>
    <w:rsid w:val="2F5514EF"/>
    <w:rsid w:val="2F8D1F5F"/>
    <w:rsid w:val="2FE1596B"/>
    <w:rsid w:val="301461DC"/>
    <w:rsid w:val="302B680E"/>
    <w:rsid w:val="30334B55"/>
    <w:rsid w:val="30586A11"/>
    <w:rsid w:val="30601421"/>
    <w:rsid w:val="30723EC4"/>
    <w:rsid w:val="30AD07DB"/>
    <w:rsid w:val="30E9291E"/>
    <w:rsid w:val="31321F29"/>
    <w:rsid w:val="31403713"/>
    <w:rsid w:val="316C5004"/>
    <w:rsid w:val="31B045AD"/>
    <w:rsid w:val="31D75713"/>
    <w:rsid w:val="31DA3940"/>
    <w:rsid w:val="3231391E"/>
    <w:rsid w:val="323E5792"/>
    <w:rsid w:val="325B00F2"/>
    <w:rsid w:val="32756072"/>
    <w:rsid w:val="329A1850"/>
    <w:rsid w:val="32CB2E07"/>
    <w:rsid w:val="33572FB0"/>
    <w:rsid w:val="336230DC"/>
    <w:rsid w:val="336E7982"/>
    <w:rsid w:val="33977D9C"/>
    <w:rsid w:val="33E15662"/>
    <w:rsid w:val="340541A5"/>
    <w:rsid w:val="340B05C3"/>
    <w:rsid w:val="34123199"/>
    <w:rsid w:val="34417B49"/>
    <w:rsid w:val="34425A0E"/>
    <w:rsid w:val="345C0152"/>
    <w:rsid w:val="34744B4D"/>
    <w:rsid w:val="34BD4190"/>
    <w:rsid w:val="34D348F2"/>
    <w:rsid w:val="352F5715"/>
    <w:rsid w:val="35BA2275"/>
    <w:rsid w:val="35D54660"/>
    <w:rsid w:val="35D71253"/>
    <w:rsid w:val="36344A39"/>
    <w:rsid w:val="366E6677"/>
    <w:rsid w:val="367626A4"/>
    <w:rsid w:val="36E96615"/>
    <w:rsid w:val="37173B33"/>
    <w:rsid w:val="37190CCB"/>
    <w:rsid w:val="373D289B"/>
    <w:rsid w:val="37747743"/>
    <w:rsid w:val="377D0B0B"/>
    <w:rsid w:val="3786158D"/>
    <w:rsid w:val="37EC407D"/>
    <w:rsid w:val="380B72AB"/>
    <w:rsid w:val="383C32D2"/>
    <w:rsid w:val="386D5D40"/>
    <w:rsid w:val="388760E5"/>
    <w:rsid w:val="392D6FD1"/>
    <w:rsid w:val="393B38EF"/>
    <w:rsid w:val="396D238A"/>
    <w:rsid w:val="3995038E"/>
    <w:rsid w:val="39971251"/>
    <w:rsid w:val="39B20F40"/>
    <w:rsid w:val="39B822CE"/>
    <w:rsid w:val="3A414456"/>
    <w:rsid w:val="3A614714"/>
    <w:rsid w:val="3A887EF3"/>
    <w:rsid w:val="3A9248CD"/>
    <w:rsid w:val="3AF67D56"/>
    <w:rsid w:val="3B7B1805"/>
    <w:rsid w:val="3B8763FC"/>
    <w:rsid w:val="3B8A3C35"/>
    <w:rsid w:val="3B8B4234"/>
    <w:rsid w:val="3BB52F69"/>
    <w:rsid w:val="3BBC6816"/>
    <w:rsid w:val="3BDA4BF9"/>
    <w:rsid w:val="3BF71E8E"/>
    <w:rsid w:val="3C2B68BB"/>
    <w:rsid w:val="3CC81535"/>
    <w:rsid w:val="3CF44695"/>
    <w:rsid w:val="3D430101"/>
    <w:rsid w:val="3D545E19"/>
    <w:rsid w:val="3D6A38DF"/>
    <w:rsid w:val="3D7C0021"/>
    <w:rsid w:val="3DC56D68"/>
    <w:rsid w:val="3E2015BF"/>
    <w:rsid w:val="3E3F3CA1"/>
    <w:rsid w:val="3E810F84"/>
    <w:rsid w:val="3EC44E35"/>
    <w:rsid w:val="3ED069D1"/>
    <w:rsid w:val="3EFA291A"/>
    <w:rsid w:val="3F2E08F1"/>
    <w:rsid w:val="3F634A8A"/>
    <w:rsid w:val="3FC86A0C"/>
    <w:rsid w:val="3FDF05B5"/>
    <w:rsid w:val="400206B2"/>
    <w:rsid w:val="402D0B06"/>
    <w:rsid w:val="40621D75"/>
    <w:rsid w:val="40EA55B0"/>
    <w:rsid w:val="40F27073"/>
    <w:rsid w:val="41366BBF"/>
    <w:rsid w:val="413C37E5"/>
    <w:rsid w:val="416C231C"/>
    <w:rsid w:val="41A154D1"/>
    <w:rsid w:val="41DE569A"/>
    <w:rsid w:val="41E9571B"/>
    <w:rsid w:val="420C2AEB"/>
    <w:rsid w:val="42142CD5"/>
    <w:rsid w:val="426254CD"/>
    <w:rsid w:val="4283791D"/>
    <w:rsid w:val="428611BC"/>
    <w:rsid w:val="42CF1434"/>
    <w:rsid w:val="42D53EF1"/>
    <w:rsid w:val="42DF3919"/>
    <w:rsid w:val="432A7D99"/>
    <w:rsid w:val="43370708"/>
    <w:rsid w:val="435C6399"/>
    <w:rsid w:val="435E3EE6"/>
    <w:rsid w:val="43654EE1"/>
    <w:rsid w:val="43914D28"/>
    <w:rsid w:val="43974BC7"/>
    <w:rsid w:val="43B03E7E"/>
    <w:rsid w:val="43C6247C"/>
    <w:rsid w:val="43D539FE"/>
    <w:rsid w:val="43FC25F1"/>
    <w:rsid w:val="440B56EF"/>
    <w:rsid w:val="442517E5"/>
    <w:rsid w:val="44466E54"/>
    <w:rsid w:val="444B2B32"/>
    <w:rsid w:val="45140D01"/>
    <w:rsid w:val="451611E1"/>
    <w:rsid w:val="45921630"/>
    <w:rsid w:val="45A608A5"/>
    <w:rsid w:val="45A81449"/>
    <w:rsid w:val="46154555"/>
    <w:rsid w:val="4615631F"/>
    <w:rsid w:val="464A3A20"/>
    <w:rsid w:val="46530D8D"/>
    <w:rsid w:val="469A25DB"/>
    <w:rsid w:val="46DD3374"/>
    <w:rsid w:val="46F92EAD"/>
    <w:rsid w:val="470E2E81"/>
    <w:rsid w:val="4723522B"/>
    <w:rsid w:val="472745EF"/>
    <w:rsid w:val="47406C6A"/>
    <w:rsid w:val="47590191"/>
    <w:rsid w:val="47ED6B09"/>
    <w:rsid w:val="47EF33DB"/>
    <w:rsid w:val="47FE17F4"/>
    <w:rsid w:val="47FE35A2"/>
    <w:rsid w:val="48074B4D"/>
    <w:rsid w:val="481903DC"/>
    <w:rsid w:val="48474F49"/>
    <w:rsid w:val="485D29BF"/>
    <w:rsid w:val="489F0D3B"/>
    <w:rsid w:val="48DD765B"/>
    <w:rsid w:val="48E44E8E"/>
    <w:rsid w:val="49093A50"/>
    <w:rsid w:val="49155047"/>
    <w:rsid w:val="494B2855"/>
    <w:rsid w:val="4961375F"/>
    <w:rsid w:val="4A101FB4"/>
    <w:rsid w:val="4A2D63C1"/>
    <w:rsid w:val="4A341672"/>
    <w:rsid w:val="4A726EB9"/>
    <w:rsid w:val="4A7F5A50"/>
    <w:rsid w:val="4AA4494E"/>
    <w:rsid w:val="4AB4263E"/>
    <w:rsid w:val="4AEC627C"/>
    <w:rsid w:val="4B0C247A"/>
    <w:rsid w:val="4B2B2900"/>
    <w:rsid w:val="4B5856BF"/>
    <w:rsid w:val="4B86753E"/>
    <w:rsid w:val="4C1D748B"/>
    <w:rsid w:val="4C540945"/>
    <w:rsid w:val="4C8155F0"/>
    <w:rsid w:val="4C831D7C"/>
    <w:rsid w:val="4CC1650F"/>
    <w:rsid w:val="4CC65498"/>
    <w:rsid w:val="4CE46AA1"/>
    <w:rsid w:val="4D1A0AB1"/>
    <w:rsid w:val="4DA76080"/>
    <w:rsid w:val="4DAA5E94"/>
    <w:rsid w:val="4DCC2C80"/>
    <w:rsid w:val="4DFE60AA"/>
    <w:rsid w:val="4E105DDD"/>
    <w:rsid w:val="4E1E499E"/>
    <w:rsid w:val="4E263853"/>
    <w:rsid w:val="4E404AB8"/>
    <w:rsid w:val="4E45711A"/>
    <w:rsid w:val="4E5C7274"/>
    <w:rsid w:val="4E796078"/>
    <w:rsid w:val="4E7E41D8"/>
    <w:rsid w:val="4E9B5FEF"/>
    <w:rsid w:val="4EFA0F67"/>
    <w:rsid w:val="4EFF47FF"/>
    <w:rsid w:val="4F7F7C25"/>
    <w:rsid w:val="4FA179CC"/>
    <w:rsid w:val="4FA930E5"/>
    <w:rsid w:val="4FD53792"/>
    <w:rsid w:val="4FF05766"/>
    <w:rsid w:val="4FF43C08"/>
    <w:rsid w:val="50086392"/>
    <w:rsid w:val="50144132"/>
    <w:rsid w:val="50151DD1"/>
    <w:rsid w:val="5058366F"/>
    <w:rsid w:val="50591CBD"/>
    <w:rsid w:val="50852AB2"/>
    <w:rsid w:val="50865DB4"/>
    <w:rsid w:val="508825A3"/>
    <w:rsid w:val="50A642E7"/>
    <w:rsid w:val="50BE4216"/>
    <w:rsid w:val="50CD5008"/>
    <w:rsid w:val="50DA64B7"/>
    <w:rsid w:val="50E41866"/>
    <w:rsid w:val="50E861C2"/>
    <w:rsid w:val="50E9281F"/>
    <w:rsid w:val="50F814D6"/>
    <w:rsid w:val="50FE4613"/>
    <w:rsid w:val="51002139"/>
    <w:rsid w:val="514E7BF7"/>
    <w:rsid w:val="515B73C4"/>
    <w:rsid w:val="515B794B"/>
    <w:rsid w:val="51853924"/>
    <w:rsid w:val="51984A67"/>
    <w:rsid w:val="51BA49DE"/>
    <w:rsid w:val="52090AEC"/>
    <w:rsid w:val="520B5A2B"/>
    <w:rsid w:val="52340DCC"/>
    <w:rsid w:val="52CC53ED"/>
    <w:rsid w:val="52E001AF"/>
    <w:rsid w:val="53590C16"/>
    <w:rsid w:val="539A122F"/>
    <w:rsid w:val="53DC426D"/>
    <w:rsid w:val="53DD2C05"/>
    <w:rsid w:val="54322F51"/>
    <w:rsid w:val="5465618E"/>
    <w:rsid w:val="54817A35"/>
    <w:rsid w:val="548D6E92"/>
    <w:rsid w:val="54952768"/>
    <w:rsid w:val="54CD78D3"/>
    <w:rsid w:val="55173EF5"/>
    <w:rsid w:val="552F77ED"/>
    <w:rsid w:val="55371775"/>
    <w:rsid w:val="55651104"/>
    <w:rsid w:val="55A32FF3"/>
    <w:rsid w:val="55CC7D95"/>
    <w:rsid w:val="55F00C8E"/>
    <w:rsid w:val="5621502B"/>
    <w:rsid w:val="562B4FF8"/>
    <w:rsid w:val="562F095F"/>
    <w:rsid w:val="56444F70"/>
    <w:rsid w:val="56500E25"/>
    <w:rsid w:val="56531715"/>
    <w:rsid w:val="566F7C1E"/>
    <w:rsid w:val="57655A52"/>
    <w:rsid w:val="57AC4DC9"/>
    <w:rsid w:val="57CC0FC7"/>
    <w:rsid w:val="57D97C59"/>
    <w:rsid w:val="583C5053"/>
    <w:rsid w:val="583F79EB"/>
    <w:rsid w:val="58756314"/>
    <w:rsid w:val="587A6211"/>
    <w:rsid w:val="58D42829"/>
    <w:rsid w:val="58DF4D1D"/>
    <w:rsid w:val="58E60059"/>
    <w:rsid w:val="59167BA1"/>
    <w:rsid w:val="596A7545"/>
    <w:rsid w:val="59AF6DF2"/>
    <w:rsid w:val="59BA46C8"/>
    <w:rsid w:val="59BF6AD5"/>
    <w:rsid w:val="59D40607"/>
    <w:rsid w:val="59E24AD2"/>
    <w:rsid w:val="5A3846D9"/>
    <w:rsid w:val="5AA61FA3"/>
    <w:rsid w:val="5AD107D6"/>
    <w:rsid w:val="5B2064BE"/>
    <w:rsid w:val="5B413A7A"/>
    <w:rsid w:val="5B603EFE"/>
    <w:rsid w:val="5B943228"/>
    <w:rsid w:val="5BC8419B"/>
    <w:rsid w:val="5BFB19C1"/>
    <w:rsid w:val="5BFE7BBD"/>
    <w:rsid w:val="5C17370D"/>
    <w:rsid w:val="5C5A4C58"/>
    <w:rsid w:val="5C82434A"/>
    <w:rsid w:val="5C972C81"/>
    <w:rsid w:val="5CAA56EB"/>
    <w:rsid w:val="5CD22236"/>
    <w:rsid w:val="5CF436A6"/>
    <w:rsid w:val="5D02548B"/>
    <w:rsid w:val="5D2939D8"/>
    <w:rsid w:val="5D446E7B"/>
    <w:rsid w:val="5D5C103F"/>
    <w:rsid w:val="5D6879E4"/>
    <w:rsid w:val="5D9245E2"/>
    <w:rsid w:val="5DA34D88"/>
    <w:rsid w:val="5DB63638"/>
    <w:rsid w:val="5DE127A5"/>
    <w:rsid w:val="5E081FD9"/>
    <w:rsid w:val="5E0B3912"/>
    <w:rsid w:val="5E4A533B"/>
    <w:rsid w:val="5EAA1503"/>
    <w:rsid w:val="5EBF066E"/>
    <w:rsid w:val="5ED3570C"/>
    <w:rsid w:val="5F384931"/>
    <w:rsid w:val="5F3B6A32"/>
    <w:rsid w:val="5F520B89"/>
    <w:rsid w:val="5F58732E"/>
    <w:rsid w:val="5FB33167"/>
    <w:rsid w:val="5FFB4EC9"/>
    <w:rsid w:val="60874F01"/>
    <w:rsid w:val="6089214B"/>
    <w:rsid w:val="60934D78"/>
    <w:rsid w:val="60A056E7"/>
    <w:rsid w:val="60B576A8"/>
    <w:rsid w:val="60CC028A"/>
    <w:rsid w:val="60D3786A"/>
    <w:rsid w:val="614B38A4"/>
    <w:rsid w:val="61644A53"/>
    <w:rsid w:val="61C225E4"/>
    <w:rsid w:val="61C947C9"/>
    <w:rsid w:val="61CE04D5"/>
    <w:rsid w:val="62051CA5"/>
    <w:rsid w:val="62817D30"/>
    <w:rsid w:val="62856942"/>
    <w:rsid w:val="62F56482"/>
    <w:rsid w:val="63051831"/>
    <w:rsid w:val="632E6B3D"/>
    <w:rsid w:val="633E241E"/>
    <w:rsid w:val="6343411C"/>
    <w:rsid w:val="63442359"/>
    <w:rsid w:val="63E17088"/>
    <w:rsid w:val="64357EF4"/>
    <w:rsid w:val="643E149E"/>
    <w:rsid w:val="64A55876"/>
    <w:rsid w:val="64A92D88"/>
    <w:rsid w:val="64E57B6C"/>
    <w:rsid w:val="64FB051F"/>
    <w:rsid w:val="65046244"/>
    <w:rsid w:val="652026FD"/>
    <w:rsid w:val="653001A2"/>
    <w:rsid w:val="6545060B"/>
    <w:rsid w:val="658302B0"/>
    <w:rsid w:val="65991AC5"/>
    <w:rsid w:val="65A05841"/>
    <w:rsid w:val="65E861D2"/>
    <w:rsid w:val="65F57F33"/>
    <w:rsid w:val="65F8567D"/>
    <w:rsid w:val="66046FD7"/>
    <w:rsid w:val="660E6C4E"/>
    <w:rsid w:val="66216982"/>
    <w:rsid w:val="662F2DF2"/>
    <w:rsid w:val="66A93221"/>
    <w:rsid w:val="66E1083E"/>
    <w:rsid w:val="66E62061"/>
    <w:rsid w:val="66E82410"/>
    <w:rsid w:val="66F95B50"/>
    <w:rsid w:val="670544F5"/>
    <w:rsid w:val="671464E6"/>
    <w:rsid w:val="67177D85"/>
    <w:rsid w:val="672332BA"/>
    <w:rsid w:val="672F25CB"/>
    <w:rsid w:val="67572EC7"/>
    <w:rsid w:val="67810DE3"/>
    <w:rsid w:val="67993132"/>
    <w:rsid w:val="67B36622"/>
    <w:rsid w:val="681A7B2C"/>
    <w:rsid w:val="681C26D8"/>
    <w:rsid w:val="684602BC"/>
    <w:rsid w:val="68633281"/>
    <w:rsid w:val="693D1D24"/>
    <w:rsid w:val="694E06CF"/>
    <w:rsid w:val="695A5291"/>
    <w:rsid w:val="696E4640"/>
    <w:rsid w:val="69A85C06"/>
    <w:rsid w:val="6ABC3B4F"/>
    <w:rsid w:val="6AC8590F"/>
    <w:rsid w:val="6B2A277C"/>
    <w:rsid w:val="6BD30294"/>
    <w:rsid w:val="6BE15898"/>
    <w:rsid w:val="6BE97D97"/>
    <w:rsid w:val="6C0E5BFA"/>
    <w:rsid w:val="6C2C2F14"/>
    <w:rsid w:val="6C537AB1"/>
    <w:rsid w:val="6C5C6499"/>
    <w:rsid w:val="6C8C7873"/>
    <w:rsid w:val="6D044B35"/>
    <w:rsid w:val="6D107750"/>
    <w:rsid w:val="6D7148BC"/>
    <w:rsid w:val="6DB56DE2"/>
    <w:rsid w:val="6DFD09D8"/>
    <w:rsid w:val="6E234B57"/>
    <w:rsid w:val="6E593B37"/>
    <w:rsid w:val="6E763D00"/>
    <w:rsid w:val="6E776109"/>
    <w:rsid w:val="6F011A46"/>
    <w:rsid w:val="6F2E3600"/>
    <w:rsid w:val="6F352D82"/>
    <w:rsid w:val="6F433E0D"/>
    <w:rsid w:val="6F490CF7"/>
    <w:rsid w:val="6F5E40CF"/>
    <w:rsid w:val="6F775864"/>
    <w:rsid w:val="6F860B8D"/>
    <w:rsid w:val="6F935C45"/>
    <w:rsid w:val="6FB30672"/>
    <w:rsid w:val="6FB605CC"/>
    <w:rsid w:val="6FE25A5E"/>
    <w:rsid w:val="6FF15617"/>
    <w:rsid w:val="6FF27D27"/>
    <w:rsid w:val="6FF9096F"/>
    <w:rsid w:val="70312EE4"/>
    <w:rsid w:val="707D6EAA"/>
    <w:rsid w:val="708446DD"/>
    <w:rsid w:val="709A7EEE"/>
    <w:rsid w:val="70C87D23"/>
    <w:rsid w:val="70F25F17"/>
    <w:rsid w:val="71070FD6"/>
    <w:rsid w:val="71227BFC"/>
    <w:rsid w:val="714D0D63"/>
    <w:rsid w:val="715B02C2"/>
    <w:rsid w:val="71863061"/>
    <w:rsid w:val="71DB657E"/>
    <w:rsid w:val="720F27CE"/>
    <w:rsid w:val="722E2B52"/>
    <w:rsid w:val="7258372B"/>
    <w:rsid w:val="72987FCC"/>
    <w:rsid w:val="72C53089"/>
    <w:rsid w:val="73125FD0"/>
    <w:rsid w:val="735A34D3"/>
    <w:rsid w:val="73893DB8"/>
    <w:rsid w:val="73A3131E"/>
    <w:rsid w:val="73AD522B"/>
    <w:rsid w:val="73E86D31"/>
    <w:rsid w:val="743C653C"/>
    <w:rsid w:val="7480205F"/>
    <w:rsid w:val="74AB25CF"/>
    <w:rsid w:val="74AF5AA0"/>
    <w:rsid w:val="74BC7B74"/>
    <w:rsid w:val="74C84C15"/>
    <w:rsid w:val="75100383"/>
    <w:rsid w:val="75395FF8"/>
    <w:rsid w:val="755F3023"/>
    <w:rsid w:val="756859DD"/>
    <w:rsid w:val="757F1917"/>
    <w:rsid w:val="75A14139"/>
    <w:rsid w:val="75BA46FD"/>
    <w:rsid w:val="765953B3"/>
    <w:rsid w:val="767E29CC"/>
    <w:rsid w:val="768D26EA"/>
    <w:rsid w:val="76B64EC4"/>
    <w:rsid w:val="76D170E4"/>
    <w:rsid w:val="76F37EC6"/>
    <w:rsid w:val="773A62F7"/>
    <w:rsid w:val="77A103E0"/>
    <w:rsid w:val="77AD1BAA"/>
    <w:rsid w:val="7820387C"/>
    <w:rsid w:val="78462278"/>
    <w:rsid w:val="78546F25"/>
    <w:rsid w:val="785A0682"/>
    <w:rsid w:val="786B1CDE"/>
    <w:rsid w:val="78A42BAC"/>
    <w:rsid w:val="78B6564F"/>
    <w:rsid w:val="78F65A4C"/>
    <w:rsid w:val="79172B8D"/>
    <w:rsid w:val="79535A94"/>
    <w:rsid w:val="79BC34DA"/>
    <w:rsid w:val="79CD435B"/>
    <w:rsid w:val="7A2E4BE6"/>
    <w:rsid w:val="7A560E98"/>
    <w:rsid w:val="7A8D0A8F"/>
    <w:rsid w:val="7A9C2623"/>
    <w:rsid w:val="7AFA7EAF"/>
    <w:rsid w:val="7B5B428C"/>
    <w:rsid w:val="7B5E221C"/>
    <w:rsid w:val="7B8C3246"/>
    <w:rsid w:val="7BA40714"/>
    <w:rsid w:val="7BA43E85"/>
    <w:rsid w:val="7BA93249"/>
    <w:rsid w:val="7BBC5B9A"/>
    <w:rsid w:val="7BF25B99"/>
    <w:rsid w:val="7BFB59C6"/>
    <w:rsid w:val="7C3F3BAE"/>
    <w:rsid w:val="7C4E4498"/>
    <w:rsid w:val="7C8C376F"/>
    <w:rsid w:val="7C923897"/>
    <w:rsid w:val="7C945CA8"/>
    <w:rsid w:val="7CAF2AE1"/>
    <w:rsid w:val="7CED53A8"/>
    <w:rsid w:val="7D1666BD"/>
    <w:rsid w:val="7D4A0A5C"/>
    <w:rsid w:val="7D770ACE"/>
    <w:rsid w:val="7DA0067C"/>
    <w:rsid w:val="7DA22646"/>
    <w:rsid w:val="7E066883"/>
    <w:rsid w:val="7E3C03A5"/>
    <w:rsid w:val="7E6D4A02"/>
    <w:rsid w:val="7E8920E9"/>
    <w:rsid w:val="7EA111FA"/>
    <w:rsid w:val="7EAD12A3"/>
    <w:rsid w:val="7EC363D0"/>
    <w:rsid w:val="7ED700CE"/>
    <w:rsid w:val="7EF173E1"/>
    <w:rsid w:val="7F052E8D"/>
    <w:rsid w:val="7F0F5AB9"/>
    <w:rsid w:val="7F475253"/>
    <w:rsid w:val="7FA25D00"/>
    <w:rsid w:val="7FB126CD"/>
    <w:rsid w:val="7FBA3C77"/>
    <w:rsid w:val="7FCE19DA"/>
    <w:rsid w:val="7FD85EAB"/>
    <w:rsid w:val="7FEE1B73"/>
    <w:rsid w:val="7FFE3B8D"/>
    <w:rsid w:val="7FFF0A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qFormat="1" w:unhideWhenUsed="0" w:uiPriority="39" w:semiHidden="0"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5"/>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27"/>
    <w:qFormat/>
    <w:uiPriority w:val="0"/>
    <w:pPr>
      <w:keepNext/>
      <w:keepLines/>
      <w:spacing w:before="260" w:after="260" w:line="416" w:lineRule="auto"/>
      <w:outlineLvl w:val="1"/>
    </w:pPr>
    <w:rPr>
      <w:rFonts w:ascii="Arial" w:hAnsi="Arial" w:eastAsia="黑体"/>
      <w:b/>
      <w:bCs/>
      <w:kern w:val="0"/>
      <w:sz w:val="32"/>
      <w:szCs w:val="32"/>
    </w:rPr>
  </w:style>
  <w:style w:type="paragraph" w:styleId="4">
    <w:name w:val="heading 4"/>
    <w:basedOn w:val="1"/>
    <w:next w:val="1"/>
    <w:unhideWhenUsed/>
    <w:qFormat/>
    <w:uiPriority w:val="0"/>
    <w:pPr>
      <w:keepNext/>
      <w:keepLines/>
      <w:spacing w:line="360" w:lineRule="auto"/>
      <w:outlineLvl w:val="3"/>
    </w:pPr>
    <w:rPr>
      <w:rFonts w:ascii="Arial" w:hAnsi="Arial"/>
      <w:b/>
      <w:sz w:val="30"/>
      <w:szCs w:val="22"/>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szCs w:val="20"/>
    </w:rPr>
  </w:style>
  <w:style w:type="paragraph" w:styleId="6">
    <w:name w:val="annotation text"/>
    <w:basedOn w:val="1"/>
    <w:link w:val="43"/>
    <w:qFormat/>
    <w:uiPriority w:val="0"/>
    <w:pPr>
      <w:jc w:val="left"/>
    </w:pPr>
  </w:style>
  <w:style w:type="paragraph" w:styleId="7">
    <w:name w:val="Body Text"/>
    <w:basedOn w:val="1"/>
    <w:link w:val="28"/>
    <w:semiHidden/>
    <w:unhideWhenUsed/>
    <w:qFormat/>
    <w:uiPriority w:val="99"/>
    <w:pPr>
      <w:spacing w:after="120"/>
    </w:pPr>
  </w:style>
  <w:style w:type="paragraph" w:styleId="8">
    <w:name w:val="Body Text Indent"/>
    <w:basedOn w:val="1"/>
    <w:qFormat/>
    <w:uiPriority w:val="0"/>
    <w:pPr>
      <w:ind w:firstLine="830" w:firstLineChars="352"/>
    </w:pPr>
    <w:rPr>
      <w:rFonts w:ascii="仿宋_GB2312" w:eastAsia="仿宋_GB2312"/>
      <w:sz w:val="32"/>
      <w:szCs w:val="20"/>
    </w:rPr>
  </w:style>
  <w:style w:type="paragraph" w:styleId="9">
    <w:name w:val="Plain Text"/>
    <w:basedOn w:val="1"/>
    <w:next w:val="4"/>
    <w:link w:val="42"/>
    <w:qFormat/>
    <w:uiPriority w:val="0"/>
    <w:rPr>
      <w:rFonts w:ascii="宋体" w:hAnsi="宋体" w:cs="Courier New"/>
      <w:szCs w:val="21"/>
    </w:rPr>
  </w:style>
  <w:style w:type="paragraph" w:styleId="10">
    <w:name w:val="Balloon Text"/>
    <w:basedOn w:val="1"/>
    <w:link w:val="37"/>
    <w:semiHidden/>
    <w:unhideWhenUsed/>
    <w:qFormat/>
    <w:uiPriority w:val="99"/>
    <w:rPr>
      <w:sz w:val="18"/>
      <w:szCs w:val="18"/>
    </w:rPr>
  </w:style>
  <w:style w:type="paragraph" w:styleId="11">
    <w:name w:val="footer"/>
    <w:basedOn w:val="1"/>
    <w:link w:val="30"/>
    <w:qFormat/>
    <w:uiPriority w:val="0"/>
    <w:pPr>
      <w:tabs>
        <w:tab w:val="center" w:pos="4153"/>
        <w:tab w:val="right" w:pos="8306"/>
      </w:tabs>
      <w:snapToGrid w:val="0"/>
      <w:jc w:val="left"/>
    </w:pPr>
    <w:rPr>
      <w:sz w:val="18"/>
      <w:szCs w:val="18"/>
    </w:rPr>
  </w:style>
  <w:style w:type="paragraph" w:styleId="12">
    <w:name w:val="header"/>
    <w:basedOn w:val="1"/>
    <w:link w:val="38"/>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39"/>
    <w:pPr>
      <w:tabs>
        <w:tab w:val="right" w:leader="dot" w:pos="8296"/>
        <w:tab w:val="right" w:leader="dot" w:pos="8398"/>
      </w:tabs>
      <w:spacing w:before="120" w:after="120" w:line="320" w:lineRule="exact"/>
      <w:ind w:firstLine="840" w:firstLineChars="400"/>
      <w:jc w:val="left"/>
    </w:pPr>
    <w:rPr>
      <w:rFonts w:ascii="仿宋_GB2312" w:hAnsi="宋体" w:eastAsia="仿宋_GB2312" w:cs="Courier New"/>
      <w:bCs/>
      <w:caps/>
      <w:szCs w:val="21"/>
    </w:rPr>
  </w:style>
  <w:style w:type="paragraph" w:styleId="14">
    <w:name w:val="toc 9"/>
    <w:basedOn w:val="1"/>
    <w:next w:val="1"/>
    <w:qFormat/>
    <w:uiPriority w:val="39"/>
    <w:pPr>
      <w:tabs>
        <w:tab w:val="right" w:leader="dot" w:pos="9185"/>
      </w:tabs>
      <w:adjustRightInd w:val="0"/>
      <w:spacing w:line="312" w:lineRule="atLeast"/>
      <w:ind w:left="3360"/>
      <w:textAlignment w:val="baseline"/>
    </w:pPr>
    <w:rPr>
      <w:kern w:val="0"/>
      <w:szCs w:val="20"/>
    </w:rPr>
  </w:style>
  <w:style w:type="paragraph" w:styleId="15">
    <w:name w:val="Normal (Web)"/>
    <w:basedOn w:val="1"/>
    <w:qFormat/>
    <w:uiPriority w:val="99"/>
    <w:pPr>
      <w:widowControl/>
      <w:spacing w:before="100" w:beforeAutospacing="1" w:after="100" w:afterAutospacing="1"/>
      <w:jc w:val="left"/>
    </w:pPr>
    <w:rPr>
      <w:rFonts w:ascii="宋体" w:hAnsi="宋体"/>
      <w:kern w:val="0"/>
      <w:sz w:val="24"/>
    </w:rPr>
  </w:style>
  <w:style w:type="paragraph" w:styleId="16">
    <w:name w:val="Title"/>
    <w:basedOn w:val="1"/>
    <w:next w:val="1"/>
    <w:link w:val="31"/>
    <w:qFormat/>
    <w:uiPriority w:val="0"/>
    <w:pPr>
      <w:spacing w:before="240" w:after="60"/>
      <w:jc w:val="center"/>
      <w:outlineLvl w:val="0"/>
    </w:pPr>
    <w:rPr>
      <w:rFonts w:ascii="Arial" w:hAnsi="Arial"/>
      <w:b/>
      <w:bCs/>
      <w:sz w:val="32"/>
      <w:szCs w:val="32"/>
    </w:rPr>
  </w:style>
  <w:style w:type="paragraph" w:styleId="17">
    <w:name w:val="annotation subject"/>
    <w:basedOn w:val="6"/>
    <w:next w:val="6"/>
    <w:link w:val="44"/>
    <w:semiHidden/>
    <w:unhideWhenUsed/>
    <w:qFormat/>
    <w:uiPriority w:val="99"/>
    <w:rPr>
      <w:b/>
      <w:bCs/>
    </w:rPr>
  </w:style>
  <w:style w:type="paragraph" w:styleId="18">
    <w:name w:val="Body Text First Indent"/>
    <w:basedOn w:val="7"/>
    <w:link w:val="29"/>
    <w:qFormat/>
    <w:uiPriority w:val="0"/>
    <w:pPr>
      <w:spacing w:after="0" w:line="380" w:lineRule="exact"/>
      <w:ind w:firstLine="420" w:firstLineChars="100"/>
    </w:pPr>
    <w:rPr>
      <w:sz w:val="24"/>
    </w:rPr>
  </w:style>
  <w:style w:type="paragraph" w:styleId="19">
    <w:name w:val="Body Text First Indent 2"/>
    <w:basedOn w:val="8"/>
    <w:qFormat/>
    <w:uiPriority w:val="0"/>
    <w:pPr>
      <w:spacing w:after="120"/>
      <w:ind w:left="420" w:leftChars="200" w:firstLine="420" w:firstLineChars="200"/>
    </w:p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Strong"/>
    <w:basedOn w:val="22"/>
    <w:qFormat/>
    <w:uiPriority w:val="0"/>
    <w:rPr>
      <w:b/>
    </w:rPr>
  </w:style>
  <w:style w:type="character" w:styleId="24">
    <w:name w:val="annotation reference"/>
    <w:basedOn w:val="22"/>
    <w:semiHidden/>
    <w:unhideWhenUsed/>
    <w:qFormat/>
    <w:uiPriority w:val="99"/>
    <w:rPr>
      <w:sz w:val="21"/>
      <w:szCs w:val="21"/>
    </w:rPr>
  </w:style>
  <w:style w:type="character" w:customStyle="1" w:styleId="25">
    <w:name w:val="标题 1 Char"/>
    <w:basedOn w:val="22"/>
    <w:link w:val="2"/>
    <w:qFormat/>
    <w:uiPriority w:val="0"/>
    <w:rPr>
      <w:rFonts w:ascii="Times New Roman" w:hAnsi="Times New Roman" w:eastAsia="宋体" w:cs="Times New Roman"/>
      <w:b/>
      <w:bCs/>
      <w:kern w:val="44"/>
      <w:sz w:val="44"/>
      <w:szCs w:val="44"/>
    </w:rPr>
  </w:style>
  <w:style w:type="paragraph" w:customStyle="1" w:styleId="26">
    <w:name w:val="表格文字"/>
    <w:basedOn w:val="1"/>
    <w:qFormat/>
    <w:uiPriority w:val="0"/>
    <w:pPr>
      <w:spacing w:before="25" w:after="25"/>
      <w:jc w:val="left"/>
    </w:pPr>
    <w:rPr>
      <w:rFonts w:ascii="Calibri" w:hAnsi="Calibri"/>
      <w:bCs/>
      <w:spacing w:val="10"/>
      <w:sz w:val="24"/>
      <w:szCs w:val="22"/>
    </w:rPr>
  </w:style>
  <w:style w:type="character" w:customStyle="1" w:styleId="27">
    <w:name w:val="标题 2 Char"/>
    <w:basedOn w:val="22"/>
    <w:link w:val="3"/>
    <w:qFormat/>
    <w:uiPriority w:val="0"/>
    <w:rPr>
      <w:rFonts w:ascii="Arial" w:hAnsi="Arial" w:eastAsia="黑体" w:cs="Times New Roman"/>
      <w:b/>
      <w:bCs/>
      <w:kern w:val="0"/>
      <w:sz w:val="32"/>
      <w:szCs w:val="32"/>
    </w:rPr>
  </w:style>
  <w:style w:type="character" w:customStyle="1" w:styleId="28">
    <w:name w:val="正文文本 Char"/>
    <w:basedOn w:val="22"/>
    <w:link w:val="7"/>
    <w:semiHidden/>
    <w:qFormat/>
    <w:uiPriority w:val="99"/>
    <w:rPr>
      <w:rFonts w:ascii="Times New Roman" w:hAnsi="Times New Roman" w:eastAsia="宋体" w:cs="Times New Roman"/>
      <w:szCs w:val="24"/>
    </w:rPr>
  </w:style>
  <w:style w:type="character" w:customStyle="1" w:styleId="29">
    <w:name w:val="正文首行缩进 Char"/>
    <w:basedOn w:val="28"/>
    <w:link w:val="18"/>
    <w:qFormat/>
    <w:uiPriority w:val="0"/>
    <w:rPr>
      <w:rFonts w:ascii="Times New Roman" w:hAnsi="Times New Roman" w:eastAsia="宋体" w:cs="Times New Roman"/>
      <w:sz w:val="24"/>
      <w:szCs w:val="24"/>
    </w:rPr>
  </w:style>
  <w:style w:type="character" w:customStyle="1" w:styleId="30">
    <w:name w:val="页脚 Char"/>
    <w:basedOn w:val="22"/>
    <w:link w:val="11"/>
    <w:qFormat/>
    <w:uiPriority w:val="0"/>
    <w:rPr>
      <w:rFonts w:ascii="Times New Roman" w:hAnsi="Times New Roman" w:eastAsia="宋体" w:cs="Times New Roman"/>
      <w:sz w:val="18"/>
      <w:szCs w:val="18"/>
    </w:rPr>
  </w:style>
  <w:style w:type="character" w:customStyle="1" w:styleId="31">
    <w:name w:val="标题 Char"/>
    <w:basedOn w:val="22"/>
    <w:link w:val="16"/>
    <w:qFormat/>
    <w:uiPriority w:val="0"/>
    <w:rPr>
      <w:rFonts w:ascii="Arial" w:hAnsi="Arial" w:eastAsia="宋体" w:cs="Times New Roman"/>
      <w:b/>
      <w:bCs/>
      <w:sz w:val="32"/>
      <w:szCs w:val="32"/>
    </w:rPr>
  </w:style>
  <w:style w:type="paragraph" w:customStyle="1" w:styleId="3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3">
    <w:name w:val="表格"/>
    <w:basedOn w:val="1"/>
    <w:qFormat/>
    <w:uiPriority w:val="0"/>
    <w:pPr>
      <w:spacing w:line="400" w:lineRule="exact"/>
    </w:pPr>
    <w:rPr>
      <w:sz w:val="24"/>
    </w:rPr>
  </w:style>
  <w:style w:type="character" w:customStyle="1" w:styleId="34">
    <w:name w:val="NormalCharacter"/>
    <w:qFormat/>
    <w:uiPriority w:val="0"/>
  </w:style>
  <w:style w:type="paragraph" w:customStyle="1" w:styleId="35">
    <w:name w:val="BodyText"/>
    <w:basedOn w:val="1"/>
    <w:qFormat/>
    <w:uiPriority w:val="0"/>
    <w:pPr>
      <w:spacing w:line="380" w:lineRule="exact"/>
    </w:pPr>
    <w:rPr>
      <w:sz w:val="24"/>
    </w:rPr>
  </w:style>
  <w:style w:type="paragraph" w:customStyle="1" w:styleId="36">
    <w:name w:val="Table Paragraph"/>
    <w:basedOn w:val="1"/>
    <w:qFormat/>
    <w:uiPriority w:val="1"/>
    <w:rPr>
      <w:rFonts w:ascii="宋体" w:hAnsi="宋体" w:cs="宋体"/>
      <w:lang w:val="zh-CN" w:bidi="zh-CN"/>
    </w:rPr>
  </w:style>
  <w:style w:type="character" w:customStyle="1" w:styleId="37">
    <w:name w:val="批注框文本 Char"/>
    <w:basedOn w:val="22"/>
    <w:link w:val="10"/>
    <w:semiHidden/>
    <w:qFormat/>
    <w:uiPriority w:val="99"/>
    <w:rPr>
      <w:rFonts w:ascii="Times New Roman" w:hAnsi="Times New Roman" w:eastAsia="宋体" w:cs="Times New Roman"/>
      <w:sz w:val="18"/>
      <w:szCs w:val="18"/>
    </w:rPr>
  </w:style>
  <w:style w:type="character" w:customStyle="1" w:styleId="38">
    <w:name w:val="页眉 Char"/>
    <w:basedOn w:val="22"/>
    <w:link w:val="12"/>
    <w:qFormat/>
    <w:uiPriority w:val="99"/>
    <w:rPr>
      <w:rFonts w:ascii="Times New Roman" w:hAnsi="Times New Roman" w:eastAsia="宋体" w:cs="Times New Roman"/>
      <w:sz w:val="18"/>
      <w:szCs w:val="18"/>
    </w:rPr>
  </w:style>
  <w:style w:type="character" w:customStyle="1" w:styleId="39">
    <w:name w:val="font91"/>
    <w:basedOn w:val="22"/>
    <w:qFormat/>
    <w:uiPriority w:val="0"/>
    <w:rPr>
      <w:rFonts w:hint="eastAsia" w:ascii="宋体" w:hAnsi="宋体" w:eastAsia="宋体" w:cs="宋体"/>
      <w:color w:val="000000"/>
      <w:sz w:val="21"/>
      <w:szCs w:val="21"/>
      <w:u w:val="none"/>
    </w:rPr>
  </w:style>
  <w:style w:type="character" w:customStyle="1" w:styleId="40">
    <w:name w:val="font21"/>
    <w:basedOn w:val="22"/>
    <w:qFormat/>
    <w:uiPriority w:val="0"/>
    <w:rPr>
      <w:rFonts w:hint="eastAsia" w:ascii="宋体" w:hAnsi="宋体" w:eastAsia="宋体" w:cs="宋体"/>
      <w:color w:val="000000"/>
      <w:sz w:val="28"/>
      <w:szCs w:val="28"/>
      <w:u w:val="none"/>
    </w:rPr>
  </w:style>
  <w:style w:type="paragraph" w:customStyle="1" w:styleId="41">
    <w:name w:val="p15"/>
    <w:basedOn w:val="1"/>
    <w:qFormat/>
    <w:uiPriority w:val="0"/>
    <w:pPr>
      <w:widowControl/>
    </w:pPr>
    <w:rPr>
      <w:rFonts w:ascii="宋体" w:hAnsi="宋体" w:cs="宋体"/>
      <w:kern w:val="0"/>
      <w:szCs w:val="21"/>
    </w:rPr>
  </w:style>
  <w:style w:type="character" w:customStyle="1" w:styleId="42">
    <w:name w:val="纯文本 Char"/>
    <w:basedOn w:val="22"/>
    <w:link w:val="9"/>
    <w:qFormat/>
    <w:uiPriority w:val="0"/>
    <w:rPr>
      <w:rFonts w:ascii="宋体" w:hAnsi="宋体" w:cs="Courier New"/>
      <w:kern w:val="2"/>
      <w:sz w:val="21"/>
      <w:szCs w:val="21"/>
    </w:rPr>
  </w:style>
  <w:style w:type="character" w:customStyle="1" w:styleId="43">
    <w:name w:val="批注文字 Char"/>
    <w:basedOn w:val="22"/>
    <w:link w:val="6"/>
    <w:qFormat/>
    <w:uiPriority w:val="0"/>
    <w:rPr>
      <w:kern w:val="2"/>
      <w:sz w:val="21"/>
      <w:szCs w:val="24"/>
    </w:rPr>
  </w:style>
  <w:style w:type="character" w:customStyle="1" w:styleId="44">
    <w:name w:val="批注主题 Char"/>
    <w:basedOn w:val="43"/>
    <w:link w:val="17"/>
    <w:semiHidden/>
    <w:qFormat/>
    <w:uiPriority w:val="99"/>
    <w:rPr>
      <w:b/>
      <w:bCs/>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EBB4BF9-5FC4-48E9-982C-0D4981872FBE}">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24</Pages>
  <Words>23632</Words>
  <Characters>26721</Characters>
  <Lines>191</Lines>
  <Paragraphs>53</Paragraphs>
  <TotalTime>0</TotalTime>
  <ScaleCrop>false</ScaleCrop>
  <LinksUpToDate>false</LinksUpToDate>
  <CharactersWithSpaces>26866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2025-04-25T10:54:00Z</dcterms:created>
  <dc:creator>Administrator</dc:creator>
  <cp:lastModifiedBy>keep up</cp:lastModifiedBy>
  <cp:lastPrinted>2025-05-01T12:33:00Z</cp:lastPrinted>
  <dcterms:modified xsi:type="dcterms:W3CDTF">2025-05-09T08:08:36Z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9ABF2226426F4E588E89ABBFCC8B8169_13</vt:lpwstr>
  </property>
  <property fmtid="{D5CDD505-2E9C-101B-9397-08002B2CF9AE}" pid="4" name="KSOTemplateDocerSaveRecord">
    <vt:lpwstr>eyJoZGlkIjoiMzEwNTM5NzYwMDRjMzkwZTVkZjY2ODkwMGIxNGU0OTUiLCJ1c2VySWQiOiIyODk4MjcyNzYifQ==</vt:lpwstr>
  </property>
</Properties>
</file>