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D1B0D">
      <w:pPr>
        <w:pStyle w:val="2"/>
        <w:jc w:val="left"/>
        <w:rPr>
          <w:rFonts w:hint="eastAsia" w:ascii="宋体" w:hAnsi="宋体" w:eastAsia="宋体" w:cs="Times New Roman"/>
          <w:b/>
          <w:bCs/>
          <w:color w:val="auto"/>
          <w:kern w:val="2"/>
          <w:sz w:val="28"/>
          <w:szCs w:val="28"/>
          <w:highlight w:val="none"/>
          <w:lang w:val="en-US" w:eastAsia="zh-CN" w:bidi="ar-SA"/>
        </w:rPr>
      </w:pPr>
      <w:bookmarkStart w:id="0" w:name="_Toc16437"/>
      <w:r>
        <w:rPr>
          <w:rFonts w:hint="eastAsia" w:ascii="宋体" w:hAnsi="宋体" w:eastAsia="宋体" w:cs="Times New Roman"/>
          <w:b/>
          <w:bCs/>
          <w:color w:val="auto"/>
          <w:kern w:val="2"/>
          <w:sz w:val="28"/>
          <w:szCs w:val="28"/>
          <w:highlight w:val="none"/>
          <w:lang w:val="en-US" w:eastAsia="zh-CN" w:bidi="ar-SA"/>
        </w:rPr>
        <w:t>最终采购需求以公开发布的招标文件为准</w:t>
      </w:r>
      <w:bookmarkStart w:id="18" w:name="_GoBack"/>
      <w:bookmarkEnd w:id="18"/>
    </w:p>
    <w:p w14:paraId="7C2DA41E">
      <w:pPr>
        <w:pStyle w:val="2"/>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武鸣校区学生宿舍家具采购项目采购需求</w:t>
      </w:r>
      <w:bookmarkEnd w:id="0"/>
    </w:p>
    <w:p w14:paraId="4CFA2219">
      <w:pPr>
        <w:spacing w:line="520" w:lineRule="exact"/>
        <w:ind w:left="6" w:firstLine="431"/>
        <w:rPr>
          <w:rFonts w:ascii="宋体" w:hAnsi="宋体"/>
          <w:b/>
          <w:bCs/>
          <w:color w:val="auto"/>
          <w:sz w:val="28"/>
          <w:szCs w:val="28"/>
          <w:highlight w:val="none"/>
        </w:rPr>
      </w:pPr>
      <w:r>
        <w:rPr>
          <w:rFonts w:hint="eastAsia" w:ascii="宋体" w:hAnsi="宋体"/>
          <w:b/>
          <w:bCs/>
          <w:color w:val="auto"/>
          <w:sz w:val="28"/>
          <w:szCs w:val="28"/>
          <w:highlight w:val="none"/>
        </w:rPr>
        <w:t>1．本需求的货物品牌型号、技术参数及其性能（配置）仅起参考作用，投标人可选用其他品牌型号替代，但这些替代的产品要实质上相当于或优于参考品牌型号及其技术参数性能（配置）要求。</w:t>
      </w:r>
    </w:p>
    <w:p w14:paraId="1104EE00">
      <w:pPr>
        <w:spacing w:line="520" w:lineRule="exact"/>
        <w:ind w:left="6" w:firstLine="431"/>
        <w:rPr>
          <w:rFonts w:ascii="宋体" w:hAnsi="宋体"/>
          <w:b/>
          <w:bCs/>
          <w:color w:val="auto"/>
          <w:sz w:val="28"/>
          <w:szCs w:val="28"/>
          <w:highlight w:val="none"/>
        </w:rPr>
      </w:pPr>
      <w:r>
        <w:rPr>
          <w:rFonts w:hint="eastAsia" w:ascii="宋体" w:hAnsi="宋体"/>
          <w:b/>
          <w:bCs/>
          <w:color w:val="auto"/>
          <w:sz w:val="28"/>
          <w:szCs w:val="28"/>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14:paraId="4C3F04A5">
      <w:pPr>
        <w:spacing w:line="520" w:lineRule="exact"/>
        <w:ind w:left="6" w:firstLine="431"/>
        <w:rPr>
          <w:rFonts w:ascii="宋体" w:hAnsi="宋体"/>
          <w:b/>
          <w:bCs/>
          <w:color w:val="auto"/>
          <w:sz w:val="28"/>
          <w:szCs w:val="28"/>
          <w:highlight w:val="none"/>
        </w:rPr>
      </w:pPr>
      <w:r>
        <w:rPr>
          <w:rFonts w:hint="eastAsia" w:ascii="宋体" w:hAnsi="宋体"/>
          <w:b/>
          <w:bCs/>
          <w:color w:val="auto"/>
          <w:sz w:val="28"/>
          <w:szCs w:val="28"/>
          <w:highlight w:val="none"/>
        </w:rPr>
        <w:t>3.凡在“技术参数及性能（配置）要求”中表述为“标配”或“标准配置”的设备，投标人应在投标报价明细表中将其标配参数详细列明。</w:t>
      </w:r>
    </w:p>
    <w:p w14:paraId="0E46C65B">
      <w:pPr>
        <w:spacing w:line="520" w:lineRule="exact"/>
        <w:ind w:left="6" w:firstLine="431"/>
        <w:rPr>
          <w:rFonts w:hAnsi="宋体"/>
          <w:b/>
          <w:color w:val="auto"/>
          <w:sz w:val="28"/>
          <w:szCs w:val="28"/>
          <w:highlight w:val="none"/>
        </w:rPr>
      </w:pPr>
      <w:r>
        <w:rPr>
          <w:rFonts w:hint="eastAsia" w:hAnsi="宋体"/>
          <w:b/>
          <w:color w:val="auto"/>
          <w:sz w:val="28"/>
          <w:szCs w:val="28"/>
          <w:highlight w:val="none"/>
        </w:rPr>
        <w:t>4.</w:t>
      </w:r>
      <w:r>
        <w:rPr>
          <w:rFonts w:hint="eastAsia" w:hAnsi="宋体" w:cs="宋体"/>
          <w:b/>
          <w:color w:val="auto"/>
          <w:sz w:val="28"/>
          <w:szCs w:val="28"/>
          <w:highlight w:val="none"/>
        </w:rPr>
        <w:t>招标文件中带“</w:t>
      </w:r>
      <w:r>
        <w:rPr>
          <w:rFonts w:hint="eastAsia" w:hAnsi="宋体"/>
          <w:color w:val="auto"/>
          <w:sz w:val="28"/>
          <w:szCs w:val="28"/>
          <w:highlight w:val="none"/>
        </w:rPr>
        <w:t>▲</w:t>
      </w:r>
      <w:r>
        <w:rPr>
          <w:rFonts w:hint="eastAsia" w:hAnsi="宋体" w:cs="宋体"/>
          <w:b/>
          <w:color w:val="auto"/>
          <w:sz w:val="28"/>
          <w:szCs w:val="28"/>
          <w:highlight w:val="none"/>
        </w:rPr>
        <w:t>”的条款为本次采购的实质性(关键性)的商务、技术或服务要求，投标人须满足或优于，否则，将会被认定为无效投标</w:t>
      </w:r>
      <w:r>
        <w:rPr>
          <w:rFonts w:hint="eastAsia" w:hAnsi="宋体"/>
          <w:b/>
          <w:color w:val="auto"/>
          <w:sz w:val="28"/>
          <w:szCs w:val="28"/>
          <w:highlight w:val="none"/>
        </w:rPr>
        <w:t>。</w:t>
      </w:r>
    </w:p>
    <w:p w14:paraId="558FC457">
      <w:pPr>
        <w:spacing w:line="520" w:lineRule="exact"/>
        <w:ind w:left="6" w:firstLine="431"/>
        <w:rPr>
          <w:rFonts w:ascii="宋体" w:hAnsi="宋体"/>
          <w:b/>
          <w:bCs/>
          <w:color w:val="auto"/>
          <w:sz w:val="28"/>
          <w:szCs w:val="28"/>
          <w:highlight w:val="none"/>
        </w:rPr>
      </w:pPr>
      <w:r>
        <w:rPr>
          <w:rFonts w:hint="eastAsia" w:ascii="宋体" w:hAnsi="宋体"/>
          <w:b/>
          <w:bCs/>
          <w:color w:val="auto"/>
          <w:sz w:val="28"/>
          <w:szCs w:val="28"/>
          <w:highlight w:val="none"/>
        </w:rPr>
        <w:t>5.</w:t>
      </w:r>
      <w:r>
        <w:rPr>
          <w:rFonts w:ascii="宋体" w:hAnsi="宋体"/>
          <w:b/>
          <w:bCs/>
          <w:color w:val="auto"/>
          <w:sz w:val="28"/>
          <w:szCs w:val="28"/>
          <w:highlight w:val="none"/>
        </w:rPr>
        <w:t>采购标的对应的中小企业划分标准所属行业为</w:t>
      </w:r>
      <w:r>
        <w:rPr>
          <w:rFonts w:hint="eastAsia" w:ascii="宋体" w:hAnsi="宋体"/>
          <w:b/>
          <w:bCs/>
          <w:color w:val="auto"/>
          <w:sz w:val="28"/>
          <w:szCs w:val="28"/>
          <w:highlight w:val="none"/>
        </w:rPr>
        <w:t>：工业。</w:t>
      </w:r>
    </w:p>
    <w:p w14:paraId="1EDA271F">
      <w:pPr>
        <w:pStyle w:val="2"/>
        <w:rPr>
          <w:rFonts w:ascii="黑体" w:hAnsi="黑体" w:eastAsia="黑体" w:cs="黑体"/>
          <w:b w:val="0"/>
          <w:bCs w:val="0"/>
          <w:color w:val="auto"/>
          <w:sz w:val="32"/>
          <w:szCs w:val="32"/>
          <w:highlight w:val="none"/>
        </w:rPr>
      </w:pPr>
      <w:bookmarkStart w:id="1" w:name="_Toc7964"/>
      <w:r>
        <w:rPr>
          <w:rFonts w:hint="eastAsia" w:ascii="黑体" w:hAnsi="黑体" w:eastAsia="黑体" w:cs="黑体"/>
          <w:b w:val="0"/>
          <w:bCs w:val="0"/>
          <w:color w:val="auto"/>
          <w:sz w:val="32"/>
          <w:szCs w:val="32"/>
          <w:highlight w:val="none"/>
        </w:rPr>
        <w:t>一、项目基本情况</w:t>
      </w:r>
      <w:bookmarkEnd w:id="1"/>
    </w:p>
    <w:tbl>
      <w:tblPr>
        <w:tblStyle w:val="20"/>
        <w:tblW w:w="9962" w:type="dxa"/>
        <w:tblInd w:w="0" w:type="dxa"/>
        <w:tblLayout w:type="fixed"/>
        <w:tblCellMar>
          <w:top w:w="0" w:type="dxa"/>
          <w:left w:w="108" w:type="dxa"/>
          <w:bottom w:w="0" w:type="dxa"/>
          <w:right w:w="108" w:type="dxa"/>
        </w:tblCellMar>
      </w:tblPr>
      <w:tblGrid>
        <w:gridCol w:w="457"/>
        <w:gridCol w:w="1320"/>
        <w:gridCol w:w="874"/>
        <w:gridCol w:w="780"/>
        <w:gridCol w:w="1290"/>
        <w:gridCol w:w="1440"/>
        <w:gridCol w:w="3801"/>
      </w:tblGrid>
      <w:tr w14:paraId="723C6DC3">
        <w:tblPrEx>
          <w:tblCellMar>
            <w:top w:w="0" w:type="dxa"/>
            <w:left w:w="108" w:type="dxa"/>
            <w:bottom w:w="0" w:type="dxa"/>
            <w:right w:w="108" w:type="dxa"/>
          </w:tblCellMar>
        </w:tblPrEx>
        <w:trPr>
          <w:trHeight w:val="1075" w:hRule="atLeast"/>
          <w:tblHeader/>
        </w:trPr>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65DB9">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项目名称</w:t>
            </w:r>
          </w:p>
        </w:tc>
        <w:tc>
          <w:tcPr>
            <w:tcW w:w="8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E5BEDB">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武鸣校区学生宿舍家具采购项目</w:t>
            </w:r>
          </w:p>
        </w:tc>
      </w:tr>
      <w:tr w14:paraId="772DC55D">
        <w:tblPrEx>
          <w:tblCellMar>
            <w:top w:w="0" w:type="dxa"/>
            <w:left w:w="108" w:type="dxa"/>
            <w:bottom w:w="0" w:type="dxa"/>
            <w:right w:w="108" w:type="dxa"/>
          </w:tblCellMar>
        </w:tblPrEx>
        <w:trPr>
          <w:trHeight w:val="1075" w:hRule="atLeast"/>
        </w:trPr>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367EE">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项目预算</w:t>
            </w:r>
          </w:p>
        </w:tc>
        <w:tc>
          <w:tcPr>
            <w:tcW w:w="8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102A7">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926.24万元</w:t>
            </w:r>
          </w:p>
        </w:tc>
      </w:tr>
      <w:tr w14:paraId="407E3FB1">
        <w:tblPrEx>
          <w:tblCellMar>
            <w:top w:w="0" w:type="dxa"/>
            <w:left w:w="108" w:type="dxa"/>
            <w:bottom w:w="0" w:type="dxa"/>
            <w:right w:w="108" w:type="dxa"/>
          </w:tblCellMar>
        </w:tblPrEx>
        <w:trPr>
          <w:trHeight w:val="107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853">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E758">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商品名称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2951">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671F">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8ADB">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预算单价（元）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C557">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预算金额（元）</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7D58">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功能需求</w:t>
            </w:r>
          </w:p>
        </w:tc>
      </w:tr>
      <w:tr w14:paraId="6D61D5E5">
        <w:tblPrEx>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405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73C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三连体（三人位）组合公寓床</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89C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EB8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E43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F48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8520000</w:t>
            </w:r>
          </w:p>
        </w:tc>
        <w:tc>
          <w:tcPr>
            <w:tcW w:w="3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9311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满足学生住宿、学习要求，保障生活、学习正常进行。</w:t>
            </w:r>
          </w:p>
        </w:tc>
      </w:tr>
      <w:tr w14:paraId="1E06E007">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2C2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2C19">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单体公寓床</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C02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D4E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599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D8B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596000</w:t>
            </w:r>
          </w:p>
        </w:tc>
        <w:tc>
          <w:tcPr>
            <w:tcW w:w="3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37A2">
            <w:pPr>
              <w:jc w:val="center"/>
              <w:rPr>
                <w:rFonts w:ascii="宋体" w:hAnsi="宋体" w:cs="宋体"/>
                <w:color w:val="auto"/>
                <w:sz w:val="24"/>
                <w:highlight w:val="none"/>
              </w:rPr>
            </w:pPr>
          </w:p>
        </w:tc>
      </w:tr>
      <w:tr w14:paraId="34CC8533">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864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C5C5">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无障碍组合公寓床</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6E1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2F5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B77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0D1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86800</w:t>
            </w:r>
          </w:p>
        </w:tc>
        <w:tc>
          <w:tcPr>
            <w:tcW w:w="3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C7CF7">
            <w:pPr>
              <w:jc w:val="center"/>
              <w:rPr>
                <w:rFonts w:ascii="宋体" w:hAnsi="宋体" w:cs="宋体"/>
                <w:color w:val="auto"/>
                <w:sz w:val="24"/>
                <w:highlight w:val="none"/>
              </w:rPr>
            </w:pPr>
          </w:p>
        </w:tc>
      </w:tr>
      <w:tr w14:paraId="749FE86E">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A84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CEFA">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公寓椅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C65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596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718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EAF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711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59600</w:t>
            </w:r>
          </w:p>
        </w:tc>
        <w:tc>
          <w:tcPr>
            <w:tcW w:w="3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458CD">
            <w:pPr>
              <w:jc w:val="center"/>
              <w:rPr>
                <w:rFonts w:ascii="宋体" w:hAnsi="宋体" w:cs="宋体"/>
                <w:color w:val="auto"/>
                <w:sz w:val="24"/>
                <w:highlight w:val="none"/>
              </w:rPr>
            </w:pPr>
          </w:p>
        </w:tc>
      </w:tr>
      <w:tr w14:paraId="4FEF16C7">
        <w:tblPrEx>
          <w:tblCellMar>
            <w:top w:w="0" w:type="dxa"/>
            <w:left w:w="108" w:type="dxa"/>
            <w:bottom w:w="0" w:type="dxa"/>
            <w:right w:w="108" w:type="dxa"/>
          </w:tblCellMar>
        </w:tblPrEx>
        <w:trPr>
          <w:trHeight w:val="520" w:hRule="atLeast"/>
        </w:trPr>
        <w:tc>
          <w:tcPr>
            <w:tcW w:w="4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FEDCED">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预算金额合计（元）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FF63">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9262400</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01F0">
            <w:pPr>
              <w:jc w:val="center"/>
              <w:rPr>
                <w:rFonts w:ascii="宋体" w:hAnsi="宋体" w:cs="宋体"/>
                <w:b/>
                <w:bCs/>
                <w:color w:val="auto"/>
                <w:sz w:val="24"/>
                <w:highlight w:val="none"/>
              </w:rPr>
            </w:pPr>
            <w:r>
              <w:rPr>
                <w:rFonts w:hint="eastAsia" w:ascii="宋体" w:hAnsi="宋体" w:cs="宋体"/>
                <w:b/>
                <w:bCs/>
                <w:color w:val="auto"/>
                <w:sz w:val="24"/>
                <w:highlight w:val="none"/>
              </w:rPr>
              <w:t>/</w:t>
            </w:r>
          </w:p>
        </w:tc>
      </w:tr>
    </w:tbl>
    <w:p w14:paraId="624D6CCF">
      <w:pPr>
        <w:pStyle w:val="2"/>
        <w:rPr>
          <w:rFonts w:ascii="黑体" w:hAnsi="黑体" w:eastAsia="黑体" w:cs="黑体"/>
          <w:b w:val="0"/>
          <w:bCs w:val="0"/>
          <w:color w:val="auto"/>
          <w:sz w:val="32"/>
          <w:szCs w:val="32"/>
          <w:highlight w:val="none"/>
        </w:rPr>
      </w:pPr>
      <w:bookmarkStart w:id="2" w:name="_Toc16013"/>
      <w:r>
        <w:rPr>
          <w:rFonts w:hint="eastAsia" w:ascii="黑体" w:hAnsi="黑体" w:eastAsia="黑体" w:cs="黑体"/>
          <w:b w:val="0"/>
          <w:bCs w:val="0"/>
          <w:color w:val="auto"/>
          <w:sz w:val="32"/>
          <w:szCs w:val="32"/>
          <w:highlight w:val="none"/>
        </w:rPr>
        <w:t>二、技术参数</w:t>
      </w:r>
      <w:bookmarkEnd w:id="2"/>
    </w:p>
    <w:tbl>
      <w:tblPr>
        <w:tblStyle w:val="20"/>
        <w:tblW w:w="103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1180"/>
        <w:gridCol w:w="810"/>
        <w:gridCol w:w="850"/>
        <w:gridCol w:w="6965"/>
      </w:tblGrid>
      <w:tr w14:paraId="075B6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65B13E2E">
            <w:pPr>
              <w:jc w:val="center"/>
              <w:rPr>
                <w:rFonts w:ascii="宋体" w:hAnsi="宋体" w:cs="宋体"/>
                <w:b/>
                <w:color w:val="auto"/>
                <w:sz w:val="24"/>
                <w:highlight w:val="none"/>
              </w:rPr>
            </w:pPr>
            <w:r>
              <w:rPr>
                <w:rFonts w:hint="eastAsia" w:ascii="宋体" w:hAnsi="宋体" w:cs="宋体"/>
                <w:b/>
                <w:color w:val="auto"/>
                <w:sz w:val="24"/>
                <w:highlight w:val="none"/>
              </w:rPr>
              <w:t>项号</w:t>
            </w:r>
          </w:p>
        </w:tc>
        <w:tc>
          <w:tcPr>
            <w:tcW w:w="1180" w:type="dxa"/>
            <w:tcBorders>
              <w:top w:val="single" w:color="auto" w:sz="4" w:space="0"/>
              <w:left w:val="single" w:color="auto" w:sz="4" w:space="0"/>
              <w:bottom w:val="single" w:color="auto" w:sz="4" w:space="0"/>
              <w:right w:val="single" w:color="auto" w:sz="4" w:space="0"/>
            </w:tcBorders>
            <w:vAlign w:val="center"/>
          </w:tcPr>
          <w:p w14:paraId="11D42A84">
            <w:pPr>
              <w:jc w:val="center"/>
              <w:rPr>
                <w:rFonts w:ascii="宋体" w:hAnsi="宋体" w:cs="宋体"/>
                <w:b/>
                <w:color w:val="auto"/>
                <w:sz w:val="24"/>
                <w:highlight w:val="none"/>
              </w:rPr>
            </w:pPr>
            <w:r>
              <w:rPr>
                <w:rFonts w:hint="eastAsia" w:ascii="宋体" w:hAnsi="宋体" w:cs="宋体"/>
                <w:b/>
                <w:color w:val="auto"/>
                <w:sz w:val="24"/>
                <w:highlight w:val="none"/>
              </w:rPr>
              <w:t>货物</w:t>
            </w:r>
          </w:p>
          <w:p w14:paraId="34DBCB2D">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810" w:type="dxa"/>
            <w:tcBorders>
              <w:top w:val="single" w:color="auto" w:sz="4" w:space="0"/>
              <w:left w:val="single" w:color="auto" w:sz="4" w:space="0"/>
              <w:bottom w:val="single" w:color="auto" w:sz="4" w:space="0"/>
              <w:right w:val="single" w:color="auto" w:sz="4" w:space="0"/>
            </w:tcBorders>
            <w:vAlign w:val="center"/>
          </w:tcPr>
          <w:p w14:paraId="2B1EA8DD">
            <w:pPr>
              <w:jc w:val="center"/>
              <w:rPr>
                <w:rFonts w:ascii="宋体" w:hAnsi="宋体" w:cs="宋体"/>
                <w:b/>
                <w:bCs/>
                <w:color w:val="auto"/>
                <w:sz w:val="24"/>
                <w:highlight w:val="none"/>
              </w:rPr>
            </w:pPr>
            <w:r>
              <w:rPr>
                <w:rFonts w:hint="eastAsia" w:ascii="宋体" w:hAnsi="宋体" w:cs="宋体"/>
                <w:b/>
                <w:color w:val="auto"/>
                <w:sz w:val="24"/>
                <w:highlight w:val="none"/>
              </w:rPr>
              <w:t>数 量</w:t>
            </w:r>
          </w:p>
        </w:tc>
        <w:tc>
          <w:tcPr>
            <w:tcW w:w="850" w:type="dxa"/>
            <w:tcBorders>
              <w:top w:val="single" w:color="auto" w:sz="4" w:space="0"/>
              <w:left w:val="single" w:color="auto" w:sz="4" w:space="0"/>
              <w:bottom w:val="single" w:color="auto" w:sz="4" w:space="0"/>
              <w:right w:val="single" w:color="auto" w:sz="4" w:space="0"/>
            </w:tcBorders>
            <w:vAlign w:val="center"/>
          </w:tcPr>
          <w:p w14:paraId="57F89EF3">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6965" w:type="dxa"/>
            <w:tcBorders>
              <w:top w:val="single" w:color="auto" w:sz="4" w:space="0"/>
              <w:left w:val="single" w:color="auto" w:sz="4" w:space="0"/>
              <w:bottom w:val="single" w:color="auto" w:sz="4" w:space="0"/>
              <w:right w:val="single" w:color="auto" w:sz="4" w:space="0"/>
            </w:tcBorders>
            <w:vAlign w:val="center"/>
          </w:tcPr>
          <w:p w14:paraId="00B254B1">
            <w:pPr>
              <w:jc w:val="center"/>
              <w:rPr>
                <w:rFonts w:ascii="宋体" w:hAnsi="宋体" w:cs="宋体"/>
                <w:b/>
                <w:color w:val="auto"/>
                <w:sz w:val="24"/>
                <w:highlight w:val="none"/>
              </w:rPr>
            </w:pPr>
            <w:r>
              <w:rPr>
                <w:rFonts w:hint="eastAsia" w:ascii="宋体" w:hAnsi="宋体" w:cs="宋体"/>
                <w:b/>
                <w:color w:val="auto"/>
                <w:sz w:val="24"/>
                <w:highlight w:val="none"/>
              </w:rPr>
              <w:t>技术参数及性能（配置）要求</w:t>
            </w:r>
          </w:p>
        </w:tc>
      </w:tr>
      <w:tr w14:paraId="5FCCD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788B7FD4">
            <w:pPr>
              <w:rPr>
                <w:rFonts w:ascii="宋体" w:hAnsi="宋体" w:cs="宋体"/>
                <w:b/>
                <w:bCs/>
                <w:color w:val="auto"/>
                <w:sz w:val="24"/>
                <w:highlight w:val="none"/>
              </w:rPr>
            </w:pPr>
            <w:r>
              <w:rPr>
                <w:rFonts w:hint="eastAsia" w:ascii="宋体" w:hAnsi="宋体" w:cs="宋体"/>
                <w:color w:val="auto"/>
                <w:sz w:val="24"/>
                <w:highlight w:val="none"/>
              </w:rPr>
              <w:t>1</w:t>
            </w:r>
          </w:p>
        </w:tc>
        <w:tc>
          <w:tcPr>
            <w:tcW w:w="1180" w:type="dxa"/>
            <w:tcBorders>
              <w:top w:val="single" w:color="auto" w:sz="4" w:space="0"/>
              <w:left w:val="single" w:color="auto" w:sz="4" w:space="0"/>
              <w:bottom w:val="single" w:color="auto" w:sz="4" w:space="0"/>
              <w:right w:val="single" w:color="auto" w:sz="4" w:space="0"/>
            </w:tcBorders>
            <w:vAlign w:val="center"/>
          </w:tcPr>
          <w:p w14:paraId="7D4D7DA6">
            <w:pPr>
              <w:widowControl/>
              <w:textAlignment w:val="center"/>
              <w:rPr>
                <w:rFonts w:ascii="宋体" w:hAnsi="宋体" w:cs="宋体"/>
                <w:b/>
                <w:bCs/>
                <w:color w:val="auto"/>
                <w:sz w:val="24"/>
                <w:highlight w:val="none"/>
              </w:rPr>
            </w:pPr>
            <w:r>
              <w:rPr>
                <w:rFonts w:hint="eastAsia" w:ascii="宋体" w:hAnsi="宋体" w:cs="宋体"/>
                <w:bCs/>
                <w:color w:val="auto"/>
                <w:sz w:val="24"/>
                <w:highlight w:val="none"/>
              </w:rPr>
              <w:t>三连体（三人位）组合公寓床</w:t>
            </w:r>
          </w:p>
        </w:tc>
        <w:tc>
          <w:tcPr>
            <w:tcW w:w="810" w:type="dxa"/>
            <w:tcBorders>
              <w:top w:val="single" w:color="auto" w:sz="4" w:space="0"/>
              <w:left w:val="single" w:color="auto" w:sz="4" w:space="0"/>
              <w:bottom w:val="single" w:color="auto" w:sz="4" w:space="0"/>
              <w:right w:val="single" w:color="auto" w:sz="4" w:space="0"/>
            </w:tcBorders>
            <w:vAlign w:val="center"/>
          </w:tcPr>
          <w:p w14:paraId="103267E8">
            <w:pPr>
              <w:widowControl/>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1420</w:t>
            </w:r>
          </w:p>
        </w:tc>
        <w:tc>
          <w:tcPr>
            <w:tcW w:w="850" w:type="dxa"/>
            <w:tcBorders>
              <w:top w:val="single" w:color="auto" w:sz="4" w:space="0"/>
              <w:left w:val="single" w:color="auto" w:sz="4" w:space="0"/>
              <w:bottom w:val="single" w:color="auto" w:sz="4" w:space="0"/>
              <w:right w:val="single" w:color="auto" w:sz="4" w:space="0"/>
            </w:tcBorders>
            <w:vAlign w:val="center"/>
          </w:tcPr>
          <w:p w14:paraId="36EE1FBC">
            <w:pPr>
              <w:widowControl/>
              <w:ind w:firstLine="240" w:firstLineChars="100"/>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套</w:t>
            </w:r>
          </w:p>
        </w:tc>
        <w:tc>
          <w:tcPr>
            <w:tcW w:w="6965" w:type="dxa"/>
            <w:tcBorders>
              <w:top w:val="single" w:color="auto" w:sz="4" w:space="0"/>
              <w:left w:val="single" w:color="auto" w:sz="4" w:space="0"/>
              <w:bottom w:val="single" w:color="auto" w:sz="4" w:space="0"/>
              <w:right w:val="single" w:color="auto" w:sz="4" w:space="0"/>
            </w:tcBorders>
            <w:vAlign w:val="center"/>
          </w:tcPr>
          <w:p w14:paraId="400A83A0">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规格：长6000mm（±2mm）×宽900mm（±2mm）×高2050mm（±50mm）</w:t>
            </w:r>
          </w:p>
          <w:p w14:paraId="1AB0F385">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颜色：灰白色+浅胡桃色（供货前由采购人确定颜色），颜色需与采购人提供的标准色板匹配（允许色差ΔE≤3）</w:t>
            </w:r>
          </w:p>
          <w:p w14:paraId="0BE8A033">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一、床架部分</w:t>
            </w:r>
          </w:p>
          <w:p w14:paraId="04CFE2AA">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（一）性能指标</w:t>
            </w:r>
          </w:p>
          <w:p w14:paraId="5816132E">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1.公寓床整体外观要求、理化性能、力学性能有害物质限量等技术指标符合 GB/T 3325-2024《金属家具通用技术条件》、QB/T 2741-2013《学生公寓多功能家具》、GB/T 35607-2024《绿色产品评价家具》等标准要求,床架各部位管材要求：选用优质钢管，钢管材质为Q235B（或优于Q235B）优质钢材，经除油、酸洗、磷化、除锈处理，表面静电喷塑处理，管材材质符合GB/T 3094-2012《冷拔异型钢管》、GB/T 3325-2024《金属家具通用技术条件》或其他相关标准：金属件外观（冲压件应无脱层、裂缝；涂层应无漏喷、锈蚀和脱色、掉色现象；涂层应光滑均匀，色泽一致，应无流挂、疙瘩、皱皮、飞漆等缺陷）。</w:t>
            </w:r>
          </w:p>
          <w:p w14:paraId="545BB303">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宋体" w:hAnsi="宋体" w:eastAsia="宋体" w:cs="宋体"/>
                <w:color w:val="auto"/>
                <w:sz w:val="24"/>
                <w:szCs w:val="24"/>
                <w:highlight w:val="none"/>
              </w:rPr>
              <w:t>金属表面处理工艺：表面采用哑光静电喷塑工艺，经预脱脂-脱脂-水洗-酸洗-水洗-中和-表调-磷化-水洗-钝化十工位表面处理工序，或同等防锈效果的表面处理工艺。表面喷涂优质环保环氧聚酯粉，塑粉性能要求符合HG/T 2006-2022《热固性和热塑性粉末涂料》的要求。</w:t>
            </w:r>
          </w:p>
          <w:p w14:paraId="66221F7F">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3.安装：（1）床的结构要求床母与立柱外挂卡式连接，每个连接处无需螺栓紧固，有锥度设计越用越紧固功能。（2）整床床体组装好后结实、牢固、安全和耐用。</w:t>
            </w:r>
          </w:p>
          <w:p w14:paraId="367CC4BF">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（二）材质参数</w:t>
            </w:r>
          </w:p>
          <w:p w14:paraId="62A70A0F">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边立柱：外形规格为长+宽≥130mm，且长、宽均≥55mm，管壁厚度≥1.2mm的高频焊接封口钢管，（不能用方管，需设计成多边形，不容易碰撞受伤），管材采用优质带钢，经成型线轧制而成，表面经优质环氧聚酯塑粉静电喷塑处理。立柱顶部为塑料内塞，底部外套式脚套，塑料件采用环保塑料一体注塑成型，高度≥100mm（不允许3D打印），与立柱连接处光滑、平顺、无毛刺，起防滑防潮及密封作用。</w:t>
            </w:r>
          </w:p>
          <w:p w14:paraId="3650EDDB">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立柱：外形规格为长+宽≥120mm，且长、宽均≥35mm，厚度≥1.2mm的高频焊接封口钢管（不能用方管，不容易碰撞受伤）。经成型线轧制而成，表面经优质环氧聚酯塑粉静电喷塑处理。立柱顶部为塑料内塞，底部外套式脚套，塑料件采用环保塑料一体注塑成型，高度≥100mm。</w:t>
            </w:r>
          </w:p>
          <w:p w14:paraId="6D64CE2C">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▲3.床横梁：外形规格为长+宽≥110mm，且长、宽均≥40mm，厚度≥1.2mm的高频焊接内外镀锌闭口型材管，底部为圆弧形设计，起到防撞作用，正面有不少于3条加强筋，表面经优质环保氧聚酯塑粉静电喷塑处理。</w:t>
            </w:r>
          </w:p>
          <w:p w14:paraId="4B07B516">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4.立柱上横管、下横管：上横管外形规格为长+宽≥40mm，且长、宽均≥20mm，厚度≥1.2mm，下横管外形规格为长+宽≥80mm，且长、宽均≥20mm，厚度≥1.2mm；管材尺寸与立柱尺寸匹配，中间竖管：采用≥φ19×1.2mm圆管。</w:t>
            </w:r>
          </w:p>
          <w:p w14:paraId="467E55BC">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5.前护栏：主体设计为圆弧形，支架为不小于1.2mm的 厚优质冷轧钢板一次冲压而成，冲压件尺寸规格不低于宽30mm、深55mm、高290mm；上横管为≥φ38×1.2mm 厚优质管材制作而成，横管两端采用半圆球型镀铬封头，中间横管采用≥φ16×1.2mm优质管材焊接，支架靠床内侧需从顶到底部加采用环保塑料经注塑而成的胶套，形状与支架完全贴合，并带有卡口，防止掉落，整个护栏的高度不低于300mm，长度≥1300mm。</w:t>
            </w:r>
          </w:p>
          <w:p w14:paraId="0A47C8A7">
            <w:pPr>
              <w:pStyle w:val="4"/>
              <w:adjustRightInd w:val="0"/>
              <w:spacing w:line="320" w:lineRule="exact"/>
              <w:ind w:firstLine="480" w:firstLineChars="200"/>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6.爬梯：爬梯钢架外形规格为长+宽≥60mm，且长、宽均≥25mm，厚度≥1.2mm高频焊接制作，底部脚套采用环保塑料经模具压注成形，供货前由采购人确定颜色，颜色需与采购人提供的标准色板匹配（允许色差ΔE≤3），防潮防擦伤地面。爬梯与床立柱通过钢管连接，增加稳固性；爬梯踏板采用≥380mm×80mm，厚度不低于2.0mm全钢制压型脚踏板，踩面安装≥280mm×40mm×2mm一次注塑成型夜光条，踏板表面带防滑条纹，具有防止学生意外滑倒等功能。爬梯管底部采用外套式可调节防潮脚套。每位床位采用独立爬梯，方便学生上下床。</w:t>
            </w:r>
          </w:p>
          <w:p w14:paraId="088318BA">
            <w:pPr>
              <w:pStyle w:val="4"/>
              <w:spacing w:line="320" w:lineRule="exact"/>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7.床横管：外形规格为长+宽≥50mm，且长、宽均≥20mm，管壁厚度≥1.0mm的矩形钢管，数量不少于五根，内插式嵌入，带静音胶套。</w:t>
            </w:r>
          </w:p>
          <w:p w14:paraId="07FDBBF5">
            <w:pPr>
              <w:pStyle w:val="4"/>
              <w:spacing w:line="320" w:lineRule="exact"/>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8.下拉杆：外形规格为长+宽≥70mm，且长、宽均≥25mm，管壁厚度≥1.2mm的矩形管。</w:t>
            </w:r>
          </w:p>
          <w:p w14:paraId="53DE9460">
            <w:pPr>
              <w:pStyle w:val="4"/>
              <w:spacing w:line="320" w:lineRule="exact"/>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9.蚊帐杆：采用规格为≥φ16mm，厚度≥1.0mm的优质圆管,顶部加装≥φ40mm铁圈，方便支撑、悬挂蚊帐使用。</w:t>
            </w:r>
          </w:p>
          <w:p w14:paraId="49C415B9">
            <w:pPr>
              <w:pStyle w:val="4"/>
              <w:spacing w:line="320" w:lineRule="exact"/>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床板：采用厚度≥18mm杉木板制作，长、宽按设计要求，整幅床板由≤7块杉木板拼接组成，拼板之间缺角不能大于3mm，板底下部加固不少于4根杉木条为支撑点，制作牢固可靠，床板应无钝棱；木材经干燥、防腐、防蛀处理；床板双面须刨光处理。</w:t>
            </w:r>
          </w:p>
          <w:p w14:paraId="660A0AEF">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二、组合柜部分</w:t>
            </w:r>
          </w:p>
          <w:p w14:paraId="5DF17110">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1.规格：整体1900（长）×600（深）×1700（高）（mm）（±5mm）；颜色：灰白色+浅胡桃色（供货前由采购人确定颜色），颜色需与采购人提供的标准色板匹配（允许色差ΔE≤3）。</w:t>
            </w:r>
          </w:p>
          <w:p w14:paraId="459EE9E8">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2.组合柜必须符合GB/T 3325-2017或GB/T 35607-2024或 GB/T 3325-2024要求。</w:t>
            </w:r>
          </w:p>
          <w:p w14:paraId="337AD534">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3.床下组合柜材质要求： </w:t>
            </w:r>
          </w:p>
          <w:p w14:paraId="4908527E">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（1）采用厚度不小于0.6mm冷轧板折弯成型，钢板材质为 Q195（或优于 Q195）钢材。</w:t>
            </w:r>
          </w:p>
          <w:p w14:paraId="1CB523CD">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（2）表面采用环氧聚酯塑粉静电喷塑；经除油、酸洗、磷化、除锈或电解防锈处理，焊接表面光滑无毛刺，具有耐腐蚀、防水抗老化等性能。</w:t>
            </w:r>
          </w:p>
          <w:p w14:paraId="31FEEB8C">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（3）衣柜： </w:t>
            </w:r>
          </w:p>
          <w:p w14:paraId="55F3A736">
            <w:pPr>
              <w:pStyle w:val="9"/>
              <w:adjustRightInd w:val="0"/>
              <w:snapToGrid w:val="0"/>
              <w:spacing w:line="3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①规格：1700（高）×650（长）×600（深）（mm）（±5mm）。</w:t>
            </w:r>
          </w:p>
          <w:p w14:paraId="523F2061">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衣柜结构及要求： </w:t>
            </w:r>
          </w:p>
          <w:p w14:paraId="201FA348">
            <w:pPr>
              <w:pStyle w:val="4"/>
              <w:spacing w:line="320" w:lineRule="exact"/>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color w:val="auto"/>
                <w:sz w:val="24"/>
                <w:szCs w:val="24"/>
                <w:highlight w:val="none"/>
              </w:rPr>
              <w:t>▲</w:t>
            </w:r>
            <w:r>
              <w:rPr>
                <w:rFonts w:hint="eastAsia" w:asciiTheme="minorEastAsia" w:hAnsiTheme="minorEastAsia" w:eastAsiaTheme="minorEastAsia" w:cstheme="minorEastAsia"/>
                <w:b w:val="0"/>
                <w:bCs/>
                <w:color w:val="auto"/>
                <w:sz w:val="24"/>
                <w:szCs w:val="24"/>
                <w:highlight w:val="none"/>
              </w:rPr>
              <w:t>②柜体分为上下 2 部分，上层高1300mm-1400mm（不含边框）,通体门板，配拉手。内配置≥Φ19×1.2mm 厚不锈钢圆管挂衣杆 1 根，衣柜内侧设有不同高度的卡扣，配备一块可以搁置在卡扣上的活动隔板。最下端设计抽屉，单层层高范围160mm-200mm，可放置学生笔记本电脑等私人贵重物品，防止被盗，抽屉和衣柜门均配锁具。所有钢质板材经过酸洗、磷化等工艺静电喷塑，高温固化；柜底部配备可防潮措施，得到有效的防潮作用，增长产品使用时间。</w:t>
            </w:r>
          </w:p>
          <w:p w14:paraId="3EFFF34C">
            <w:pPr>
              <w:pStyle w:val="4"/>
              <w:spacing w:line="320" w:lineRule="exact"/>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4.书柜：规格1700（高）×300（长）×600（深）（mm）（±5mm），柜体分为上下 2 部分，上部为2 块隔板共分 3 层，桌子面板下部分采用1块隔板分2层 ，设置为鞋柜，可放置学生鞋子。材质选用厚度不低于0.6mm厚冷轧钢板。</w:t>
            </w:r>
          </w:p>
          <w:p w14:paraId="23BFF451">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5.桌面规格：950（长）×600（深）×25（厚）（mm）（±5mm），桌面</w:t>
            </w:r>
            <w:r>
              <w:rPr>
                <w:rFonts w:hint="eastAsia" w:asciiTheme="minorEastAsia" w:hAnsiTheme="minorEastAsia" w:eastAsiaTheme="minorEastAsia" w:cstheme="minorEastAsia"/>
                <w:bCs/>
                <w:color w:val="auto"/>
                <w:sz w:val="24"/>
                <w:highlight w:val="none"/>
              </w:rPr>
              <w:t>基材：选用优质环保E0级及以上“实木多层板”，符合</w:t>
            </w:r>
            <w:r>
              <w:rPr>
                <w:rFonts w:hint="eastAsia" w:asciiTheme="minorEastAsia" w:hAnsiTheme="minorEastAsia" w:eastAsiaTheme="minorEastAsia" w:cstheme="minorEastAsia"/>
                <w:color w:val="auto"/>
                <w:sz w:val="24"/>
                <w:highlight w:val="none"/>
              </w:rPr>
              <w:t>GB/T  9846-2015《普通胶合板》</w:t>
            </w:r>
            <w:r>
              <w:rPr>
                <w:rFonts w:hint="eastAsia" w:asciiTheme="minorEastAsia" w:hAnsiTheme="minorEastAsia" w:eastAsiaTheme="minorEastAsia" w:cstheme="minorEastAsia"/>
                <w:bCs/>
                <w:color w:val="auto"/>
                <w:sz w:val="24"/>
                <w:highlight w:val="none"/>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Theme="minorEastAsia" w:hAnsiTheme="minorEastAsia" w:eastAsiaTheme="minorEastAsia" w:cstheme="minorEastAsia"/>
                <w:color w:val="auto"/>
                <w:sz w:val="24"/>
                <w:highlight w:val="none"/>
              </w:rPr>
              <w:t>桌面离地高度760mm，设置有60mm高挡板一块，防止物品掉落，带线孔一个。</w:t>
            </w:r>
          </w:p>
          <w:p w14:paraId="4B67EB3E">
            <w:pPr>
              <w:pStyle w:val="9"/>
              <w:adjustRightInd w:val="0"/>
              <w:snapToGrid w:val="0"/>
              <w:spacing w:line="3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ar-SA"/>
              </w:rPr>
              <w:t>封边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桌面板封边采用优质</w:t>
            </w:r>
            <w:r>
              <w:rPr>
                <w:rFonts w:hint="eastAsia" w:asciiTheme="minorEastAsia" w:hAnsiTheme="minorEastAsia" w:eastAsiaTheme="minorEastAsia" w:cstheme="minorEastAsia"/>
                <w:color w:val="auto"/>
                <w:sz w:val="24"/>
                <w:szCs w:val="24"/>
                <w:highlight w:val="none"/>
              </w:rPr>
              <w:t>PVC封边，或达到同等或更优的封边效果，封边条厚度不小于1.5mm，封边与桌面同色，封边工艺采用全自动化机器封边技术。</w:t>
            </w:r>
            <w:r>
              <w:rPr>
                <w:rFonts w:hint="eastAsia" w:asciiTheme="minorEastAsia" w:hAnsiTheme="minorEastAsia" w:eastAsiaTheme="minorEastAsia" w:cstheme="minorEastAsia"/>
                <w:color w:val="auto"/>
                <w:sz w:val="24"/>
                <w:szCs w:val="24"/>
                <w:highlight w:val="none"/>
                <w:lang w:eastAsia="ar-SA"/>
              </w:rPr>
              <w:t>符</w:t>
            </w:r>
            <w:r>
              <w:rPr>
                <w:rFonts w:hint="eastAsia" w:asciiTheme="minorEastAsia" w:hAnsiTheme="minorEastAsia" w:eastAsiaTheme="minorEastAsia" w:cstheme="minorEastAsia"/>
                <w:color w:val="auto"/>
                <w:sz w:val="24"/>
                <w:szCs w:val="24"/>
                <w:highlight w:val="none"/>
              </w:rPr>
              <w:t>合</w:t>
            </w:r>
            <w:r>
              <w:rPr>
                <w:rFonts w:hint="eastAsia" w:asciiTheme="minorEastAsia" w:hAnsiTheme="minorEastAsia" w:eastAsiaTheme="minorEastAsia" w:cstheme="minorEastAsia"/>
                <w:color w:val="auto"/>
                <w:sz w:val="24"/>
                <w:szCs w:val="24"/>
                <w:highlight w:val="none"/>
                <w:lang w:eastAsia="ar-SA"/>
              </w:rPr>
              <w:t>QB/T 4463-2013《家具用封边条技术要求》要求，外观表面应无皱纹、裂纹、折痕、油渍、污点，无明显的气泡、针孔、划痕、波纹等瑕疵，表面应光滑，花纹应清晰、均匀、无漏印。</w:t>
            </w:r>
            <w:r>
              <w:rPr>
                <w:rFonts w:hint="eastAsia" w:asciiTheme="minorEastAsia" w:hAnsiTheme="minorEastAsia" w:eastAsiaTheme="minorEastAsia" w:cstheme="minorEastAsia"/>
                <w:color w:val="auto"/>
                <w:sz w:val="24"/>
                <w:szCs w:val="24"/>
                <w:highlight w:val="none"/>
              </w:rPr>
              <w:t>封边胶采用优质环保封边胶，封边胶检测符合HJ 2541-2016《环境标志产品技术要求胶粘剂》标准。检测结果包括但不限于以下内容：①苯含量不得检出，②甲苯+乙苯+二甲苯含量不得检出。甲醛释放量≤0.050mg/m³；总挥发性有机化合物（TVOC）释放率不得超过0.50mg/m²·h（72h）。</w:t>
            </w:r>
          </w:p>
          <w:p w14:paraId="3DDA5EC0">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三、公寓椅</w:t>
            </w:r>
          </w:p>
          <w:p w14:paraId="051D270F">
            <w:pPr>
              <w:pStyle w:val="9"/>
              <w:adjustRightInd w:val="0"/>
              <w:snapToGrid w:val="0"/>
              <w:spacing w:line="3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1.规格: ≥400L×400D×800H（mm）；颜色：灰白色+浅胡桃色（供货前由采购人确定颜色）。颜色需与采购人提供的标准色板匹配（允许色差ΔE≤3）。</w:t>
            </w:r>
          </w:p>
          <w:p w14:paraId="5DF6C19E">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2.基材</w:t>
            </w:r>
            <w:r>
              <w:rPr>
                <w:rFonts w:hint="eastAsia" w:asciiTheme="minorEastAsia" w:hAnsiTheme="minorEastAsia" w:eastAsiaTheme="minorEastAsia" w:cstheme="minorEastAsia"/>
                <w:bCs/>
                <w:color w:val="auto"/>
                <w:sz w:val="24"/>
                <w:highlight w:val="none"/>
              </w:rPr>
              <w:t>：选用优质环保E0级及以上“实木多层板”，符合</w:t>
            </w:r>
            <w:r>
              <w:rPr>
                <w:rFonts w:hint="eastAsia" w:asciiTheme="minorEastAsia" w:hAnsiTheme="minorEastAsia" w:eastAsiaTheme="minorEastAsia" w:cstheme="minorEastAsia"/>
                <w:color w:val="auto"/>
                <w:sz w:val="24"/>
                <w:highlight w:val="none"/>
              </w:rPr>
              <w:t>GB/T  9846-2015《普通胶合板》</w:t>
            </w:r>
            <w:r>
              <w:rPr>
                <w:rFonts w:hint="eastAsia" w:asciiTheme="minorEastAsia" w:hAnsiTheme="minorEastAsia" w:eastAsiaTheme="minorEastAsia" w:cstheme="minorEastAsia"/>
                <w:bCs/>
                <w:color w:val="auto"/>
                <w:sz w:val="24"/>
                <w:highlight w:val="none"/>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Theme="minorEastAsia" w:hAnsiTheme="minorEastAsia" w:eastAsiaTheme="minorEastAsia" w:cstheme="minorEastAsia"/>
                <w:color w:val="auto"/>
                <w:sz w:val="24"/>
                <w:highlight w:val="none"/>
              </w:rPr>
              <w:t>座面、靠背厚度≥15mm。面板四周采用一次性注塑封边。</w:t>
            </w:r>
          </w:p>
          <w:p w14:paraId="7B068612">
            <w:pPr>
              <w:pStyle w:val="9"/>
              <w:adjustRightInd w:val="0"/>
              <w:snapToGrid w:val="0"/>
              <w:spacing w:line="3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3.椅脚外形规格为长+宽≥60mm，且长、宽均≥20mm，厚度≥1.2mm，圆形管或对称椭圆管，</w:t>
            </w:r>
            <w:r>
              <w:rPr>
                <w:rFonts w:hint="eastAsia" w:ascii="宋体" w:hAnsi="宋体" w:eastAsia="宋体" w:cs="宋体"/>
                <w:color w:val="auto"/>
                <w:sz w:val="24"/>
                <w:szCs w:val="24"/>
                <w:highlight w:val="none"/>
              </w:rPr>
              <w:t>经预脱脂-脱脂-水洗-酸洗-水洗-中和-表调-磷化-水洗-钝化等十工位表面处理工序，或同等防锈效果的表面处理工艺，表面喷涂优质环保环氧聚酯粉静电喷塑。</w:t>
            </w:r>
            <w:r>
              <w:rPr>
                <w:rFonts w:hint="eastAsia" w:asciiTheme="minorEastAsia" w:hAnsiTheme="minorEastAsia" w:eastAsiaTheme="minorEastAsia" w:cstheme="minorEastAsia"/>
                <w:color w:val="auto"/>
                <w:sz w:val="24"/>
                <w:szCs w:val="24"/>
                <w:highlight w:val="none"/>
              </w:rPr>
              <w:t>喷塑外膜的表面光滑平整，色泽均匀，喷塑层无漏喷、起泡、模糊、划痕或碰伤等缺陷，采用粉末涂料符合国家标准。</w:t>
            </w:r>
          </w:p>
        </w:tc>
      </w:tr>
      <w:tr w14:paraId="22576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570C28D9">
            <w:pPr>
              <w:rPr>
                <w:rFonts w:ascii="宋体" w:hAnsi="宋体" w:cs="宋体"/>
                <w:color w:val="auto"/>
                <w:sz w:val="24"/>
                <w:highlight w:val="none"/>
              </w:rPr>
            </w:pPr>
            <w:r>
              <w:rPr>
                <w:rFonts w:hint="eastAsia" w:ascii="宋体" w:hAnsi="宋体" w:cs="宋体"/>
                <w:color w:val="auto"/>
                <w:sz w:val="24"/>
                <w:highlight w:val="none"/>
              </w:rPr>
              <w:t>2</w:t>
            </w:r>
          </w:p>
        </w:tc>
        <w:tc>
          <w:tcPr>
            <w:tcW w:w="1180" w:type="dxa"/>
            <w:tcBorders>
              <w:top w:val="single" w:color="auto" w:sz="4" w:space="0"/>
              <w:left w:val="single" w:color="auto" w:sz="4" w:space="0"/>
              <w:bottom w:val="single" w:color="auto" w:sz="4" w:space="0"/>
              <w:right w:val="single" w:color="auto" w:sz="4" w:space="0"/>
            </w:tcBorders>
            <w:vAlign w:val="center"/>
          </w:tcPr>
          <w:p w14:paraId="0710E17F">
            <w:pPr>
              <w:widowControl/>
              <w:jc w:val="center"/>
              <w:textAlignment w:val="center"/>
              <w:rPr>
                <w:rFonts w:ascii="宋体" w:hAnsi="宋体" w:cs="宋体"/>
                <w:bCs/>
                <w:color w:val="auto"/>
                <w:sz w:val="24"/>
                <w:highlight w:val="none"/>
              </w:rPr>
            </w:pPr>
            <w:r>
              <w:rPr>
                <w:rFonts w:hint="eastAsia" w:ascii="宋体" w:hAnsi="宋体" w:cs="宋体"/>
                <w:bCs/>
                <w:color w:val="auto"/>
                <w:sz w:val="24"/>
                <w:highlight w:val="none"/>
              </w:rPr>
              <w:t>单体公寓床</w:t>
            </w:r>
          </w:p>
        </w:tc>
        <w:tc>
          <w:tcPr>
            <w:tcW w:w="810" w:type="dxa"/>
            <w:tcBorders>
              <w:top w:val="single" w:color="auto" w:sz="4" w:space="0"/>
              <w:left w:val="single" w:color="auto" w:sz="4" w:space="0"/>
              <w:bottom w:val="single" w:color="auto" w:sz="4" w:space="0"/>
              <w:right w:val="single" w:color="auto" w:sz="4" w:space="0"/>
            </w:tcBorders>
            <w:vAlign w:val="center"/>
          </w:tcPr>
          <w:p w14:paraId="5EFC6C8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298</w:t>
            </w:r>
          </w:p>
        </w:tc>
        <w:tc>
          <w:tcPr>
            <w:tcW w:w="850" w:type="dxa"/>
            <w:tcBorders>
              <w:top w:val="single" w:color="auto" w:sz="4" w:space="0"/>
              <w:left w:val="single" w:color="auto" w:sz="4" w:space="0"/>
              <w:bottom w:val="single" w:color="auto" w:sz="4" w:space="0"/>
              <w:right w:val="single" w:color="auto" w:sz="4" w:space="0"/>
            </w:tcBorders>
            <w:vAlign w:val="center"/>
          </w:tcPr>
          <w:p w14:paraId="6116CE4D">
            <w:pPr>
              <w:jc w:val="center"/>
              <w:rPr>
                <w:rFonts w:ascii="宋体" w:hAnsi="宋体" w:cs="宋体"/>
                <w:b/>
                <w:bCs/>
                <w:color w:val="auto"/>
                <w:sz w:val="24"/>
                <w:highlight w:val="none"/>
              </w:rPr>
            </w:pPr>
            <w:r>
              <w:rPr>
                <w:rFonts w:hint="eastAsia" w:ascii="宋体" w:hAnsi="宋体" w:cs="宋体"/>
                <w:b/>
                <w:bCs/>
                <w:color w:val="auto"/>
                <w:sz w:val="24"/>
                <w:highlight w:val="none"/>
              </w:rPr>
              <w:t>套</w:t>
            </w:r>
          </w:p>
        </w:tc>
        <w:tc>
          <w:tcPr>
            <w:tcW w:w="6965" w:type="dxa"/>
            <w:tcBorders>
              <w:top w:val="single" w:color="auto" w:sz="4" w:space="0"/>
              <w:left w:val="single" w:color="auto" w:sz="4" w:space="0"/>
              <w:bottom w:val="single" w:color="auto" w:sz="4" w:space="0"/>
              <w:right w:val="single" w:color="auto" w:sz="4" w:space="0"/>
            </w:tcBorders>
            <w:shd w:val="clear" w:color="auto" w:fill="auto"/>
            <w:vAlign w:val="center"/>
          </w:tcPr>
          <w:p w14:paraId="6D4814C9">
            <w:pPr>
              <w:pStyle w:val="9"/>
              <w:adjustRightInd w:val="0"/>
              <w:snapToGrid w:val="0"/>
              <w:spacing w:line="320" w:lineRule="exact"/>
              <w:ind w:left="0" w:leftChars="0" w:firstLine="420" w:firstLineChars="17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规格：长2000mm（±2mm）×宽900mm（±2mm）×高2050mm（±2mm）</w:t>
            </w:r>
          </w:p>
          <w:p w14:paraId="6E456081">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颜色：灰白色+蓝色（供货前由采购人确定颜色），颜色需与采购人提供的标准色板匹配（允许色差ΔE≤3）</w:t>
            </w:r>
          </w:p>
          <w:p w14:paraId="05CB6508">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一、床架部分</w:t>
            </w:r>
          </w:p>
          <w:p w14:paraId="010EB11A">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（一）性能指标</w:t>
            </w:r>
          </w:p>
          <w:p w14:paraId="71144372">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公寓床整体外观要求、理化性能、力学性能有害物质限量等技术指标符合GB/T3325-2024《金属家具通用技术条件》、QB/T2741-2013《学生公寓多功能家具》、GB/T35607-2024《绿色产品评价家具》等标准要求,床架各部位管材要求：选用优质钢管，钢管材质为Q235B（或优于Q235B）优质钢材，经除油、酸洗、磷化、除锈处理，表面静电喷塑处理，管材材质符合GB/T3094-2012《冷拔异型钢管》、GB/T3325-2024《金属家具通用技术条件》或其他相关标准：金属件外观（冲压件应无脱层、裂缝；涂层应无漏喷、锈蚀和脱色、掉色现象；涂层应光滑均匀，色泽一致，应无流挂、疙瘩、皱皮、飞漆等缺陷）。</w:t>
            </w:r>
          </w:p>
          <w:p w14:paraId="6FF9BB7D">
            <w:pPr>
              <w:pStyle w:val="9"/>
              <w:adjustRightInd w:val="0"/>
              <w:snapToGrid w:val="0"/>
              <w:spacing w:line="32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2.金属表面经</w:t>
            </w:r>
            <w:r>
              <w:rPr>
                <w:rFonts w:hint="eastAsia" w:ascii="宋体" w:hAnsi="宋体" w:eastAsia="宋体" w:cs="宋体"/>
                <w:color w:val="auto"/>
                <w:sz w:val="24"/>
                <w:szCs w:val="24"/>
                <w:highlight w:val="none"/>
              </w:rPr>
              <w:t>经预脱脂-脱脂-水洗-酸洗-水洗-中和-表调-磷化-水洗-钝化等十工位表面处理工序，或同等防锈效果的表面处理工艺，</w:t>
            </w:r>
            <w:r>
              <w:rPr>
                <w:rFonts w:hint="eastAsia" w:asciiTheme="minorEastAsia" w:hAnsiTheme="minorEastAsia" w:eastAsiaTheme="minorEastAsia" w:cstheme="minorEastAsia"/>
                <w:color w:val="auto"/>
                <w:sz w:val="24"/>
                <w:szCs w:val="24"/>
                <w:highlight w:val="none"/>
              </w:rPr>
              <w:t>表面喷涂优质环保环氧聚酯粉，塑粉性能要求符合HG/T2006-2022《热固性和热塑性粉末涂料》的要求。</w:t>
            </w:r>
          </w:p>
          <w:p w14:paraId="1015CBFD">
            <w:pPr>
              <w:pStyle w:val="9"/>
              <w:adjustRightInd w:val="0"/>
              <w:snapToGrid w:val="0"/>
              <w:spacing w:line="320" w:lineRule="exact"/>
              <w:ind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3.安装：（1）床的结构要求床母与立柱外挂卡式连接，每个连接处无需螺栓紧固，有锥度设计越用越紧固功能。（2）整床床体组装好后结实、牢固、安全和耐用。</w:t>
            </w:r>
          </w:p>
          <w:p w14:paraId="406505E2">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（二）材质参数</w:t>
            </w:r>
          </w:p>
          <w:p w14:paraId="165942EA">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边立柱：≥75mm×75mm×1.2mm闭口型材管，外部半圆,需加有不少于三条加强筋，内部呈圆弧设计，外圆内方高频焊接封口型材管，立柱底部为高度不低于100mm的塑料防潮脚套，起防滑及密封作用（不允许采用3D打印塑料），完全不含重金属,顶部采用内嵌式伸缩蚊帐杆套，嵌入深度不小于100mm，与立柱连接处光滑、平顺、手感好、无毛刺。</w:t>
            </w:r>
          </w:p>
          <w:p w14:paraId="2EF2BF85">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床横梁：靠近走道部位长边横梁≥100mm×40mm，厚度不小于1.2mm，正面有不少于4条加强筋，内侧有凹型卡槽，可装置防尘板；底部半圆形高频焊接封口型材管；底部采用半圆型设计，可有效防止碰撞。靠墙长边横梁≥30mm×70mm，厚度不小于1.2mm，底部半圆型高频焊接封口型材管，管材正面不少于3条凹型加强筋，内侧有凸台设计，可支撑床板以防脚踩倾倒。</w:t>
            </w:r>
          </w:p>
          <w:p w14:paraId="40674F1D">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立柱上横管、下横管：上横管采用≥25mm×25mm×1.2mm矩形管；下横管采用≥30mm×70mm×1.2mm矩形管；管材内侧有凸台设计，凸台进深30mm（±2mm），高度20mm（±2mm），可支撑床板以防脚踩倾倒；立柱边档竖管采用≥φ19mm×1.2mm圆管。</w:t>
            </w:r>
          </w:p>
          <w:p w14:paraId="019B8593">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4.侧护栏：</w:t>
            </w:r>
            <w:bookmarkStart w:id="3" w:name="OLE_LINK3"/>
            <w:bookmarkStart w:id="4" w:name="OLE_LINK5"/>
            <w:r>
              <w:rPr>
                <w:rFonts w:hint="eastAsia" w:asciiTheme="minorEastAsia" w:hAnsiTheme="minorEastAsia" w:eastAsiaTheme="minorEastAsia" w:cstheme="minorEastAsia"/>
                <w:color w:val="auto"/>
                <w:sz w:val="24"/>
                <w:highlight w:val="none"/>
              </w:rPr>
              <w:t>≥750mm×300mm×30mm</w:t>
            </w:r>
            <w:bookmarkEnd w:id="3"/>
            <w:bookmarkEnd w:id="4"/>
            <w:r>
              <w:rPr>
                <w:rFonts w:hint="eastAsia" w:asciiTheme="minorEastAsia" w:hAnsiTheme="minorEastAsia" w:eastAsiaTheme="minorEastAsia" w:cstheme="minorEastAsia"/>
                <w:color w:val="auto"/>
                <w:sz w:val="24"/>
                <w:highlight w:val="none"/>
              </w:rPr>
              <w:t>；基材采用不低于15mm</w:t>
            </w:r>
            <w:r>
              <w:rPr>
                <w:rFonts w:hint="eastAsia" w:asciiTheme="minorEastAsia" w:hAnsiTheme="minorEastAsia" w:eastAsiaTheme="minorEastAsia" w:cstheme="minorEastAsia"/>
                <w:bCs/>
                <w:color w:val="auto"/>
                <w:sz w:val="24"/>
                <w:highlight w:val="none"/>
              </w:rPr>
              <w:t>优质环保E0级及以上“实木多层板”，符合</w:t>
            </w:r>
            <w:r>
              <w:rPr>
                <w:rFonts w:hint="eastAsia" w:asciiTheme="minorEastAsia" w:hAnsiTheme="minorEastAsia" w:eastAsiaTheme="minorEastAsia" w:cstheme="minorEastAsia"/>
                <w:color w:val="auto"/>
                <w:sz w:val="24"/>
                <w:highlight w:val="none"/>
              </w:rPr>
              <w:t>GB/T9846-2015《普通胶合板》</w:t>
            </w:r>
            <w:r>
              <w:rPr>
                <w:rFonts w:hint="eastAsia" w:asciiTheme="minorEastAsia" w:hAnsiTheme="minorEastAsia" w:eastAsiaTheme="minorEastAsia" w:cstheme="minorEastAsia"/>
                <w:bCs/>
                <w:color w:val="auto"/>
                <w:sz w:val="24"/>
                <w:highlight w:val="none"/>
              </w:rPr>
              <w:t>、GB/T39600-2021《人造板及其制品甲醛释放量分级》、HJ571-2010《环境标志产品技术要求人造板及其制品》等标准适用条款的要求，其中含水率5.0%～14.0%；胶合强度≥0.7MPa；浸渍剥离、静曲强度和弹性模量等性能指标均符合标准要求；甲醛释放量GB/T39600-2021E0≤0.050mg/m³；总挥发性有机化合物（TVOC）释放率不得超过0.50mg/m²·h（72h）；</w:t>
            </w:r>
            <w:r>
              <w:rPr>
                <w:rFonts w:hint="eastAsia" w:asciiTheme="minorEastAsia" w:hAnsiTheme="minorEastAsia" w:eastAsiaTheme="minorEastAsia" w:cstheme="minorEastAsia"/>
                <w:color w:val="auto"/>
                <w:sz w:val="24"/>
                <w:highlight w:val="none"/>
              </w:rPr>
              <w:t>护栏整体成型，外形设计符合人体工程学。上方采用全PP塑料材质镂空设计，护栏两端设计整体成型的拉手，护栏中间部分可以设置学校校徽及学生姓名标牌。符合GB/T15102-2017、GB28481-2012《塑料家具中有害物质限量》、GB/T32487-2016《塑料家具通用技术条件》等国家标准。</w:t>
            </w:r>
          </w:p>
          <w:p w14:paraId="6F591AA5">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前护栏：主体设计为圆弧形，支架为不低于1.2mm厚优质冷轧钢板一次冲压而成，尺寸规格不低于冲压件宽30mm、深55mm、高300mm；上横管为≥φ38×1.5mm厚优质管材制作而成，横管两端采用半圆球镀铬封头，中间横管采用≥φ16×1.2mm优质管材焊接，支架靠床内侧需从顶到底部加采用ABS工程塑料经注塑而成的胶套，符合GB28481-2012《塑料家具中有害物质限量》、GB/T32487-2016《塑料家具通用技术条件》等国家标准。形状与支架完全贴合，并带有卡口，防止掉落，整个护栏的高度不低于300mm，长度为≥1300mm。</w:t>
            </w:r>
          </w:p>
          <w:p w14:paraId="0B03496D">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▲6.爬梯：边管采用≥25mm×50mm×1.2mm椭圆管,踏面安装≥400mm×120mm踏面采用优质冷轧钢板与边管整体焊接成型。踏面上方设有≥90mm×30mm的夜光条，并进行防滑防撞处理。</w:t>
            </w:r>
          </w:p>
          <w:p w14:paraId="6407E018">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7.床横管：采用≥20mm×30mm，管壁厚度≥1.0mm的矩形管，数量不少于五根，内插式嵌入，带静音胶套。</w:t>
            </w:r>
          </w:p>
          <w:p w14:paraId="061E75CA">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8.蚊帐杆：采用≥Φ16mm厚≥1.0mm的圆管为支撑,高度1000-1200mm。</w:t>
            </w:r>
          </w:p>
          <w:p w14:paraId="489DCA14">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9.床板：采用不低于18mm厚杉木板拼接而成，无闪边，板数不超过7块，经干燥防腐、防蛀处理，板底加固不少于4根杉木条为支撑点，拼板之间缺角不能大于3mm，制作牢固可靠，双面平整。</w:t>
            </w:r>
          </w:p>
          <w:p w14:paraId="548FED28">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二、组合柜部分</w:t>
            </w:r>
          </w:p>
          <w:p w14:paraId="79EC4208">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1.规格：整体1900mm（长）×600mm（深）×1700mm（高）（±2mm）；颜色：灰白色+蓝色（供货前由采购人确定颜色），颜色需与采购人提供的标准色板匹配（允许色差ΔE≤3）</w:t>
            </w:r>
          </w:p>
          <w:p w14:paraId="489B0252">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2.组合柜必须符合GB/T3325-2017或GB/T35607-2024或GB/T3325-2024要求。</w:t>
            </w:r>
          </w:p>
          <w:p w14:paraId="00DDD768">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3.床下组合柜材质要求：</w:t>
            </w:r>
          </w:p>
          <w:p w14:paraId="3AE7B38E">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用优质冷轧钢板，厚度不小于0.6mm，材质符合GB/T3325-2024《金属家具通用技术条件》或其他相应国家标准：金属件外观（冲压件应无脱层、裂缝；涂层应无漏喷、锈蚀和脱色、掉色现象；涂层应光滑均匀，色泽一致，应无流挂、疙瘩、皱皮、飞漆等缺陷）；金属喷漆（塑）涂层理化性能（硬度≥H；冲击强度：冲击高度400mm，应无剥落、裂纹、皱纹；耐湿热100h：100h内，应无锈蚀、鼓泡、剥落现象；耐腐蚀100h：100h内，观察在溶液中样板上划道两侧3mm以外，应无鼓泡产生；100h后，检测划道两侧3mm外，应无锈蚀、剥落、起皱、变色和失光现象。</w:t>
            </w:r>
          </w:p>
          <w:p w14:paraId="24C7010F">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（2）表面采用环保产品环氧聚酯塑粉静电喷塑；经除油、酸洗、磷化、除锈或电解防锈处理，焊接表面光滑无毛刺，具有耐腐蚀、防水抗老化等性能。</w:t>
            </w:r>
          </w:p>
          <w:p w14:paraId="3362D5B3">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（3）衣柜：</w:t>
            </w:r>
          </w:p>
          <w:p w14:paraId="32B35D52">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①规格：1700mm（高）×600mm（长）×600mm（深）（±2mm）。</w:t>
            </w:r>
          </w:p>
          <w:p w14:paraId="2AF4E090">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衣柜结构及要求：</w:t>
            </w:r>
          </w:p>
          <w:p w14:paraId="7D3EC29F">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②上层高1100mm（±2mm）（不含边框）,内配置≥Φ19×1.0mm厚不锈钢圆管挂衣杆1根，左边设置固定门板一个，固定门门宽度为150mm（±2mm）。柜门扣手规格：宽30mm×高130mm（±5mm），采用全新ABS材料经注塑模具一次性注塑成型,表面装饰部分采用优质不锈钢材料四周全包围式包边，无毛刺、凸起，增加拉手使用强度，延长拉手使用寿命。</w:t>
            </w:r>
          </w:p>
          <w:p w14:paraId="05BDD352">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4.书柜：规格1700mm（高）×300mm（宽）×600mm（深）（±2mm），柜体分为上下2部分，上部为2块隔板共分3层，下部1块隔板。材质选用不小于0.6mm厚冷轧钢板。</w:t>
            </w:r>
          </w:p>
          <w:p w14:paraId="38A467E5">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5.桌面规格：1000mm（长）×600mm（深）×25mm（厚）（±2mm），台面板</w:t>
            </w:r>
            <w:r>
              <w:rPr>
                <w:rFonts w:hint="eastAsia" w:asciiTheme="minorEastAsia" w:hAnsiTheme="minorEastAsia" w:eastAsiaTheme="minorEastAsia" w:cstheme="minorEastAsia"/>
                <w:bCs/>
                <w:color w:val="auto"/>
                <w:sz w:val="24"/>
                <w:highlight w:val="none"/>
              </w:rPr>
              <w:t>选用优质环保E0级及以上“实木多层板”，符合</w:t>
            </w:r>
            <w:r>
              <w:rPr>
                <w:rFonts w:hint="eastAsia" w:asciiTheme="minorEastAsia" w:hAnsiTheme="minorEastAsia" w:eastAsiaTheme="minorEastAsia" w:cstheme="minorEastAsia"/>
                <w:color w:val="auto"/>
                <w:sz w:val="24"/>
                <w:highlight w:val="none"/>
              </w:rPr>
              <w:t>GB/T9846-2015《普通胶合板》</w:t>
            </w:r>
            <w:r>
              <w:rPr>
                <w:rFonts w:hint="eastAsia" w:asciiTheme="minorEastAsia" w:hAnsiTheme="minorEastAsia" w:eastAsiaTheme="minorEastAsia" w:cstheme="minorEastAsia"/>
                <w:bCs/>
                <w:color w:val="auto"/>
                <w:sz w:val="24"/>
                <w:highlight w:val="none"/>
              </w:rPr>
              <w:t>、GB/T39600-2021《人造板及其制品甲醛释放量分级》、HJ571-2010《环境标志产品技术要求人造板及其制品》等标准适用条款的要求，其中含水率5.0%～14.0%；胶合强度≥0.7MPa；浸渍剥离、静曲强度和弹性模量等性能指标均符合标准要求；甲醛释放量GB/T39600-2021E0≤0.050mg/m³；总挥发性有机化合物（TVOC）释放率不得超过0.50mg/m²·h（72h）；</w:t>
            </w:r>
            <w:r>
              <w:rPr>
                <w:rFonts w:hint="eastAsia" w:asciiTheme="minorEastAsia" w:hAnsiTheme="minorEastAsia" w:eastAsiaTheme="minorEastAsia" w:cstheme="minorEastAsia"/>
                <w:color w:val="auto"/>
                <w:sz w:val="24"/>
                <w:highlight w:val="none"/>
              </w:rPr>
              <w:t>桌面离地高度760mm。</w:t>
            </w:r>
          </w:p>
          <w:p w14:paraId="53CFDD8B">
            <w:pPr>
              <w:spacing w:line="320" w:lineRule="exact"/>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bCs/>
                <w:color w:val="auto"/>
                <w:sz w:val="24"/>
                <w:highlight w:val="none"/>
              </w:rPr>
              <w:t>封边：桌面板封边采用优质</w:t>
            </w:r>
            <w:r>
              <w:rPr>
                <w:rFonts w:hint="eastAsia" w:asciiTheme="minorEastAsia" w:hAnsiTheme="minorEastAsia" w:eastAsiaTheme="minorEastAsia" w:cstheme="minorEastAsia"/>
                <w:color w:val="auto"/>
                <w:sz w:val="24"/>
                <w:highlight w:val="none"/>
              </w:rPr>
              <w:t>新型抗氧化铝箔封边，或达到同等或更优的封边效果。封边条厚度不小于1.5mm，封边上下与桌面同色，中间铝箔高度不小于5mm，封边工艺采用全自动化机器封边技术，防潮、防晒、耐腐蚀、耐氧化、不易脱落、经久耐用、表面光滑平整，无皱褶无波浪形，防水性能经水滴试验无渗透，经磨边处理；要求采用全自动全机械化机器封边、修边，表面平整，无脱胶、鼓泡现象:不允许采用手工封边、修边，封边后要求达到完全防水效果。</w:t>
            </w:r>
            <w:r>
              <w:rPr>
                <w:rFonts w:hint="eastAsia" w:asciiTheme="minorEastAsia" w:hAnsiTheme="minorEastAsia" w:eastAsiaTheme="minorEastAsia" w:cstheme="minorEastAsia"/>
                <w:bCs/>
                <w:color w:val="auto"/>
                <w:sz w:val="24"/>
                <w:highlight w:val="none"/>
              </w:rPr>
              <w:t>封边符QB/T4463-2013《家具用封边条技术要求》要求，外观表面应无皱纹、裂纹、折痕、油渍、污点，无明显的气泡、针孔、划痕、波纹等瑕疵，表面应光滑，花纹应清晰、均匀、无漏印。</w:t>
            </w:r>
            <w:r>
              <w:rPr>
                <w:rFonts w:hint="eastAsia" w:asciiTheme="minorEastAsia" w:hAnsiTheme="minorEastAsia" w:eastAsiaTheme="minorEastAsia" w:cstheme="minorEastAsia"/>
                <w:color w:val="auto"/>
                <w:sz w:val="24"/>
                <w:highlight w:val="none"/>
              </w:rPr>
              <w:t>封边胶采用优质环保封边胶，封边胶检测符合HJ2541-2016《环境标志产品技术要求胶粘剂》标准。检测结果包括但不限于以下内容：①苯含量不得检出，②甲苯+乙苯+二甲苯含量不得检出。</w:t>
            </w:r>
            <w:r>
              <w:rPr>
                <w:rFonts w:hint="eastAsia" w:asciiTheme="minorEastAsia" w:hAnsiTheme="minorEastAsia" w:eastAsiaTheme="minorEastAsia" w:cstheme="minorEastAsia"/>
                <w:bCs/>
                <w:color w:val="auto"/>
                <w:sz w:val="24"/>
                <w:highlight w:val="none"/>
              </w:rPr>
              <w:t>甲醛释放量≤0.050mg/m³；总挥发性有机化合物（TVOC）释放率不得超过0.50mg/m²·h（72h）。</w:t>
            </w:r>
          </w:p>
          <w:p w14:paraId="0ED28F2A">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三、公寓椅</w:t>
            </w:r>
          </w:p>
          <w:p w14:paraId="3FEE74B2">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1.规格:≥400L×400D×800H（mm）；颜色：灰白色+浅胡桃色（供货前由采购人确定颜色），颜色需与采购人提供的标准色板匹配（允许色差ΔE≤3）。</w:t>
            </w:r>
          </w:p>
          <w:p w14:paraId="01607805">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2.基材</w:t>
            </w:r>
            <w:r>
              <w:rPr>
                <w:rFonts w:hint="eastAsia" w:asciiTheme="minorEastAsia" w:hAnsiTheme="minorEastAsia" w:eastAsiaTheme="minorEastAsia" w:cstheme="minorEastAsia"/>
                <w:bCs/>
                <w:color w:val="auto"/>
                <w:sz w:val="24"/>
                <w:highlight w:val="none"/>
              </w:rPr>
              <w:t>：选用优质环保E0级及以上“实木多层板”，符合</w:t>
            </w:r>
            <w:r>
              <w:rPr>
                <w:rFonts w:hint="eastAsia" w:asciiTheme="minorEastAsia" w:hAnsiTheme="minorEastAsia" w:eastAsiaTheme="minorEastAsia" w:cstheme="minorEastAsia"/>
                <w:color w:val="auto"/>
                <w:sz w:val="24"/>
                <w:highlight w:val="none"/>
              </w:rPr>
              <w:t>GB/T9846-2015《普通胶合板》</w:t>
            </w:r>
            <w:r>
              <w:rPr>
                <w:rFonts w:hint="eastAsia" w:asciiTheme="minorEastAsia" w:hAnsiTheme="minorEastAsia" w:eastAsiaTheme="minorEastAsia" w:cstheme="minorEastAsia"/>
                <w:bCs/>
                <w:color w:val="auto"/>
                <w:sz w:val="24"/>
                <w:highlight w:val="none"/>
              </w:rPr>
              <w:t>、GB/T39600-2021《人造板及其制品甲醛释放量分级》、HJ571-2010《环境标志产品技术要求人造板及其制品》等标准适用条款的要求，其中含水率5.0%～14.0%；胶合强度≥0.7MPa；浸渍剥离、静曲强度和弹性模量等性能指标均符合标准要求；甲醛释放量GB/T39600-2021E0≤0.050mg/m³；总挥发性有机化合物（TVOC）释放率不得超过0.50mg/m²·h（72h）；</w:t>
            </w:r>
            <w:r>
              <w:rPr>
                <w:rFonts w:hint="eastAsia" w:asciiTheme="minorEastAsia" w:hAnsiTheme="minorEastAsia" w:eastAsiaTheme="minorEastAsia" w:cstheme="minorEastAsia"/>
                <w:color w:val="auto"/>
                <w:sz w:val="24"/>
                <w:highlight w:val="none"/>
              </w:rPr>
              <w:t>座面、靠背厚度≥15mm。面板四周采用一次性注塑封边。</w:t>
            </w:r>
          </w:p>
          <w:p w14:paraId="540A48A4">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3.椅脚外形规格为长+宽≥60mm，且长、宽均≥20mm，厚度≥1.2m，圆形钢管或对称椭圆钢管，</w:t>
            </w:r>
            <w:r>
              <w:rPr>
                <w:rFonts w:hint="eastAsia" w:ascii="宋体" w:hAnsi="宋体" w:eastAsia="宋体" w:cs="宋体"/>
                <w:color w:val="auto"/>
                <w:sz w:val="24"/>
                <w:szCs w:val="24"/>
                <w:highlight w:val="none"/>
              </w:rPr>
              <w:t>经预脱脂-脱脂-水洗-酸洗-水洗-中和-表调-磷化-水洗-钝化等十工位表面处理工序，或同等防锈效果的表面处理工艺，表面喷涂优质环保环氧聚酯粉静电喷塑。</w:t>
            </w:r>
            <w:r>
              <w:rPr>
                <w:rFonts w:hint="eastAsia" w:asciiTheme="minorEastAsia" w:hAnsiTheme="minorEastAsia" w:eastAsiaTheme="minorEastAsia" w:cstheme="minorEastAsia"/>
                <w:color w:val="auto"/>
                <w:sz w:val="24"/>
                <w:highlight w:val="none"/>
              </w:rPr>
              <w:t>喷塑外膜的表面光滑平整，色泽均匀，喷塑层无漏喷、起泡、模糊、划痕或碰伤等缺陷，采用粉末涂料符合国家标准。</w:t>
            </w:r>
          </w:p>
        </w:tc>
      </w:tr>
      <w:tr w14:paraId="5854D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4FE163B5">
            <w:pPr>
              <w:rPr>
                <w:rFonts w:ascii="宋体" w:hAnsi="宋体" w:cs="宋体"/>
                <w:color w:val="auto"/>
                <w:sz w:val="24"/>
                <w:highlight w:val="none"/>
              </w:rPr>
            </w:pPr>
            <w:r>
              <w:rPr>
                <w:rFonts w:hint="eastAsia" w:ascii="宋体" w:hAnsi="宋体" w:cs="宋体"/>
                <w:color w:val="auto"/>
                <w:sz w:val="24"/>
                <w:highlight w:val="none"/>
              </w:rPr>
              <w:t>3</w:t>
            </w:r>
          </w:p>
        </w:tc>
        <w:tc>
          <w:tcPr>
            <w:tcW w:w="1180" w:type="dxa"/>
            <w:tcBorders>
              <w:top w:val="single" w:color="auto" w:sz="4" w:space="0"/>
              <w:left w:val="single" w:color="auto" w:sz="4" w:space="0"/>
              <w:bottom w:val="single" w:color="auto" w:sz="4" w:space="0"/>
              <w:right w:val="single" w:color="auto" w:sz="4" w:space="0"/>
            </w:tcBorders>
            <w:vAlign w:val="center"/>
          </w:tcPr>
          <w:p w14:paraId="07285A6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无障碍组合公寓床</w:t>
            </w:r>
          </w:p>
        </w:tc>
        <w:tc>
          <w:tcPr>
            <w:tcW w:w="810" w:type="dxa"/>
            <w:tcBorders>
              <w:top w:val="single" w:color="auto" w:sz="4" w:space="0"/>
              <w:left w:val="single" w:color="auto" w:sz="4" w:space="0"/>
              <w:bottom w:val="single" w:color="auto" w:sz="4" w:space="0"/>
              <w:right w:val="single" w:color="auto" w:sz="4" w:space="0"/>
            </w:tcBorders>
            <w:vAlign w:val="center"/>
          </w:tcPr>
          <w:p w14:paraId="6931D187">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56</w:t>
            </w:r>
          </w:p>
        </w:tc>
        <w:tc>
          <w:tcPr>
            <w:tcW w:w="850" w:type="dxa"/>
            <w:tcBorders>
              <w:top w:val="single" w:color="auto" w:sz="4" w:space="0"/>
              <w:left w:val="single" w:color="auto" w:sz="4" w:space="0"/>
              <w:bottom w:val="single" w:color="auto" w:sz="4" w:space="0"/>
              <w:right w:val="single" w:color="auto" w:sz="4" w:space="0"/>
            </w:tcBorders>
            <w:vAlign w:val="center"/>
          </w:tcPr>
          <w:p w14:paraId="353CBAEF">
            <w:pPr>
              <w:jc w:val="center"/>
              <w:rPr>
                <w:rFonts w:ascii="宋体" w:hAnsi="宋体" w:cs="宋体"/>
                <w:b/>
                <w:bCs/>
                <w:color w:val="auto"/>
                <w:sz w:val="24"/>
                <w:highlight w:val="none"/>
              </w:rPr>
            </w:pPr>
            <w:r>
              <w:rPr>
                <w:rFonts w:hint="eastAsia" w:ascii="宋体" w:hAnsi="宋体" w:cs="宋体"/>
                <w:b/>
                <w:bCs/>
                <w:color w:val="auto"/>
                <w:sz w:val="24"/>
                <w:highlight w:val="none"/>
              </w:rPr>
              <w:t>套</w:t>
            </w:r>
          </w:p>
        </w:tc>
        <w:tc>
          <w:tcPr>
            <w:tcW w:w="6965" w:type="dxa"/>
            <w:tcBorders>
              <w:top w:val="single" w:color="auto" w:sz="4" w:space="0"/>
              <w:left w:val="single" w:color="auto" w:sz="4" w:space="0"/>
              <w:bottom w:val="single" w:color="auto" w:sz="4" w:space="0"/>
              <w:right w:val="single" w:color="auto" w:sz="4" w:space="0"/>
            </w:tcBorders>
            <w:shd w:val="clear" w:color="auto" w:fill="auto"/>
            <w:vAlign w:val="center"/>
          </w:tcPr>
          <w:p w14:paraId="08FD270E">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规格：长2200mm×宽900mm×高850mm（±5mm）</w:t>
            </w:r>
          </w:p>
          <w:p w14:paraId="76D11B9F">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颜色：灰白色+浅胡桃色（供货前由采购人确定颜色），颜色需与采购人提供的标准色板匹配（允许色差ΔE≤3）</w:t>
            </w:r>
          </w:p>
          <w:p w14:paraId="41017D00">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一、床架部分</w:t>
            </w:r>
          </w:p>
          <w:p w14:paraId="572C9D58">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（一）性能指标</w:t>
            </w:r>
          </w:p>
          <w:p w14:paraId="5D3E751D">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层床整体外观要求、理化性能、力学性能有害物质限量等技术指标符合GB/T3325-2024《金属家具通用技术条件》、QB/T2741-2013《学生公寓多功能家具》、GB/T35607-2024《绿色产品评价家具》等标准要求,床架各部位管材要求：选用优质钢管，钢管材质为Q235B（或优于Q235B）优质钢材，经除油、酸洗、磷化、除锈处理，表面静电喷塑处理，管材材质符合GB/T3094-2012《冷拔异型钢管》、GB/T3325-2024《金属家具通用技术条件》或其他相关标准：金属件外观（冲压件应无脱层、裂缝；涂层应无漏喷、锈蚀和脱色、掉色现象；涂层应光滑均匀，色泽一致，应无流挂、疙瘩、皱皮、飞漆等缺陷）。</w:t>
            </w:r>
          </w:p>
          <w:p w14:paraId="43EBF71F">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宋体" w:hAnsi="宋体" w:eastAsia="宋体" w:cs="宋体"/>
                <w:color w:val="auto"/>
                <w:sz w:val="24"/>
                <w:szCs w:val="24"/>
                <w:highlight w:val="none"/>
              </w:rPr>
              <w:t>经预脱脂-脱脂-水洗-酸洗-水洗-中和-表调-磷化-水洗-钝化等十工位表面处理工序，或同等防锈效果的表面处理工艺，表面喷涂优质环保环氧聚酯粉静电喷塑</w:t>
            </w:r>
            <w:r>
              <w:rPr>
                <w:rFonts w:hint="eastAsia" w:asciiTheme="minorEastAsia" w:hAnsiTheme="minorEastAsia" w:eastAsiaTheme="minorEastAsia" w:cstheme="minorEastAsia"/>
                <w:color w:val="auto"/>
                <w:sz w:val="24"/>
                <w:highlight w:val="none"/>
              </w:rPr>
              <w:t>。</w:t>
            </w:r>
          </w:p>
          <w:p w14:paraId="2C81E452">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3.安装：（1）床的结构要求床母与立柱外挂卡式连接，每个连接处无需螺栓紧固，有锥度设计越用越紧固功能。（2）整床床体组装好后结实、牢固、安全和耐用。</w:t>
            </w:r>
          </w:p>
          <w:p w14:paraId="0E13573B">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（二）材质参数</w:t>
            </w:r>
          </w:p>
          <w:p w14:paraId="6408B6C5">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1.边立柱：外形规格为长+宽≥130mm，且长、宽均≥55mm，管壁厚度≥1.2mm的高频焊接封口钢管，（不能用方管，不容易碰撞受伤），管材采用优质带钢，经成型线轧制而成，表面经优质环氧聚酯塑粉静电喷塑处理。立柱顶部为塑料内塞，底部外套式脚套，塑料件采用环保塑料一体注塑成型，高度≥100mm（不允许3D打印），与立柱连接处光滑、平顺、无毛刺，起防滑防潮及密封作用。</w:t>
            </w:r>
          </w:p>
          <w:p w14:paraId="562C9646">
            <w:pPr>
              <w:pStyle w:val="4"/>
              <w:spacing w:line="320" w:lineRule="exact"/>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▲2.床横梁：外形规格为长+宽≥110mm，且长、宽均≥40mm，管壁厚度≥1.2mm的高频焊接内外镀锌闭口型材管，底部为圆弧形设计，起到防撞作用，正面有不少于3条加强筋，表面经优质环保氧聚酯塑粉静电喷塑处理。</w:t>
            </w:r>
          </w:p>
          <w:p w14:paraId="45B683CA">
            <w:pPr>
              <w:pStyle w:val="4"/>
              <w:spacing w:line="320" w:lineRule="exact"/>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3.床横管：外形规格为长+宽≥50mm，且长、宽均≥20mm，管壁厚度≥1.0mm的矩形管，数量不少于五根，内插式嵌入，带静音胶套。</w:t>
            </w:r>
          </w:p>
          <w:p w14:paraId="5F714914">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4.床头、床尾护板：采用1.2mm厚冷轧钢板制作。</w:t>
            </w:r>
          </w:p>
          <w:p w14:paraId="678E1C96">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5.蚊帐杆：采用规格为≥φ16mm，厚度≥1.0mm的优质圆管,顶部加装φ40mm铁圈，方便支撑、悬挂蚊帐使用。</w:t>
            </w:r>
          </w:p>
          <w:p w14:paraId="332B0519">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床板：采用厚度≥18mm杉木板制作，长、宽按设计要求，整幅床板由≤7块杉木板拼接组成，拼板之间缝隙不能大于3mm，板底下部加固不少于4根杉木条为支撑点，制作牢固可靠，床板应无钝棱；木材经干燥、防腐、防蛀处理；床板双面须刨光处理。</w:t>
            </w:r>
          </w:p>
          <w:p w14:paraId="606E50F8">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二、组合柜部分</w:t>
            </w:r>
          </w:p>
          <w:p w14:paraId="6EBF27D2">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1.规格：整体1900（长）×600（深）×1700（高）（mm）（±2mm）；颜色：灰白色+浅胡桃色（供货前由采购人确定颜色），颜色需与采购人提供的标准色板匹配（允许色差ΔE≤3）。</w:t>
            </w:r>
          </w:p>
          <w:p w14:paraId="58596FD9">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2.组合柜必须符合GB/T3325-2017或GB/T35607-2024或GB/T3325-2024要求。</w:t>
            </w:r>
          </w:p>
          <w:p w14:paraId="529C7345">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3.床下组合柜材质要求：</w:t>
            </w:r>
          </w:p>
          <w:p w14:paraId="2911DBA6">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（1）采用厚度不小于0.6mm冷轧板折弯成型，钢板材质为Q195（或优于Q195）钢材。</w:t>
            </w:r>
          </w:p>
          <w:p w14:paraId="7734C32C">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（2）表面采用环氧聚酯塑粉静电喷塑；经除油、酸洗、磷化、除锈或电解防锈处理，焊接表面光滑无毛刺，具有耐腐蚀、防水抗老化等性能。</w:t>
            </w:r>
          </w:p>
          <w:p w14:paraId="058A3FBD">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（3）衣柜：</w:t>
            </w:r>
          </w:p>
          <w:p w14:paraId="416CED57">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①规格：1700（高）×650（长）×600（深）（mm）（±2mm）。</w:t>
            </w:r>
          </w:p>
          <w:p w14:paraId="4AD851B9">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衣柜结构及要求：</w:t>
            </w:r>
          </w:p>
          <w:p w14:paraId="66A5D140">
            <w:pPr>
              <w:pStyle w:val="4"/>
              <w:spacing w:line="320" w:lineRule="exact"/>
              <w:ind w:firstLine="480" w:firstLineChars="200"/>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②柜体分为上下2部分，上层高1300mm-1400mm（不含边框）,通体门板，配拉手。内配置≥Φ19×1.2mm厚不锈钢圆管挂衣杆1根，衣柜内侧设有不同高度的卡扣，配备一块可以搁置在卡扣上的活动隔板。最下端设计抽屉，单层层高范围160mm-200mm，可放置学生笔记本电脑等私人贵重物品，防止被盗，抽屉和衣柜门均配锁具。所有钢质板材经过酸洗、磷化等工艺静电喷塑，高温固化；柜底部配备可防潮措施，得到有效的防潮作用，增长产品使用时间。</w:t>
            </w:r>
          </w:p>
          <w:p w14:paraId="4AFC0E96">
            <w:pPr>
              <w:pStyle w:val="4"/>
              <w:spacing w:line="320" w:lineRule="exact"/>
              <w:ind w:firstLine="480" w:firstLineChars="200"/>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4.书柜：规格1700（高）×300（长）×600（深）（mm）（±20mm），柜体分为上下2部分，上部为2块隔板共分3层，桌子面板下部分采用1块隔板分2层，设置为鞋柜，可放置学生鞋子。材质选用厚度不低于0.6mm厚冷轧钢板。</w:t>
            </w:r>
          </w:p>
          <w:p w14:paraId="0CDCBE7F">
            <w:pPr>
              <w:pStyle w:val="4"/>
              <w:spacing w:line="320" w:lineRule="exact"/>
              <w:ind w:firstLine="480" w:firstLineChars="200"/>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5.桌面规格：950（长）×600（深）×25（厚）（mm）（±2mm），桌面基材：选用优质环保E0级及以上“实木多层板”，符合GB/T9846-2015《普通胶合板》、GB/T39600-2021《人造板及其制品甲醛释放量分级》、HJ571-2010《环境标志产品技术要求人造板及其制品》等标准适用条款的要求，其中含水率5.0%～14.0%；胶合强度≥0.7MPa；浸渍剥离、静曲强度和弹性模量等性能指标均符合标准要求；甲醛释放量GB/T39600-2021E0≤0.050mg/m³；总挥发性有机化合物（TVOC）释放率不得超过0.50mg/m²·h（72h）；桌面离地高度760mm，设置有60mm高挡板一块，防止物品掉落，带线孔一个。</w:t>
            </w:r>
          </w:p>
          <w:p w14:paraId="131CDEBF">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ar-SA"/>
              </w:rPr>
              <w:t>封边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sz w:val="24"/>
                <w:szCs w:val="24"/>
                <w:highlight w:val="none"/>
              </w:rPr>
              <w:t>桌面板封边采用优质</w:t>
            </w:r>
            <w:r>
              <w:rPr>
                <w:rFonts w:hint="eastAsia" w:asciiTheme="minorEastAsia" w:hAnsiTheme="minorEastAsia" w:eastAsiaTheme="minorEastAsia" w:cstheme="minorEastAsia"/>
                <w:color w:val="auto"/>
                <w:sz w:val="24"/>
                <w:szCs w:val="24"/>
                <w:highlight w:val="none"/>
              </w:rPr>
              <w:t>PVC封边，或达到同等或更优的封边效果，封边条厚度不小于1.5mm，封边与桌面同色，封边工艺采用全自动化机器封边技术。</w:t>
            </w:r>
            <w:r>
              <w:rPr>
                <w:rFonts w:hint="eastAsia" w:asciiTheme="minorEastAsia" w:hAnsiTheme="minorEastAsia" w:eastAsiaTheme="minorEastAsia" w:cstheme="minorEastAsia"/>
                <w:color w:val="auto"/>
                <w:sz w:val="24"/>
                <w:szCs w:val="24"/>
                <w:highlight w:val="none"/>
                <w:lang w:eastAsia="ar-SA"/>
              </w:rPr>
              <w:t>符</w:t>
            </w:r>
            <w:r>
              <w:rPr>
                <w:rFonts w:hint="eastAsia" w:asciiTheme="minorEastAsia" w:hAnsiTheme="minorEastAsia" w:eastAsiaTheme="minorEastAsia" w:cstheme="minorEastAsia"/>
                <w:color w:val="auto"/>
                <w:sz w:val="24"/>
                <w:szCs w:val="24"/>
                <w:highlight w:val="none"/>
              </w:rPr>
              <w:t>合</w:t>
            </w:r>
            <w:r>
              <w:rPr>
                <w:rFonts w:hint="eastAsia" w:asciiTheme="minorEastAsia" w:hAnsiTheme="minorEastAsia" w:eastAsiaTheme="minorEastAsia" w:cstheme="minorEastAsia"/>
                <w:color w:val="auto"/>
                <w:sz w:val="24"/>
                <w:szCs w:val="24"/>
                <w:highlight w:val="none"/>
                <w:lang w:eastAsia="ar-SA"/>
              </w:rPr>
              <w:t>QB/T4463-2013《家具用封边条技术要求》要求，外观表面应无皱纹、裂纹、折痕、油渍、污点，无明显的气泡、针孔、划痕、波纹等瑕疵，表面应光滑，花纹应清晰、均匀、无漏印。</w:t>
            </w:r>
            <w:r>
              <w:rPr>
                <w:rFonts w:hint="eastAsia" w:asciiTheme="minorEastAsia" w:hAnsiTheme="minorEastAsia" w:eastAsiaTheme="minorEastAsia" w:cstheme="minorEastAsia"/>
                <w:color w:val="auto"/>
                <w:sz w:val="24"/>
                <w:szCs w:val="24"/>
                <w:highlight w:val="none"/>
              </w:rPr>
              <w:t>封边胶采用优质环保封边胶，封边胶检测符合HJ2541-2016《环境标志产品技术要求胶粘剂》标准。检测结果包括但不限于以下内容：①苯含量不得检出，②甲苯+乙苯+二甲苯含量不得检出。甲醛释放量≤1.5mg/L、氯乙烯单体≤5.0mg/kg。</w:t>
            </w:r>
          </w:p>
          <w:p w14:paraId="2966F626">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三、公寓椅</w:t>
            </w:r>
          </w:p>
          <w:p w14:paraId="30DFE515">
            <w:pPr>
              <w:pStyle w:val="9"/>
              <w:adjustRightInd w:val="0"/>
              <w:snapToGrid w:val="0"/>
              <w:spacing w:line="320" w:lineRule="exact"/>
              <w:ind w:firstLine="600"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1.规格:≥400L×400D×800H（mm）；颜色：灰白色+浅胡桃色（供货前由采购人确定颜色）。颜色需与采购人提供的标准色板匹配（允许色差ΔE≤3）。</w:t>
            </w:r>
          </w:p>
          <w:p w14:paraId="07E13AC4">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2.基材</w:t>
            </w:r>
            <w:r>
              <w:rPr>
                <w:rFonts w:hint="eastAsia" w:asciiTheme="minorEastAsia" w:hAnsiTheme="minorEastAsia" w:eastAsiaTheme="minorEastAsia" w:cstheme="minorEastAsia"/>
                <w:bCs/>
                <w:color w:val="auto"/>
                <w:sz w:val="24"/>
                <w:highlight w:val="none"/>
              </w:rPr>
              <w:t>：选用优质环保E0级及以上“实木多层板”，符合</w:t>
            </w:r>
            <w:r>
              <w:rPr>
                <w:rFonts w:hint="eastAsia" w:asciiTheme="minorEastAsia" w:hAnsiTheme="minorEastAsia" w:eastAsiaTheme="minorEastAsia" w:cstheme="minorEastAsia"/>
                <w:color w:val="auto"/>
                <w:sz w:val="24"/>
                <w:highlight w:val="none"/>
              </w:rPr>
              <w:t>GB/T9846-2015《普通胶合板》</w:t>
            </w:r>
            <w:r>
              <w:rPr>
                <w:rFonts w:hint="eastAsia" w:asciiTheme="minorEastAsia" w:hAnsiTheme="minorEastAsia" w:eastAsiaTheme="minorEastAsia" w:cstheme="minorEastAsia"/>
                <w:bCs/>
                <w:color w:val="auto"/>
                <w:sz w:val="24"/>
                <w:highlight w:val="none"/>
              </w:rPr>
              <w:t>、GB/T39600-2021《人造板及其制品甲醛释放量分级》、HJ571-2010《环境标志产品技术要求人造板及其制品》等标准适用条款的要求，其中含水率5.0%～14.0%；胶合强度≥0.7MPa；浸渍剥离、静曲强度和弹性模量等性能指标均符合标准要求；甲醛释放量GB/T39600-2021E0≤0.050mg/m³；总挥发性有机化合物（TVOC）释放率不得超过0.50mg/m²·h（72h）；</w:t>
            </w:r>
            <w:r>
              <w:rPr>
                <w:rFonts w:hint="eastAsia" w:asciiTheme="minorEastAsia" w:hAnsiTheme="minorEastAsia" w:eastAsiaTheme="minorEastAsia" w:cstheme="minorEastAsia"/>
                <w:color w:val="auto"/>
                <w:sz w:val="24"/>
                <w:highlight w:val="none"/>
              </w:rPr>
              <w:t>座面、靠背厚度≥15mm。面板四周采用一次性注塑封边。</w:t>
            </w:r>
          </w:p>
          <w:p w14:paraId="0101057B">
            <w:pPr>
              <w:spacing w:line="320" w:lineRule="exact"/>
              <w:ind w:firstLine="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3.椅脚外形规格为长+宽≥60mm，且长、宽均≥20mm，厚度≥1.2mm，圆形管或对称椭圆管，</w:t>
            </w:r>
            <w:r>
              <w:rPr>
                <w:rFonts w:hint="eastAsia" w:ascii="宋体" w:hAnsi="宋体" w:eastAsia="宋体" w:cs="宋体"/>
                <w:color w:val="auto"/>
                <w:sz w:val="24"/>
                <w:szCs w:val="24"/>
                <w:highlight w:val="none"/>
              </w:rPr>
              <w:t>经预脱脂-脱脂-水洗-酸洗-水洗-中和-表调-磷化-水洗-钝化等十工位表面处理工序，或同等防锈效果的表面处理工艺</w:t>
            </w:r>
            <w:r>
              <w:rPr>
                <w:rFonts w:hint="eastAsia" w:asciiTheme="minorEastAsia" w:hAnsiTheme="minorEastAsia" w:eastAsiaTheme="minorEastAsia" w:cstheme="minorEastAsia"/>
                <w:color w:val="auto"/>
                <w:sz w:val="24"/>
                <w:highlight w:val="none"/>
              </w:rPr>
              <w:t>，表面喷涂优质环保环氧聚酯粉静电喷塑。喷塑外膜的表面光滑平整，色泽均匀，喷塑层无漏喷、起泡、模糊、划痕或碰伤等缺陷，采用粉末涂料符合国家标准。</w:t>
            </w:r>
          </w:p>
        </w:tc>
      </w:tr>
      <w:tr w14:paraId="0921A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2"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56B7EBAE">
            <w:pPr>
              <w:rPr>
                <w:rFonts w:ascii="宋体" w:hAnsi="宋体" w:cs="宋体"/>
                <w:color w:val="auto"/>
                <w:sz w:val="24"/>
                <w:highlight w:val="none"/>
              </w:rPr>
            </w:pPr>
            <w:r>
              <w:rPr>
                <w:rFonts w:hint="eastAsia" w:ascii="宋体" w:hAnsi="宋体" w:cs="宋体"/>
                <w:color w:val="auto"/>
                <w:sz w:val="24"/>
                <w:highlight w:val="none"/>
              </w:rPr>
              <w:t>4</w:t>
            </w:r>
          </w:p>
        </w:tc>
        <w:tc>
          <w:tcPr>
            <w:tcW w:w="1180" w:type="dxa"/>
            <w:tcBorders>
              <w:top w:val="single" w:color="auto" w:sz="4" w:space="0"/>
              <w:left w:val="single" w:color="auto" w:sz="4" w:space="0"/>
              <w:bottom w:val="single" w:color="auto" w:sz="4" w:space="0"/>
              <w:right w:val="single" w:color="auto" w:sz="4" w:space="0"/>
            </w:tcBorders>
            <w:vAlign w:val="center"/>
          </w:tcPr>
          <w:p w14:paraId="03CAE828">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公寓椅</w:t>
            </w:r>
          </w:p>
        </w:tc>
        <w:tc>
          <w:tcPr>
            <w:tcW w:w="810" w:type="dxa"/>
            <w:tcBorders>
              <w:top w:val="single" w:color="auto" w:sz="4" w:space="0"/>
              <w:left w:val="single" w:color="auto" w:sz="4" w:space="0"/>
              <w:bottom w:val="single" w:color="auto" w:sz="4" w:space="0"/>
              <w:right w:val="single" w:color="auto" w:sz="4" w:space="0"/>
            </w:tcBorders>
            <w:vAlign w:val="center"/>
          </w:tcPr>
          <w:p w14:paraId="7C79C8B0">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596</w:t>
            </w:r>
          </w:p>
        </w:tc>
        <w:tc>
          <w:tcPr>
            <w:tcW w:w="850" w:type="dxa"/>
            <w:tcBorders>
              <w:top w:val="single" w:color="auto" w:sz="4" w:space="0"/>
              <w:left w:val="single" w:color="auto" w:sz="4" w:space="0"/>
              <w:bottom w:val="single" w:color="auto" w:sz="4" w:space="0"/>
              <w:right w:val="single" w:color="auto" w:sz="4" w:space="0"/>
            </w:tcBorders>
            <w:vAlign w:val="center"/>
          </w:tcPr>
          <w:p w14:paraId="583DA670">
            <w:pPr>
              <w:jc w:val="center"/>
              <w:rPr>
                <w:rFonts w:ascii="宋体" w:hAnsi="宋体" w:cs="宋体"/>
                <w:color w:val="auto"/>
                <w:sz w:val="24"/>
                <w:highlight w:val="none"/>
              </w:rPr>
            </w:pPr>
            <w:r>
              <w:rPr>
                <w:rFonts w:hint="eastAsia" w:ascii="宋体" w:hAnsi="宋体" w:cs="宋体"/>
                <w:color w:val="auto"/>
                <w:sz w:val="24"/>
                <w:highlight w:val="none"/>
              </w:rPr>
              <w:t>张</w:t>
            </w:r>
          </w:p>
        </w:tc>
        <w:tc>
          <w:tcPr>
            <w:tcW w:w="6965" w:type="dxa"/>
            <w:tcBorders>
              <w:top w:val="single" w:color="auto" w:sz="4" w:space="0"/>
              <w:left w:val="single" w:color="auto" w:sz="4" w:space="0"/>
              <w:bottom w:val="single" w:color="auto" w:sz="4" w:space="0"/>
              <w:right w:val="single" w:color="auto" w:sz="4" w:space="0"/>
            </w:tcBorders>
            <w:shd w:val="clear" w:color="auto" w:fill="auto"/>
            <w:vAlign w:val="center"/>
          </w:tcPr>
          <w:p w14:paraId="5723DF7E">
            <w:pPr>
              <w:pStyle w:val="9"/>
              <w:adjustRightInd w:val="0"/>
              <w:snapToGrid w:val="0"/>
              <w:spacing w:line="32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1.规格:≥400L×400D×800H（mm）；颜色：灰白色+浅胡桃色（供货前由采购人确定颜色）。颜色需与采购人提供的标准色板匹配（允许色差ΔE≤3）。</w:t>
            </w:r>
          </w:p>
          <w:p w14:paraId="75D1E99F">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2.基材</w:t>
            </w:r>
            <w:r>
              <w:rPr>
                <w:rFonts w:hint="eastAsia" w:asciiTheme="minorEastAsia" w:hAnsiTheme="minorEastAsia" w:eastAsiaTheme="minorEastAsia" w:cstheme="minorEastAsia"/>
                <w:bCs/>
                <w:color w:val="auto"/>
                <w:sz w:val="24"/>
                <w:highlight w:val="none"/>
              </w:rPr>
              <w:t>：选用优质环保E0级及以上“实木多层板”，符合</w:t>
            </w:r>
            <w:r>
              <w:rPr>
                <w:rFonts w:hint="eastAsia" w:asciiTheme="minorEastAsia" w:hAnsiTheme="minorEastAsia" w:eastAsiaTheme="minorEastAsia" w:cstheme="minorEastAsia"/>
                <w:color w:val="auto"/>
                <w:sz w:val="24"/>
                <w:highlight w:val="none"/>
              </w:rPr>
              <w:t>GB/T9846-2015《普通胶合板》</w:t>
            </w:r>
            <w:r>
              <w:rPr>
                <w:rFonts w:hint="eastAsia" w:asciiTheme="minorEastAsia" w:hAnsiTheme="minorEastAsia" w:eastAsiaTheme="minorEastAsia" w:cstheme="minorEastAsia"/>
                <w:bCs/>
                <w:color w:val="auto"/>
                <w:sz w:val="24"/>
                <w:highlight w:val="none"/>
              </w:rPr>
              <w:t>、GB/T39600-2021《人造板及其制品甲醛释放量分级》、HJ571-2010《环境标志产品技术要求人造板及其制品》等标准适用条款的要求，其中含水率5.0%～14.0%；胶合强度≥0.7MPa；浸渍剥离、静曲强度和弹性模量等性能指标均符合标准要求；甲醛释放量GB/T39600-2021E0≤0.050mg/m³；总挥发性有机化合物（TVOC）释放率不得超过0.50mg/m²·h（72h）；</w:t>
            </w:r>
            <w:r>
              <w:rPr>
                <w:rFonts w:hint="eastAsia" w:asciiTheme="minorEastAsia" w:hAnsiTheme="minorEastAsia" w:eastAsiaTheme="minorEastAsia" w:cstheme="minorEastAsia"/>
                <w:color w:val="auto"/>
                <w:sz w:val="24"/>
                <w:highlight w:val="none"/>
              </w:rPr>
              <w:t>座面、靠背厚度≥15mm。面板四周采用一次性注塑封边。</w:t>
            </w:r>
          </w:p>
          <w:p w14:paraId="5135BC08">
            <w:pPr>
              <w:spacing w:line="3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3.椅脚外形规格为长+宽≥60mm，且长、宽均≥20mm，厚度≥1.2mm，圆形管或对称椭圆管，</w:t>
            </w:r>
            <w:r>
              <w:rPr>
                <w:rFonts w:hint="eastAsia" w:ascii="宋体" w:hAnsi="宋体" w:eastAsia="宋体" w:cs="宋体"/>
                <w:color w:val="auto"/>
                <w:sz w:val="24"/>
                <w:szCs w:val="24"/>
                <w:highlight w:val="none"/>
              </w:rPr>
              <w:t>经预脱脂-脱脂-水洗-酸洗-水洗-中和-表调-磷化-水洗-钝化等十工位表面处理工序，或同等防锈效果的表面处理工艺</w:t>
            </w:r>
            <w:r>
              <w:rPr>
                <w:rFonts w:hint="eastAsia" w:asciiTheme="minorEastAsia" w:hAnsiTheme="minorEastAsia" w:eastAsiaTheme="minorEastAsia" w:cstheme="minorEastAsia"/>
                <w:color w:val="auto"/>
                <w:sz w:val="24"/>
                <w:highlight w:val="none"/>
              </w:rPr>
              <w:t>，表面喷涂优质环保环氧聚酯粉静电喷塑。喷塑外膜的表面光滑平整，色泽均匀，喷塑层无漏喷、起泡、模糊、划痕或碰伤等缺陷，采用粉末涂料符合国家标准。</w:t>
            </w:r>
          </w:p>
        </w:tc>
      </w:tr>
    </w:tbl>
    <w:p w14:paraId="5AEBFB55">
      <w:pPr>
        <w:rPr>
          <w:color w:val="auto"/>
          <w:highlight w:val="none"/>
        </w:rPr>
      </w:pPr>
    </w:p>
    <w:p w14:paraId="37BA1515">
      <w:pPr>
        <w:pStyle w:val="2"/>
        <w:rPr>
          <w:rFonts w:ascii="黑体" w:hAnsi="黑体" w:eastAsia="黑体" w:cs="黑体"/>
          <w:b w:val="0"/>
          <w:bCs w:val="0"/>
          <w:color w:val="auto"/>
          <w:sz w:val="32"/>
          <w:szCs w:val="32"/>
          <w:highlight w:val="none"/>
        </w:rPr>
      </w:pPr>
      <w:bookmarkStart w:id="5" w:name="_Toc26041"/>
      <w:r>
        <w:rPr>
          <w:rFonts w:hint="eastAsia" w:ascii="黑体" w:hAnsi="黑体" w:eastAsia="黑体" w:cs="黑体"/>
          <w:b w:val="0"/>
          <w:bCs w:val="0"/>
          <w:color w:val="auto"/>
          <w:sz w:val="32"/>
          <w:szCs w:val="32"/>
          <w:highlight w:val="none"/>
        </w:rPr>
        <w:t>三、供应商资格条件</w:t>
      </w:r>
      <w:bookmarkEnd w:id="5"/>
    </w:p>
    <w:tbl>
      <w:tblPr>
        <w:tblStyle w:val="20"/>
        <w:tblW w:w="106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64"/>
      </w:tblGrid>
      <w:tr w14:paraId="1B382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0664" w:type="dxa"/>
            <w:tcBorders>
              <w:top w:val="single" w:color="auto" w:sz="4" w:space="0"/>
              <w:left w:val="single" w:color="auto" w:sz="4" w:space="0"/>
              <w:bottom w:val="single" w:color="auto" w:sz="4" w:space="0"/>
              <w:right w:val="single" w:color="auto" w:sz="4" w:space="0"/>
            </w:tcBorders>
            <w:vAlign w:val="center"/>
          </w:tcPr>
          <w:p w14:paraId="74C0375F">
            <w:pPr>
              <w:pStyle w:val="13"/>
              <w:ind w:firstLine="0" w:firstLineChars="0"/>
              <w:rPr>
                <w:rFonts w:ascii="宋体" w:eastAsia="宋体" w:cs="宋体"/>
                <w:b/>
                <w:caps w:val="0"/>
                <w:color w:val="auto"/>
                <w:sz w:val="24"/>
                <w:szCs w:val="24"/>
                <w:highlight w:val="none"/>
              </w:rPr>
            </w:pPr>
            <w:r>
              <w:rPr>
                <w:rFonts w:hint="eastAsia" w:ascii="宋体" w:eastAsia="宋体" w:cs="宋体"/>
                <w:b/>
                <w:caps w:val="0"/>
                <w:color w:val="auto"/>
                <w:sz w:val="24"/>
                <w:szCs w:val="24"/>
                <w:highlight w:val="none"/>
              </w:rPr>
              <w:t>供应商资质审核</w:t>
            </w:r>
          </w:p>
        </w:tc>
      </w:tr>
      <w:tr w14:paraId="31822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0664" w:type="dxa"/>
            <w:tcBorders>
              <w:top w:val="single" w:color="auto" w:sz="4" w:space="0"/>
              <w:left w:val="single" w:color="auto" w:sz="4" w:space="0"/>
              <w:bottom w:val="single" w:color="auto" w:sz="4" w:space="0"/>
              <w:right w:val="single" w:color="auto" w:sz="4" w:space="0"/>
            </w:tcBorders>
            <w:vAlign w:val="center"/>
          </w:tcPr>
          <w:p w14:paraId="1DFE8A0E">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1、符合《中华人民共和国政府采购法》第二十二条规定的投标人。</w:t>
            </w:r>
          </w:p>
          <w:p w14:paraId="472C371C">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48CA2E9D">
            <w:pPr>
              <w:wordWrap w:val="0"/>
              <w:topLinePunct/>
              <w:snapToGrid w:val="0"/>
              <w:rPr>
                <w:rFonts w:ascii="宋体" w:cs="宋体"/>
                <w:b/>
                <w:color w:val="auto"/>
                <w:sz w:val="24"/>
                <w:highlight w:val="none"/>
              </w:rPr>
            </w:pPr>
            <w:r>
              <w:rPr>
                <w:rFonts w:hint="eastAsia" w:ascii="宋体" w:hAnsi="宋体" w:cs="宋体"/>
                <w:color w:val="auto"/>
                <w:sz w:val="24"/>
                <w:highlight w:val="none"/>
              </w:rPr>
              <w:t>3、本项目不接受联合体投标。</w:t>
            </w:r>
          </w:p>
        </w:tc>
      </w:tr>
    </w:tbl>
    <w:p w14:paraId="38382FC0">
      <w:pPr>
        <w:pStyle w:val="2"/>
        <w:rPr>
          <w:color w:val="auto"/>
          <w:highlight w:val="none"/>
        </w:rPr>
      </w:pPr>
      <w:bookmarkStart w:id="6" w:name="_Toc29160"/>
      <w:r>
        <w:rPr>
          <w:rFonts w:hint="eastAsia" w:ascii="黑体" w:hAnsi="黑体" w:eastAsia="黑体" w:cs="黑体"/>
          <w:b w:val="0"/>
          <w:bCs w:val="0"/>
          <w:color w:val="auto"/>
          <w:sz w:val="32"/>
          <w:szCs w:val="32"/>
          <w:highlight w:val="none"/>
        </w:rPr>
        <w:t>四、商务及其他要求</w:t>
      </w:r>
      <w:bookmarkEnd w:id="6"/>
      <w:bookmarkStart w:id="7" w:name="_Toc20913"/>
      <w:bookmarkEnd w:id="7"/>
    </w:p>
    <w:tbl>
      <w:tblPr>
        <w:tblStyle w:val="20"/>
        <w:tblW w:w="106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9910"/>
      </w:tblGrid>
      <w:tr w14:paraId="115CA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F7ADF69">
            <w:pPr>
              <w:jc w:val="center"/>
              <w:rPr>
                <w:rFonts w:ascii="宋体" w:hAnsi="宋体" w:cs="宋体"/>
                <w:b/>
                <w:color w:val="auto"/>
                <w:sz w:val="24"/>
                <w:highlight w:val="none"/>
              </w:rPr>
            </w:pPr>
            <w:r>
              <w:rPr>
                <w:rFonts w:hint="eastAsia" w:ascii="宋体" w:hAnsi="宋体" w:cs="宋体"/>
                <w:color w:val="auto"/>
                <w:sz w:val="24"/>
                <w:highlight w:val="none"/>
              </w:rPr>
              <w:t>核心产品</w:t>
            </w:r>
          </w:p>
        </w:tc>
        <w:tc>
          <w:tcPr>
            <w:tcW w:w="9910" w:type="dxa"/>
            <w:tcBorders>
              <w:top w:val="single" w:color="auto" w:sz="4" w:space="0"/>
              <w:left w:val="single" w:color="auto" w:sz="4" w:space="0"/>
              <w:bottom w:val="single" w:color="auto" w:sz="4" w:space="0"/>
              <w:right w:val="single" w:color="auto" w:sz="4" w:space="0"/>
            </w:tcBorders>
            <w:vAlign w:val="center"/>
          </w:tcPr>
          <w:p w14:paraId="7870568F">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本项目核心产品为：项号1“三连体（三人位）组合公寓床”为本项目核心产品（核心产品品牌相同的，视为提供同品牌产品）</w:t>
            </w:r>
          </w:p>
        </w:tc>
      </w:tr>
      <w:tr w14:paraId="0EAB1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8"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D60448C">
            <w:pPr>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9910" w:type="dxa"/>
            <w:tcBorders>
              <w:top w:val="single" w:color="auto" w:sz="4" w:space="0"/>
              <w:left w:val="single" w:color="auto" w:sz="4" w:space="0"/>
              <w:bottom w:val="single" w:color="auto" w:sz="4" w:space="0"/>
              <w:right w:val="single" w:color="auto" w:sz="4" w:space="0"/>
            </w:tcBorders>
            <w:vAlign w:val="center"/>
          </w:tcPr>
          <w:p w14:paraId="18998125">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投标报价为采购人指定地点的现场交货价，包括：</w:t>
            </w:r>
          </w:p>
          <w:p w14:paraId="5FA78287">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1.货物的价格：包括货款、零配件、安装调试费、验收费；</w:t>
            </w:r>
          </w:p>
          <w:p w14:paraId="2D5BB676">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2.货物的标准附件、备品备件、专用工具的价格；</w:t>
            </w:r>
          </w:p>
          <w:p w14:paraId="0FE37D5C">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3.运输、拆、装卸、调试、培训、技术支持、售后服务费；</w:t>
            </w:r>
          </w:p>
          <w:p w14:paraId="15240F3F">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4.按采购人要求进行摆放的费用。</w:t>
            </w:r>
          </w:p>
          <w:p w14:paraId="2E0AA95D">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注：投标人自行考虑完成项目所需的辅材、零配件等数量，投标报价中应包含全部货物报价及服务报价，中标后采购人不再另行支付额外费用。</w:t>
            </w:r>
          </w:p>
        </w:tc>
      </w:tr>
      <w:tr w14:paraId="6AEF9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7E11EB2">
            <w:pPr>
              <w:widowControl/>
              <w:wordWrap w:val="0"/>
              <w:jc w:val="center"/>
              <w:textAlignment w:val="center"/>
              <w:rPr>
                <w:rFonts w:ascii="宋体" w:hAnsi="宋体" w:cs="宋体"/>
                <w:color w:val="auto"/>
                <w:sz w:val="24"/>
                <w:highlight w:val="none"/>
              </w:rPr>
            </w:pPr>
            <w:r>
              <w:rPr>
                <w:rFonts w:hint="eastAsia" w:ascii="宋体" w:hAnsi="宋体" w:cs="宋体"/>
                <w:color w:val="auto"/>
                <w:sz w:val="24"/>
                <w:highlight w:val="none"/>
              </w:rPr>
              <w:t>合同签订时间</w:t>
            </w:r>
          </w:p>
        </w:tc>
        <w:tc>
          <w:tcPr>
            <w:tcW w:w="9910" w:type="dxa"/>
            <w:tcBorders>
              <w:top w:val="single" w:color="auto" w:sz="4" w:space="0"/>
              <w:left w:val="single" w:color="auto" w:sz="4" w:space="0"/>
              <w:bottom w:val="single" w:color="auto" w:sz="4" w:space="0"/>
              <w:right w:val="single" w:color="auto" w:sz="4" w:space="0"/>
            </w:tcBorders>
            <w:vAlign w:val="center"/>
          </w:tcPr>
          <w:p w14:paraId="3E231905">
            <w:pPr>
              <w:wordWrap w:val="0"/>
              <w:topLinePunct/>
              <w:snapToGrid w:val="0"/>
              <w:rPr>
                <w:rFonts w:ascii="宋体" w:hAnsi="宋体" w:cs="宋体"/>
                <w:color w:val="auto"/>
                <w:sz w:val="24"/>
                <w:highlight w:val="none"/>
              </w:rPr>
            </w:pPr>
            <w:r>
              <w:rPr>
                <w:rFonts w:hint="eastAsia" w:ascii="宋体" w:hAnsi="宋体" w:cs="宋体"/>
                <w:bCs/>
                <w:color w:val="auto"/>
                <w:sz w:val="24"/>
                <w:highlight w:val="none"/>
              </w:rPr>
              <w:t>自中标通知书发出之日起</w:t>
            </w:r>
            <w:r>
              <w:rPr>
                <w:rFonts w:hint="eastAsia" w:ascii="宋体" w:hAnsi="宋体" w:cs="宋体"/>
                <w:bCs/>
                <w:color w:val="auto"/>
                <w:sz w:val="24"/>
                <w:highlight w:val="none"/>
                <w:u w:val="single"/>
              </w:rPr>
              <w:t>10</w:t>
            </w:r>
            <w:r>
              <w:rPr>
                <w:rFonts w:hint="eastAsia" w:ascii="宋体" w:hAnsi="宋体" w:cs="宋体"/>
                <w:bCs/>
                <w:color w:val="auto"/>
                <w:sz w:val="24"/>
                <w:highlight w:val="none"/>
              </w:rPr>
              <w:t>个日历日内签订采购合同。</w:t>
            </w:r>
          </w:p>
        </w:tc>
      </w:tr>
      <w:tr w14:paraId="58CC8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9"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367DD23">
            <w:pPr>
              <w:widowControl/>
              <w:wordWrap w:val="0"/>
              <w:jc w:val="center"/>
              <w:textAlignment w:val="center"/>
              <w:rPr>
                <w:rFonts w:ascii="宋体" w:hAnsi="宋体" w:cs="宋体"/>
                <w:color w:val="auto"/>
                <w:sz w:val="24"/>
                <w:highlight w:val="none"/>
              </w:rPr>
            </w:pPr>
            <w:r>
              <w:rPr>
                <w:rFonts w:hint="eastAsia" w:ascii="宋体" w:hAnsi="宋体" w:cs="宋体"/>
                <w:color w:val="auto"/>
                <w:sz w:val="24"/>
                <w:highlight w:val="none"/>
              </w:rPr>
              <w:t>交货时间及地点</w:t>
            </w:r>
          </w:p>
        </w:tc>
        <w:tc>
          <w:tcPr>
            <w:tcW w:w="9910" w:type="dxa"/>
            <w:tcBorders>
              <w:top w:val="single" w:color="auto" w:sz="4" w:space="0"/>
              <w:left w:val="single" w:color="auto" w:sz="4" w:space="0"/>
              <w:bottom w:val="single" w:color="auto" w:sz="4" w:space="0"/>
              <w:right w:val="single" w:color="auto" w:sz="4" w:space="0"/>
            </w:tcBorders>
            <w:vAlign w:val="center"/>
          </w:tcPr>
          <w:p w14:paraId="75E2CA06">
            <w:pPr>
              <w:numPr>
                <w:ilvl w:val="0"/>
                <w:numId w:val="0"/>
              </w:numPr>
              <w:wordWrap w:val="0"/>
              <w:topLinePunct/>
              <w:snapToGrid w:val="0"/>
              <w:rPr>
                <w:rFonts w:ascii="宋体" w:hAnsi="宋体" w:cs="宋体" w:eastAsiaTheme="minorEastAsia"/>
                <w:color w:val="auto"/>
                <w:sz w:val="24"/>
                <w:highlight w:val="none"/>
              </w:rPr>
            </w:pPr>
            <w:r>
              <w:rPr>
                <w:rFonts w:hint="eastAsia" w:ascii="宋体" w:hAnsi="宋体" w:cs="宋体" w:eastAsiaTheme="minorEastAsia"/>
                <w:color w:val="auto"/>
                <w:sz w:val="24"/>
                <w:highlight w:val="none"/>
                <w:lang w:val="en-US" w:eastAsia="zh-CN"/>
              </w:rPr>
              <w:t>1.</w:t>
            </w:r>
            <w:r>
              <w:rPr>
                <w:rFonts w:hint="eastAsia" w:ascii="宋体" w:hAnsi="宋体" w:cs="宋体" w:eastAsiaTheme="minorEastAsia"/>
                <w:color w:val="auto"/>
                <w:sz w:val="24"/>
                <w:highlight w:val="none"/>
              </w:rPr>
              <w:t>交付使用时间：自合同签订生效之日起30日内交货并安装调试完毕。</w:t>
            </w:r>
          </w:p>
          <w:p w14:paraId="7FD6C560">
            <w:pPr>
              <w:numPr>
                <w:ilvl w:val="0"/>
                <w:numId w:val="0"/>
              </w:numPr>
              <w:wordWrap w:val="0"/>
              <w:topLinePunct/>
              <w:snapToGrid w:val="0"/>
              <w:rPr>
                <w:rFonts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在交付安装期间，采购人随机抽取每种产品1-2套</w:t>
            </w:r>
            <w:r>
              <w:rPr>
                <w:rFonts w:hint="eastAsia" w:ascii="宋体" w:hAnsi="宋体" w:cs="宋体"/>
                <w:color w:val="auto"/>
                <w:sz w:val="24"/>
                <w:highlight w:val="none"/>
              </w:rPr>
              <w:t>聘请有资质的第三方检测机构</w:t>
            </w:r>
            <w:r>
              <w:rPr>
                <w:rFonts w:hint="eastAsia" w:ascii="宋体" w:hAnsi="宋体" w:cs="宋体"/>
                <w:bCs/>
                <w:color w:val="auto"/>
                <w:sz w:val="24"/>
                <w:highlight w:val="none"/>
              </w:rPr>
              <w:t>进行检验，</w:t>
            </w:r>
            <w:r>
              <w:rPr>
                <w:rFonts w:hint="eastAsia" w:ascii="宋体" w:hAnsi="宋体" w:cs="宋体" w:eastAsiaTheme="minorEastAsia"/>
                <w:color w:val="auto"/>
                <w:sz w:val="24"/>
                <w:highlight w:val="none"/>
              </w:rPr>
              <w:t>检验有可能产生破坏性检测，</w:t>
            </w:r>
            <w:r>
              <w:rPr>
                <w:rFonts w:hint="eastAsia" w:ascii="宋体" w:hAnsi="宋体" w:cs="宋体"/>
                <w:color w:val="auto"/>
                <w:sz w:val="24"/>
                <w:highlight w:val="none"/>
              </w:rPr>
              <w:t>检测费用由中标供应商负责。</w:t>
            </w:r>
            <w:r>
              <w:rPr>
                <w:rFonts w:hint="eastAsia" w:ascii="宋体" w:hAnsi="宋体" w:cs="宋体" w:eastAsiaTheme="minorEastAsia"/>
                <w:color w:val="auto"/>
                <w:sz w:val="24"/>
                <w:highlight w:val="none"/>
              </w:rPr>
              <w:t>检验完后该产品封存，作为最终验收时参考标准。</w:t>
            </w:r>
            <w:r>
              <w:rPr>
                <w:rFonts w:hint="eastAsia" w:ascii="宋体" w:hAnsi="宋体" w:cs="宋体"/>
                <w:bCs/>
                <w:color w:val="auto"/>
                <w:sz w:val="24"/>
                <w:highlight w:val="none"/>
              </w:rPr>
              <w:t>如此次检验或最终验收不合格的，视为中标人违约，采购人有权单方面取消合同，并按相关规定扣除所有的履约保证金，并报政府采购监督管理部门依法追究违约责任。</w:t>
            </w:r>
          </w:p>
          <w:p w14:paraId="737D2DB9">
            <w:pPr>
              <w:numPr>
                <w:ilvl w:val="0"/>
                <w:numId w:val="0"/>
              </w:numPr>
              <w:wordWrap w:val="0"/>
              <w:topLinePunct/>
              <w:snapToGrid w:val="0"/>
              <w:rPr>
                <w:rFonts w:ascii="宋体" w:hAnsi="宋体" w:cs="宋体" w:eastAsiaTheme="minorEastAsia"/>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交货地点：</w:t>
            </w:r>
            <w:r>
              <w:rPr>
                <w:rFonts w:hint="eastAsia" w:ascii="宋体" w:hAnsi="宋体" w:cs="宋体"/>
                <w:color w:val="auto"/>
                <w:kern w:val="0"/>
                <w:sz w:val="24"/>
                <w:highlight w:val="none"/>
              </w:rPr>
              <w:t>广西财经学院武鸣校</w:t>
            </w:r>
            <w:r>
              <w:rPr>
                <w:rFonts w:hint="eastAsia" w:ascii="宋体" w:hAnsi="宋体" w:cs="宋体" w:eastAsiaTheme="minorEastAsia"/>
                <w:color w:val="auto"/>
                <w:sz w:val="24"/>
                <w:highlight w:val="none"/>
              </w:rPr>
              <w:t>区。</w:t>
            </w:r>
            <w:r>
              <w:rPr>
                <w:rFonts w:hint="eastAsia" w:ascii="宋体" w:hAnsi="宋体" w:cs="宋体" w:eastAsiaTheme="minorEastAsia"/>
                <w:color w:val="auto"/>
                <w:sz w:val="24"/>
                <w:highlight w:val="none"/>
              </w:rPr>
              <w:br w:type="textWrapping"/>
            </w:r>
            <w:r>
              <w:rPr>
                <w:rFonts w:hint="eastAsia" w:ascii="宋体" w:hAnsi="宋体" w:cs="宋体" w:eastAsiaTheme="minorEastAsia"/>
                <w:color w:val="auto"/>
                <w:sz w:val="24"/>
                <w:highlight w:val="none"/>
              </w:rPr>
              <w:t>4.交货方式：现场交货，安装由中标供应商负责（包括配件、工具、人员及费用），学校仅提供场地配合。安装完成后需通过承重测试、环保（如甲醛含量等）检测、稳定性检查等现场验收，因验收不通过造成的损失由供应商承担。</w:t>
            </w:r>
          </w:p>
          <w:p w14:paraId="3C91163F">
            <w:pPr>
              <w:wordWrap w:val="0"/>
              <w:topLinePunct/>
              <w:snapToGrid w:val="0"/>
              <w:rPr>
                <w:color w:val="auto"/>
                <w:highlight w:val="none"/>
              </w:rPr>
            </w:pPr>
            <w:r>
              <w:rPr>
                <w:rFonts w:hint="eastAsia" w:ascii="宋体" w:hAnsi="宋体" w:cs="宋体" w:eastAsiaTheme="minorEastAsia"/>
                <w:color w:val="auto"/>
                <w:sz w:val="24"/>
                <w:highlight w:val="none"/>
              </w:rPr>
              <w:t>5.此项目为紧急项目，</w:t>
            </w:r>
            <w:r>
              <w:rPr>
                <w:rFonts w:ascii="宋体" w:hAnsi="宋体" w:cs="宋体" w:eastAsiaTheme="minorEastAsia"/>
                <w:color w:val="auto"/>
                <w:sz w:val="24"/>
                <w:highlight w:val="none"/>
              </w:rPr>
              <w:t>首批交付家具数量达到</w:t>
            </w:r>
            <w:r>
              <w:rPr>
                <w:rFonts w:hint="eastAsia" w:ascii="宋体" w:hAnsi="宋体" w:cs="宋体" w:eastAsiaTheme="minorEastAsia"/>
                <w:color w:val="auto"/>
                <w:sz w:val="24"/>
                <w:highlight w:val="none"/>
              </w:rPr>
              <w:t>合同约定</w:t>
            </w:r>
            <w:r>
              <w:rPr>
                <w:rFonts w:ascii="宋体" w:hAnsi="宋体" w:cs="宋体" w:eastAsiaTheme="minorEastAsia"/>
                <w:color w:val="auto"/>
                <w:sz w:val="24"/>
                <w:highlight w:val="none"/>
              </w:rPr>
              <w:t>总量的50%</w:t>
            </w:r>
            <w:r>
              <w:rPr>
                <w:rFonts w:hint="eastAsia" w:ascii="宋体" w:hAnsi="宋体" w:cs="宋体" w:eastAsiaTheme="minorEastAsia"/>
                <w:color w:val="auto"/>
                <w:sz w:val="24"/>
                <w:highlight w:val="none"/>
              </w:rPr>
              <w:t>。并且，中标供应商必须保证自合同签订生效之日起30日内100%交货并安装调试完毕，否则，将承担相关违约责任。</w:t>
            </w:r>
          </w:p>
        </w:tc>
      </w:tr>
      <w:tr w14:paraId="504AA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EECF37E">
            <w:pPr>
              <w:widowControl/>
              <w:wordWrap w:val="0"/>
              <w:jc w:val="center"/>
              <w:textAlignment w:val="center"/>
              <w:rPr>
                <w:rFonts w:ascii="宋体" w:hAnsi="宋体" w:cs="宋体"/>
                <w:color w:val="auto"/>
                <w:sz w:val="24"/>
                <w:highlight w:val="none"/>
              </w:rPr>
            </w:pPr>
            <w:r>
              <w:rPr>
                <w:rFonts w:hint="eastAsia" w:ascii="宋体" w:hAnsi="宋体" w:cs="宋体"/>
                <w:color w:val="auto"/>
                <w:sz w:val="24"/>
                <w:highlight w:val="none"/>
              </w:rPr>
              <w:t>售后及服务要求</w:t>
            </w:r>
          </w:p>
        </w:tc>
        <w:tc>
          <w:tcPr>
            <w:tcW w:w="9910" w:type="dxa"/>
            <w:tcBorders>
              <w:top w:val="single" w:color="auto" w:sz="4" w:space="0"/>
              <w:left w:val="single" w:color="auto" w:sz="4" w:space="0"/>
              <w:bottom w:val="single" w:color="auto" w:sz="4" w:space="0"/>
              <w:right w:val="single" w:color="auto" w:sz="4" w:space="0"/>
            </w:tcBorders>
            <w:vAlign w:val="center"/>
          </w:tcPr>
          <w:p w14:paraId="2931F062">
            <w:pPr>
              <w:wordWrap w:val="0"/>
              <w:topLinePunct/>
              <w:snapToGrid w:val="0"/>
              <w:rPr>
                <w:rFonts w:ascii="宋体" w:hAnsi="宋体" w:cs="宋体"/>
                <w:color w:val="auto"/>
                <w:sz w:val="24"/>
                <w:highlight w:val="none"/>
              </w:rPr>
            </w:pPr>
            <w:r>
              <w:rPr>
                <w:rFonts w:hint="eastAsia" w:asciiTheme="minorEastAsia" w:hAnsiTheme="minorEastAsia" w:eastAsiaTheme="minorEastAsia" w:cstheme="minorEastAsia"/>
                <w:bCs/>
                <w:color w:val="auto"/>
                <w:sz w:val="24"/>
                <w:highlight w:val="none"/>
              </w:rPr>
              <w:t>1</w:t>
            </w:r>
            <w:r>
              <w:rPr>
                <w:rFonts w:hint="eastAsia" w:ascii="宋体" w:hAnsi="宋体" w:cs="宋体"/>
                <w:color w:val="auto"/>
                <w:sz w:val="24"/>
                <w:highlight w:val="none"/>
              </w:rPr>
              <w:t>.送货上门，按现场条件全程安装调试，直至最终验收前产生的所有费用由中标供应商承担。</w:t>
            </w:r>
          </w:p>
          <w:p w14:paraId="0D9C9989">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2.质量保证期：按国家有关产品“三包”规定执行“三包”。自验项目收合格之日起整个项目质量保证期不低于5年，质量保证期内免维修的所有费用，终身免维修人工费（每年肆次维修检查），应承诺质量保证期外的人工、配件及材料等所有费用按市场价的8折收取。</w:t>
            </w:r>
          </w:p>
          <w:p w14:paraId="3CE33226">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3.故障响应时间：质量保证期内，在接到故障通知后2小时内进行响应，4小时内到达现场免费维修，到达现场后4小时内修复。如4小时内无法修复的，全免费提供与原设备技术参数相同或高于原设备技术参数的备品、备件，以保证采购人的正常使用。</w:t>
            </w:r>
          </w:p>
          <w:p w14:paraId="642CD36D">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4.验收所需工具、器材由中标供应商自理；各项性能指标达到技术要求的，由供需双方共同签字认可，现场验收。</w:t>
            </w:r>
          </w:p>
          <w:p w14:paraId="1F9DC3FE">
            <w:pPr>
              <w:wordWrap w:val="0"/>
              <w:topLinePunct/>
              <w:snapToGrid w:val="0"/>
              <w:rPr>
                <w:rFonts w:ascii="宋体" w:hAnsi="宋体" w:cs="宋体" w:eastAsiaTheme="minorEastAsia"/>
                <w:color w:val="auto"/>
                <w:sz w:val="24"/>
                <w:highlight w:val="none"/>
              </w:rPr>
            </w:pPr>
            <w:r>
              <w:rPr>
                <w:rFonts w:hint="eastAsia" w:ascii="宋体" w:hAnsi="宋体" w:cs="宋体"/>
                <w:color w:val="auto"/>
                <w:sz w:val="24"/>
                <w:highlight w:val="none"/>
              </w:rPr>
              <w:t>5.供货产品为整体或板式安装结构，供货时不接受任何产品或原材料现场切割、焊接、加工、喷漆、胶粘等对现场环境产生负面影响的施工作业，否则不予验收，终止合同。</w:t>
            </w:r>
          </w:p>
        </w:tc>
      </w:tr>
      <w:tr w14:paraId="68D73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210A2BC">
            <w:pPr>
              <w:widowControl/>
              <w:wordWrap w:val="0"/>
              <w:spacing w:line="3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9910" w:type="dxa"/>
            <w:tcBorders>
              <w:top w:val="single" w:color="auto" w:sz="4" w:space="0"/>
              <w:left w:val="single" w:color="auto" w:sz="4" w:space="0"/>
              <w:bottom w:val="single" w:color="auto" w:sz="4" w:space="0"/>
              <w:right w:val="single" w:color="auto" w:sz="4" w:space="0"/>
            </w:tcBorders>
            <w:vAlign w:val="center"/>
          </w:tcPr>
          <w:p w14:paraId="0537E7C6">
            <w:pPr>
              <w:pStyle w:val="7"/>
              <w:spacing w:after="0" w:line="360" w:lineRule="exact"/>
              <w:rPr>
                <w:rFonts w:ascii="仿宋_GB2312" w:hAnsi="仿宋_GB2312" w:eastAsia="仿宋_GB2312" w:cs="仿宋_GB2312"/>
                <w:color w:val="auto"/>
                <w:spacing w:val="-4"/>
                <w:sz w:val="32"/>
                <w:szCs w:val="32"/>
                <w:highlight w:val="none"/>
              </w:rPr>
            </w:pPr>
            <w:bookmarkStart w:id="8" w:name="OLE_LINK4"/>
            <w:r>
              <w:rPr>
                <w:rFonts w:hint="eastAsia" w:ascii="宋体" w:hAnsi="宋体" w:cs="宋体"/>
                <w:color w:val="auto"/>
                <w:spacing w:val="-4"/>
                <w:sz w:val="24"/>
                <w:highlight w:val="none"/>
              </w:rPr>
              <w:t>双方签订合同后，中标供应商须向采购人提供合同价款30%的银行保函（保函有效期不少于1年。保函到期前，若项目未完成，中标供应商须在保函到期前提前1个月提交新的保函）及等额发票，采购人收到保函及发票后20个工作日内一次性支付30%的合同价款（其中，20%的合同价款为定金，10%的合同价款为预付款）；项目验收合格后，采购人收到等额发票及其他相关材料后20个工作日内一次性支付剩余合同价款。</w:t>
            </w:r>
            <w:bookmarkEnd w:id="8"/>
            <w:r>
              <w:rPr>
                <w:rFonts w:hint="eastAsia" w:ascii="宋体" w:hAnsi="宋体" w:cs="宋体"/>
                <w:color w:val="auto"/>
                <w:spacing w:val="-4"/>
                <w:sz w:val="24"/>
                <w:highlight w:val="none"/>
              </w:rPr>
              <w:t>（若采购数量与实际使用数量不一致时，中标供应商应根据实际使用量供货，合同的最终结算金额按实际使用量乘以成交单价进行据实计算。）</w:t>
            </w:r>
          </w:p>
        </w:tc>
      </w:tr>
      <w:tr w14:paraId="618C6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F18783C">
            <w:pPr>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9910" w:type="dxa"/>
            <w:tcBorders>
              <w:top w:val="single" w:color="auto" w:sz="4" w:space="0"/>
              <w:left w:val="single" w:color="auto" w:sz="4" w:space="0"/>
              <w:bottom w:val="single" w:color="auto" w:sz="4" w:space="0"/>
              <w:right w:val="single" w:color="auto" w:sz="4" w:space="0"/>
            </w:tcBorders>
            <w:vAlign w:val="center"/>
          </w:tcPr>
          <w:p w14:paraId="1804A068">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1.按本项目中标总金额的5%（如中标供应商为中小企业的，按本项目中标总金额的2%）收取；中标供应商在签订合同前交至指定账户。</w:t>
            </w:r>
          </w:p>
          <w:p w14:paraId="06F6AB1A">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2.履约保证金递交方式：支票、汇票、本票、网上银行或者银行、担保机构出具的保函等非现金形式。</w:t>
            </w:r>
          </w:p>
          <w:p w14:paraId="67A4917A">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履约保证金指定账户：</w:t>
            </w:r>
          </w:p>
          <w:p w14:paraId="655C812C">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开户名称：广西财经学院</w:t>
            </w:r>
          </w:p>
          <w:p w14:paraId="57A999B2">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开户银行：中国银行南宁明秀西路支行</w:t>
            </w:r>
          </w:p>
          <w:p w14:paraId="2F4DBF8C">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银行账号：611957485481</w:t>
            </w:r>
          </w:p>
          <w:p w14:paraId="741EB204">
            <w:pPr>
              <w:jc w:val="left"/>
              <w:rPr>
                <w:rFonts w:ascii="宋体" w:hAnsi="宋体" w:cs="宋体"/>
                <w:color w:val="auto"/>
                <w:sz w:val="24"/>
                <w:highlight w:val="none"/>
                <w:lang w:val="en"/>
              </w:rPr>
            </w:pPr>
            <w:r>
              <w:rPr>
                <w:rFonts w:hint="eastAsia" w:ascii="宋体" w:hAnsi="宋体" w:cs="宋体"/>
                <w:color w:val="auto"/>
                <w:sz w:val="24"/>
                <w:highlight w:val="none"/>
              </w:rPr>
              <w:t>3.履约保证金退付方式、时间及条件：中标供应商若不能完全履行合同，履约保证金不返还；中标供应商若完全履行合同，货物验收合格后，中标供应商向采购人递交退保申请函及凭履约保证金财务凭证，采购人按规定办理无息退还手续。</w:t>
            </w:r>
          </w:p>
        </w:tc>
      </w:tr>
      <w:tr w14:paraId="2A917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DF36C1D">
            <w:pPr>
              <w:spacing w:line="400" w:lineRule="exact"/>
              <w:jc w:val="center"/>
              <w:rPr>
                <w:rFonts w:ascii="宋体" w:hAnsi="宋体" w:cs="宋体"/>
                <w:color w:val="auto"/>
                <w:sz w:val="24"/>
                <w:highlight w:val="none"/>
              </w:rPr>
            </w:pPr>
            <w:r>
              <w:rPr>
                <w:rFonts w:hint="eastAsia" w:ascii="宋体" w:hAnsi="宋体"/>
                <w:color w:val="auto"/>
                <w:sz w:val="24"/>
                <w:highlight w:val="none"/>
              </w:rPr>
              <w:t>采购标的验收标准</w:t>
            </w:r>
          </w:p>
        </w:tc>
        <w:tc>
          <w:tcPr>
            <w:tcW w:w="9910" w:type="dxa"/>
            <w:tcBorders>
              <w:top w:val="single" w:color="auto" w:sz="4" w:space="0"/>
              <w:left w:val="single" w:color="auto" w:sz="4" w:space="0"/>
              <w:bottom w:val="single" w:color="auto" w:sz="4" w:space="0"/>
              <w:right w:val="single" w:color="auto" w:sz="4" w:space="0"/>
            </w:tcBorders>
            <w:vAlign w:val="center"/>
          </w:tcPr>
          <w:p w14:paraId="5C3478DF">
            <w:pPr>
              <w:adjustRightInd w:val="0"/>
              <w:snapToGrid w:val="0"/>
              <w:rPr>
                <w:rFonts w:ascii="宋体" w:hAnsi="宋体" w:cs="宋体"/>
                <w:color w:val="auto"/>
                <w:sz w:val="24"/>
                <w:highlight w:val="none"/>
              </w:rPr>
            </w:pPr>
            <w:r>
              <w:rPr>
                <w:rFonts w:hint="eastAsia" w:ascii="宋体" w:hAnsi="宋体" w:cs="宋体"/>
                <w:color w:val="auto"/>
                <w:sz w:val="24"/>
                <w:highlight w:val="none"/>
              </w:rPr>
              <w:t>1.所供产品的规格、数量符合招标文件供应商投标承诺及采购合同约定的要求。</w:t>
            </w:r>
          </w:p>
          <w:p w14:paraId="261FFC17">
            <w:pPr>
              <w:adjustRightInd w:val="0"/>
              <w:snapToGrid w:val="0"/>
              <w:rPr>
                <w:rFonts w:ascii="宋体" w:hAnsi="宋体" w:cs="宋体"/>
                <w:color w:val="auto"/>
                <w:sz w:val="24"/>
                <w:highlight w:val="none"/>
              </w:rPr>
            </w:pPr>
            <w:r>
              <w:rPr>
                <w:rFonts w:hint="eastAsia" w:ascii="宋体" w:hAnsi="宋体" w:cs="宋体"/>
                <w:color w:val="auto"/>
                <w:sz w:val="24"/>
                <w:highlight w:val="none"/>
              </w:rPr>
              <w:t>2.所供产品的材质、颜色符合招标文件供应商投标承诺及采购合同约定的要求。</w:t>
            </w:r>
            <w:r>
              <w:rPr>
                <w:rFonts w:hint="eastAsia" w:ascii="宋体" w:hAnsi="宋体" w:cs="宋体"/>
                <w:color w:val="auto"/>
                <w:spacing w:val="-4"/>
                <w:sz w:val="24"/>
                <w:highlight w:val="none"/>
              </w:rPr>
              <w:t>禁止使用颗粒板、密度板、刨花板等材质。</w:t>
            </w:r>
          </w:p>
          <w:p w14:paraId="5C47C247">
            <w:pPr>
              <w:adjustRightInd w:val="0"/>
              <w:snapToGrid w:val="0"/>
              <w:rPr>
                <w:rFonts w:ascii="宋体" w:hAnsi="宋体" w:cs="宋体"/>
                <w:color w:val="auto"/>
                <w:sz w:val="24"/>
                <w:highlight w:val="none"/>
              </w:rPr>
            </w:pPr>
            <w:r>
              <w:rPr>
                <w:rFonts w:hint="eastAsia" w:ascii="宋体" w:hAnsi="宋体" w:cs="宋体"/>
                <w:color w:val="auto"/>
                <w:sz w:val="24"/>
                <w:highlight w:val="none"/>
              </w:rPr>
              <w:t>3.所供产品的外观完好，无严重碰撞、五金件生锈等明显瑕疵。</w:t>
            </w:r>
          </w:p>
          <w:p w14:paraId="65A570EA">
            <w:pPr>
              <w:adjustRightInd w:val="0"/>
              <w:snapToGrid w:val="0"/>
              <w:rPr>
                <w:rFonts w:ascii="宋体" w:hAnsi="宋体" w:cs="宋体"/>
                <w:color w:val="auto"/>
                <w:sz w:val="24"/>
                <w:highlight w:val="none"/>
              </w:rPr>
            </w:pPr>
            <w:r>
              <w:rPr>
                <w:rFonts w:hint="eastAsia" w:ascii="宋体" w:hAnsi="宋体" w:cs="宋体"/>
                <w:color w:val="auto"/>
                <w:sz w:val="24"/>
                <w:highlight w:val="none"/>
              </w:rPr>
              <w:t>4.所供产品结构牢固，无安全隐患。</w:t>
            </w:r>
          </w:p>
          <w:p w14:paraId="0EBF104E">
            <w:pPr>
              <w:adjustRightInd w:val="0"/>
              <w:snapToGrid w:val="0"/>
              <w:rPr>
                <w:rFonts w:ascii="宋体" w:hAnsi="宋体" w:cs="宋体"/>
                <w:color w:val="auto"/>
                <w:sz w:val="24"/>
                <w:highlight w:val="none"/>
              </w:rPr>
            </w:pPr>
            <w:r>
              <w:rPr>
                <w:rFonts w:hint="eastAsia" w:ascii="宋体" w:hAnsi="宋体" w:cs="宋体"/>
                <w:color w:val="auto"/>
                <w:sz w:val="24"/>
                <w:highlight w:val="none"/>
              </w:rPr>
              <w:t xml:space="preserve">5.如有抽检要求的，检测结果符合招标文件供应商投标承诺及采购合同约定的要求。 </w:t>
            </w:r>
          </w:p>
          <w:p w14:paraId="7930E5B6">
            <w:pPr>
              <w:adjustRightInd w:val="0"/>
              <w:snapToGrid w:val="0"/>
              <w:rPr>
                <w:rFonts w:ascii="宋体" w:hAnsi="宋体" w:cs="宋体"/>
                <w:color w:val="auto"/>
                <w:sz w:val="24"/>
                <w:highlight w:val="none"/>
              </w:rPr>
            </w:pPr>
            <w:r>
              <w:rPr>
                <w:rFonts w:hint="eastAsia" w:ascii="宋体" w:hAnsi="宋体" w:cs="宋体"/>
                <w:color w:val="auto"/>
                <w:sz w:val="24"/>
                <w:highlight w:val="none"/>
              </w:rPr>
              <w:t>6.所有产品均运输至指定地点，并安装调试完毕。</w:t>
            </w:r>
          </w:p>
          <w:p w14:paraId="3FCA352A">
            <w:pPr>
              <w:adjustRightInd w:val="0"/>
              <w:snapToGrid w:val="0"/>
              <w:rPr>
                <w:rFonts w:ascii="宋体" w:hAnsi="宋体" w:cs="宋体"/>
                <w:color w:val="auto"/>
                <w:sz w:val="24"/>
                <w:highlight w:val="none"/>
              </w:rPr>
            </w:pPr>
            <w:r>
              <w:rPr>
                <w:rFonts w:hint="eastAsia" w:ascii="宋体" w:hAnsi="宋体" w:cs="宋体"/>
                <w:color w:val="auto"/>
                <w:sz w:val="24"/>
                <w:highlight w:val="none"/>
              </w:rPr>
              <w:t>7.招标文件供应商投标承诺及采购合同约定的附件、工具、技术资料等齐全；提供产品使用说明书、合格证明材料。</w:t>
            </w:r>
          </w:p>
          <w:p w14:paraId="19116ADE">
            <w:pPr>
              <w:adjustRightInd w:val="0"/>
              <w:snapToGrid w:val="0"/>
              <w:rPr>
                <w:rFonts w:ascii="宋体" w:hAnsi="宋体" w:cs="宋体"/>
                <w:color w:val="auto"/>
                <w:sz w:val="24"/>
                <w:highlight w:val="none"/>
              </w:rPr>
            </w:pPr>
            <w:r>
              <w:rPr>
                <w:rFonts w:hint="eastAsia" w:ascii="宋体" w:hAnsi="宋体" w:cs="宋体"/>
                <w:color w:val="auto"/>
                <w:sz w:val="24"/>
                <w:highlight w:val="none"/>
              </w:rPr>
              <w:t>8.中标供应商的投标样品将作为货物验收参照标本，中标供应商所提供的货物与投标样品必须一致，否则将视为验收不合格。另外，验收时如中标供应商所提供的产品与其投标时所响应的参数不一致或出现其它可能影响产品质量的问题时，采购人有权对交付的货物委托有资质的第三方检测机构进行抽样检验。如果所抽取的样品经检验合格的，采购人应将整批货物判定合格，对整批货物按合格品验收；如果所抽取的样品经检验不合格的，采购人应将整批货物判定为不合格产品，不予验收，采购人可同时向中标供应商提出直接或间接损失的赔偿。所产生的检验费、样品费由中标供应商承担。</w:t>
            </w:r>
          </w:p>
          <w:p w14:paraId="6FFCECD8">
            <w:pPr>
              <w:adjustRightInd w:val="0"/>
              <w:snapToGrid w:val="0"/>
              <w:rPr>
                <w:rFonts w:ascii="宋体" w:hAnsi="宋体" w:cs="宋体"/>
                <w:color w:val="auto"/>
                <w:sz w:val="24"/>
                <w:highlight w:val="none"/>
              </w:rPr>
            </w:pPr>
            <w:r>
              <w:rPr>
                <w:rFonts w:hint="eastAsia" w:ascii="宋体" w:hAnsi="宋体" w:cs="宋体"/>
                <w:color w:val="auto"/>
                <w:sz w:val="24"/>
                <w:highlight w:val="none"/>
              </w:rPr>
              <w:t>9.货物或服务技术参数与投标文件中响应表或证明材料一致，性能或指标达到规定的标准，否则，以实际货物或服务技术参数与投标文件响应表参数或证明材料比较，按如下情况处理：</w:t>
            </w:r>
          </w:p>
          <w:p w14:paraId="5EDDCB81">
            <w:pPr>
              <w:adjustRightInd w:val="0"/>
              <w:snapToGrid w:val="0"/>
              <w:rPr>
                <w:rFonts w:ascii="宋体" w:hAnsi="宋体" w:cs="宋体"/>
                <w:color w:val="auto"/>
                <w:sz w:val="24"/>
                <w:highlight w:val="none"/>
              </w:rPr>
            </w:pPr>
            <w:r>
              <w:rPr>
                <w:rFonts w:hint="eastAsia" w:ascii="宋体" w:hAnsi="宋体" w:cs="宋体"/>
                <w:color w:val="auto"/>
                <w:sz w:val="24"/>
                <w:highlight w:val="none"/>
              </w:rPr>
              <w:t>（1）供应商投标文件响应表或证明材料中满足或优于的技术参数，在验收时实际不满足技术参数要求的，视为供货商虚假应标，采购人有权终止合同拒收货物，并追究供应商责任，同时报财政部门备案。</w:t>
            </w:r>
          </w:p>
          <w:p w14:paraId="0F3722D5">
            <w:pPr>
              <w:adjustRightInd w:val="0"/>
              <w:snapToGrid w:val="0"/>
              <w:rPr>
                <w:rFonts w:ascii="宋体" w:hAnsi="宋体" w:cs="宋体"/>
                <w:color w:val="auto"/>
                <w:sz w:val="24"/>
                <w:highlight w:val="none"/>
              </w:rPr>
            </w:pPr>
            <w:r>
              <w:rPr>
                <w:rFonts w:hint="eastAsia" w:ascii="宋体" w:hAnsi="宋体" w:cs="宋体"/>
                <w:color w:val="auto"/>
                <w:sz w:val="24"/>
                <w:highlight w:val="none"/>
              </w:rPr>
              <w:t>（2）供应商投标文件响应表或证明材料中优于的技术参数，在验收时实际仅满足并未优于技术参数要求的，视为供货商虚假应标，采购人有权终止合同拒收货物，并追究供应商责任，同时报财政部门备案。</w:t>
            </w:r>
          </w:p>
          <w:p w14:paraId="6DFD1CE1">
            <w:pPr>
              <w:adjustRightInd w:val="0"/>
              <w:snapToGrid w:val="0"/>
              <w:rPr>
                <w:rFonts w:ascii="宋体" w:hAnsi="宋体" w:cs="宋体"/>
                <w:color w:val="auto"/>
                <w:sz w:val="24"/>
                <w:highlight w:val="none"/>
              </w:rPr>
            </w:pPr>
            <w:r>
              <w:rPr>
                <w:rFonts w:hint="eastAsia" w:ascii="宋体" w:hAnsi="宋体" w:cs="宋体"/>
                <w:color w:val="auto"/>
                <w:sz w:val="24"/>
                <w:highlight w:val="none"/>
              </w:rPr>
              <w:t>（3）供应商投标文件响应表或证明材料中满足的技术参数，在验收时实际优于技术参数的要求，以满足技术参数的要求验收。</w:t>
            </w:r>
          </w:p>
          <w:p w14:paraId="5C0B01D9">
            <w:pPr>
              <w:adjustRightInd w:val="0"/>
              <w:snapToGrid w:val="0"/>
              <w:rPr>
                <w:rFonts w:ascii="宋体" w:hAnsi="宋体" w:cs="宋体"/>
                <w:color w:val="auto"/>
                <w:sz w:val="24"/>
                <w:highlight w:val="none"/>
              </w:rPr>
            </w:pPr>
            <w:r>
              <w:rPr>
                <w:rFonts w:hint="eastAsia" w:ascii="宋体" w:hAnsi="宋体" w:cs="宋体"/>
                <w:color w:val="auto"/>
                <w:sz w:val="24"/>
                <w:highlight w:val="none"/>
              </w:rPr>
              <w:t>（4）实际货物与投标货物型号不一致的，验收时不论实际是优于还是满足技术参数的要求，采购人均有权拒收货物并终止合同。如影响货物或服务的使用、质量、档次及采购人需求的，还可视为供货商违约，追究供应商责任，同时报财政部门备案。</w:t>
            </w:r>
          </w:p>
          <w:p w14:paraId="1982F25A">
            <w:pPr>
              <w:adjustRightInd w:val="0"/>
              <w:snapToGrid w:val="0"/>
              <w:rPr>
                <w:rFonts w:ascii="宋体" w:hAnsi="宋体" w:cs="宋体"/>
                <w:color w:val="auto"/>
                <w:sz w:val="24"/>
                <w:highlight w:val="none"/>
              </w:rPr>
            </w:pPr>
            <w:r>
              <w:rPr>
                <w:rFonts w:hint="eastAsia" w:ascii="宋体" w:hAnsi="宋体" w:cs="宋体"/>
                <w:color w:val="auto"/>
                <w:sz w:val="24"/>
                <w:highlight w:val="none"/>
              </w:rPr>
              <w:t>10.货物安装完毕后，采购人有权按不低于教室总数5%的比例，随机抽取教室，对中标供应商所供产品进行环境检测（含甲醛检测），</w:t>
            </w:r>
            <w:r>
              <w:rPr>
                <w:rFonts w:hint="eastAsia" w:ascii="宋体" w:hAnsi="宋体" w:cs="宋体"/>
                <w:color w:val="auto"/>
                <w:sz w:val="24"/>
                <w:highlight w:val="none"/>
                <w:lang w:val="zh-CN"/>
              </w:rPr>
              <w:t>并提供环境检测报告，检测费用由中标人负责。</w:t>
            </w:r>
            <w:r>
              <w:rPr>
                <w:rFonts w:hint="eastAsia" w:ascii="宋体" w:hAnsi="宋体" w:cs="宋体"/>
                <w:color w:val="auto"/>
                <w:sz w:val="24"/>
                <w:highlight w:val="none"/>
              </w:rPr>
              <w:t>采购人从每种产品中随机抽取货物进行破坏性验收，聘请有资质的第三方检测机构进行验收检验，验收后中标供应商需提供产品现场检测报告（检测结果须符合招标文件招标项目采购需求及采购合同约定的要求，检测结果不合格的，不予验收，检测费用由中标供应商负责）。</w:t>
            </w:r>
          </w:p>
          <w:p w14:paraId="3FCA487D">
            <w:pPr>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11.动态进度监控：（1）发出中标通知书后，中标供应商向采购人提交生产、安装工作倒排工期表，以便采购人核定实际生产、安装情况是否落后于倒排工期表。（2）发出中标通知书后5日内，采购人有权到中标供应商的生产现场进行实地考察。（3）要求供应商每周提交生产进度清单（含照片或视频），并安排学校代表到产品生产线进行抽检，学校有权随时检查生产情况，供应商需配合提供原材料采购凭证。</w:t>
            </w:r>
          </w:p>
          <w:p w14:paraId="05DCBAB2">
            <w:pPr>
              <w:pStyle w:val="11"/>
              <w:spacing w:line="320" w:lineRule="exact"/>
              <w:rPr>
                <w:rFonts w:ascii="宋体" w:hAnsi="宋体" w:cs="宋体"/>
                <w:color w:val="auto"/>
                <w:sz w:val="24"/>
                <w:szCs w:val="24"/>
                <w:highlight w:val="none"/>
              </w:rPr>
            </w:pPr>
            <w:r>
              <w:rPr>
                <w:rFonts w:hint="eastAsia" w:ascii="宋体" w:cs="宋体"/>
                <w:color w:val="auto"/>
                <w:sz w:val="24"/>
                <w:highlight w:val="none"/>
              </w:rPr>
              <w:t>1</w:t>
            </w:r>
            <w:r>
              <w:rPr>
                <w:rFonts w:hint="eastAsia" w:ascii="宋体" w:hAnsi="宋体" w:cs="宋体"/>
                <w:color w:val="auto"/>
                <w:sz w:val="24"/>
                <w:szCs w:val="24"/>
                <w:highlight w:val="none"/>
              </w:rPr>
              <w:t>2.配套风险防控要求：</w:t>
            </w:r>
          </w:p>
          <w:p w14:paraId="034A12A3">
            <w:pPr>
              <w:pStyle w:val="11"/>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一是提前准备替代供应与应急方案，若供应商无法履约或实际生产、安装进度落后于倒排工期表规定的时间5天以内的，采购人有权要求中标供应商追赶工期；实际生产、安装进度落后倒排工期规定的时间10天及以上的，学校可紧急采购其他厂商产品或自行增派安装人员，所产生的费用由原中标供应商承担。</w:t>
            </w:r>
          </w:p>
          <w:p w14:paraId="4C55694A">
            <w:pPr>
              <w:pStyle w:val="11"/>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二是最小供货量保障，如“首批必须交付至少50%货物，否则视为根本违约，采购人有权终止合同”。</w:t>
            </w:r>
          </w:p>
          <w:p w14:paraId="638A0AA3">
            <w:pPr>
              <w:pStyle w:val="13"/>
              <w:spacing w:before="0" w:after="0"/>
              <w:ind w:firstLine="0" w:firstLineChars="0"/>
              <w:rPr>
                <w:color w:val="auto"/>
                <w:highlight w:val="none"/>
              </w:rPr>
            </w:pPr>
            <w:r>
              <w:rPr>
                <w:rFonts w:hint="eastAsia" w:ascii="宋体" w:eastAsia="宋体" w:cs="宋体"/>
                <w:color w:val="auto"/>
                <w:sz w:val="24"/>
                <w:szCs w:val="24"/>
                <w:highlight w:val="none"/>
              </w:rPr>
              <w:t>三是限缩解释不可抗力的范围，排除“供应链延迟”“原材料涨价”“追赶工期产生的费用”等商业风险。</w:t>
            </w:r>
          </w:p>
        </w:tc>
      </w:tr>
      <w:tr w14:paraId="01836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11D0E2F">
            <w:pPr>
              <w:snapToGrid w:val="0"/>
              <w:rPr>
                <w:rFonts w:hint="eastAsia" w:ascii="宋体" w:hAnsi="宋体"/>
                <w:color w:val="auto"/>
                <w:sz w:val="24"/>
                <w:highlight w:val="none"/>
              </w:rPr>
            </w:pPr>
          </w:p>
          <w:p w14:paraId="335B0BC9">
            <w:pPr>
              <w:snapToGrid w:val="0"/>
              <w:rPr>
                <w:rFonts w:hint="eastAsia" w:ascii="宋体" w:hAnsi="宋体"/>
                <w:color w:val="auto"/>
                <w:sz w:val="24"/>
                <w:highlight w:val="none"/>
              </w:rPr>
            </w:pPr>
          </w:p>
          <w:p w14:paraId="58F9169C">
            <w:pPr>
              <w:snapToGrid w:val="0"/>
              <w:rPr>
                <w:rFonts w:hint="eastAsia" w:ascii="宋体" w:hAnsi="宋体"/>
                <w:color w:val="auto"/>
                <w:sz w:val="24"/>
                <w:highlight w:val="none"/>
              </w:rPr>
            </w:pPr>
          </w:p>
          <w:p w14:paraId="45D2A648">
            <w:pPr>
              <w:snapToGrid w:val="0"/>
              <w:rPr>
                <w:rFonts w:hint="eastAsia" w:ascii="宋体" w:hAnsi="宋体"/>
                <w:color w:val="auto"/>
                <w:sz w:val="24"/>
                <w:highlight w:val="none"/>
              </w:rPr>
            </w:pPr>
          </w:p>
          <w:p w14:paraId="00B97A5F">
            <w:pPr>
              <w:snapToGrid w:val="0"/>
              <w:rPr>
                <w:rFonts w:hint="eastAsia" w:ascii="宋体" w:hAnsi="宋体"/>
                <w:color w:val="auto"/>
                <w:sz w:val="24"/>
                <w:highlight w:val="none"/>
              </w:rPr>
            </w:pPr>
            <w:r>
              <w:rPr>
                <w:rFonts w:hint="eastAsia" w:ascii="宋体" w:hAnsi="宋体"/>
                <w:color w:val="auto"/>
                <w:sz w:val="24"/>
                <w:highlight w:val="none"/>
              </w:rPr>
              <w:t>违约责任</w:t>
            </w:r>
          </w:p>
          <w:p w14:paraId="6ED1C7C5">
            <w:pPr>
              <w:snapToGrid w:val="0"/>
              <w:rPr>
                <w:rFonts w:hint="eastAsia" w:ascii="宋体" w:hAnsi="宋体"/>
                <w:color w:val="auto"/>
                <w:sz w:val="24"/>
                <w:highlight w:val="none"/>
              </w:rPr>
            </w:pPr>
          </w:p>
          <w:p w14:paraId="5902885D">
            <w:pPr>
              <w:snapToGrid w:val="0"/>
              <w:rPr>
                <w:rFonts w:hint="eastAsia" w:ascii="宋体" w:hAnsi="宋体"/>
                <w:color w:val="auto"/>
                <w:sz w:val="24"/>
                <w:highlight w:val="none"/>
              </w:rPr>
            </w:pPr>
          </w:p>
          <w:p w14:paraId="4A77F2D8">
            <w:pPr>
              <w:snapToGrid w:val="0"/>
              <w:rPr>
                <w:rFonts w:hint="eastAsia" w:ascii="宋体" w:hAnsi="宋体"/>
                <w:color w:val="auto"/>
                <w:sz w:val="24"/>
                <w:highlight w:val="none"/>
              </w:rPr>
            </w:pPr>
          </w:p>
          <w:p w14:paraId="35EEA11A">
            <w:pPr>
              <w:snapToGrid w:val="0"/>
              <w:rPr>
                <w:rFonts w:hint="eastAsia" w:ascii="宋体" w:hAnsi="宋体"/>
                <w:color w:val="auto"/>
                <w:sz w:val="24"/>
                <w:highlight w:val="none"/>
              </w:rPr>
            </w:pPr>
          </w:p>
          <w:p w14:paraId="4AE532E3">
            <w:pPr>
              <w:snapToGrid w:val="0"/>
              <w:rPr>
                <w:rFonts w:hint="eastAsia" w:ascii="宋体" w:hAnsi="宋体"/>
                <w:color w:val="auto"/>
                <w:sz w:val="24"/>
                <w:highlight w:val="none"/>
              </w:rPr>
            </w:pPr>
          </w:p>
        </w:tc>
        <w:tc>
          <w:tcPr>
            <w:tcW w:w="9910" w:type="dxa"/>
            <w:tcBorders>
              <w:top w:val="single" w:color="auto" w:sz="4" w:space="0"/>
              <w:left w:val="single" w:color="auto" w:sz="4" w:space="0"/>
              <w:bottom w:val="single" w:color="auto" w:sz="4" w:space="0"/>
              <w:right w:val="single" w:color="auto" w:sz="4" w:space="0"/>
            </w:tcBorders>
            <w:vAlign w:val="center"/>
          </w:tcPr>
          <w:p w14:paraId="20010A72">
            <w:pPr>
              <w:snapToGrid w:val="0"/>
              <w:rPr>
                <w:rFonts w:hint="eastAsia" w:ascii="宋体" w:hAnsi="宋体"/>
                <w:color w:val="auto"/>
                <w:sz w:val="24"/>
                <w:highlight w:val="none"/>
              </w:rPr>
            </w:pPr>
            <w:r>
              <w:rPr>
                <w:rFonts w:hint="eastAsia" w:ascii="宋体" w:hAnsi="宋体"/>
                <w:color w:val="auto"/>
                <w:sz w:val="24"/>
                <w:highlight w:val="none"/>
              </w:rPr>
              <w:t>1.中标供应商所提供的家具规格、技术标准、材料等质量不合格的，应及时更换，更换不及时的按逾期交货处罚；因质量问题采购人不同意接收的或特殊情况采购人同意接收的，中标供应商应向采购人支付违约货款额10%违约金并赔偿采购人经济损失。</w:t>
            </w:r>
          </w:p>
          <w:p w14:paraId="3178DC1C">
            <w:pPr>
              <w:snapToGrid w:val="0"/>
              <w:rPr>
                <w:rFonts w:hint="eastAsia" w:ascii="宋体" w:hAnsi="宋体"/>
                <w:color w:val="auto"/>
                <w:sz w:val="24"/>
                <w:highlight w:val="none"/>
              </w:rPr>
            </w:pPr>
            <w:r>
              <w:rPr>
                <w:rFonts w:hint="eastAsia" w:ascii="宋体" w:hAnsi="宋体"/>
                <w:color w:val="auto"/>
                <w:sz w:val="24"/>
                <w:highlight w:val="none"/>
              </w:rPr>
              <w:t>2.中标供应商提供的货物如侵犯第三方合法权益而引发的任何纠纷或诉讼，均由中标供应商负责交涉并承担全部责任并赔偿采购人经济损失。</w:t>
            </w:r>
          </w:p>
          <w:p w14:paraId="30F15C51">
            <w:pPr>
              <w:snapToGrid w:val="0"/>
              <w:rPr>
                <w:rFonts w:hint="eastAsia" w:ascii="宋体" w:hAnsi="宋体"/>
                <w:color w:val="auto"/>
                <w:sz w:val="24"/>
                <w:highlight w:val="none"/>
              </w:rPr>
            </w:pPr>
            <w:r>
              <w:rPr>
                <w:rFonts w:hint="eastAsia" w:ascii="宋体" w:hAnsi="宋体"/>
                <w:color w:val="auto"/>
                <w:sz w:val="24"/>
                <w:highlight w:val="none"/>
              </w:rPr>
              <w:t>3.因包装、运输引起的货物损坏，按质量不合格处罚并赔偿采购人经济损失。</w:t>
            </w:r>
          </w:p>
          <w:p w14:paraId="63C4A6AC">
            <w:pPr>
              <w:snapToGrid w:val="0"/>
              <w:rPr>
                <w:rFonts w:hint="eastAsia" w:ascii="宋体" w:hAnsi="宋体"/>
                <w:color w:val="auto"/>
                <w:sz w:val="24"/>
                <w:highlight w:val="none"/>
              </w:rPr>
            </w:pPr>
            <w:r>
              <w:rPr>
                <w:rFonts w:hint="eastAsia" w:ascii="宋体" w:hAnsi="宋体"/>
                <w:color w:val="auto"/>
                <w:sz w:val="24"/>
                <w:highlight w:val="none"/>
              </w:rPr>
              <w:t>4.采购人无故延期接收货物、中标供应商逾期交货的，每天向对方偿付违约货款额</w:t>
            </w:r>
            <w:r>
              <w:rPr>
                <w:rFonts w:hint="eastAsia" w:ascii="宋体" w:hAnsi="宋体"/>
                <w:color w:val="auto"/>
                <w:sz w:val="24"/>
                <w:highlight w:val="none"/>
                <w:u w:val="single"/>
              </w:rPr>
              <w:t xml:space="preserve"> 3 </w:t>
            </w:r>
            <w:r>
              <w:rPr>
                <w:rFonts w:hint="eastAsia" w:ascii="宋体" w:hAnsi="宋体"/>
                <w:color w:val="auto"/>
                <w:sz w:val="24"/>
                <w:highlight w:val="none"/>
              </w:rPr>
              <w:t>‰违约金，超过</w:t>
            </w:r>
            <w:r>
              <w:rPr>
                <w:rFonts w:hint="eastAsia" w:ascii="宋体" w:hAnsi="宋体"/>
                <w:color w:val="auto"/>
                <w:sz w:val="24"/>
                <w:highlight w:val="none"/>
                <w:u w:val="single"/>
              </w:rPr>
              <w:t xml:space="preserve">  10  </w:t>
            </w:r>
            <w:r>
              <w:rPr>
                <w:rFonts w:hint="eastAsia" w:ascii="宋体" w:hAnsi="宋体"/>
                <w:color w:val="auto"/>
                <w:sz w:val="24"/>
                <w:highlight w:val="none"/>
              </w:rPr>
              <w:t>天对方有权解除合同，并要求对方偿付违约货款额</w:t>
            </w:r>
            <w:r>
              <w:rPr>
                <w:rFonts w:hint="eastAsia" w:ascii="宋体" w:hAnsi="宋体"/>
                <w:color w:val="auto"/>
                <w:sz w:val="24"/>
                <w:highlight w:val="none"/>
                <w:u w:val="single"/>
              </w:rPr>
              <w:t xml:space="preserve">  30  </w:t>
            </w:r>
            <w:r>
              <w:rPr>
                <w:rFonts w:hint="eastAsia" w:ascii="宋体" w:hAnsi="宋体"/>
                <w:color w:val="auto"/>
                <w:sz w:val="24"/>
                <w:highlight w:val="none"/>
              </w:rPr>
              <w:t>%，违约方承担因此给对方造成经济损失。</w:t>
            </w:r>
          </w:p>
          <w:p w14:paraId="480A6E4F">
            <w:pPr>
              <w:snapToGrid w:val="0"/>
              <w:rPr>
                <w:rFonts w:hint="eastAsia" w:ascii="宋体" w:hAnsi="宋体"/>
                <w:color w:val="auto"/>
                <w:sz w:val="24"/>
                <w:highlight w:val="none"/>
              </w:rPr>
            </w:pPr>
            <w:r>
              <w:rPr>
                <w:rFonts w:hint="eastAsia" w:ascii="宋体" w:hAnsi="宋体"/>
                <w:color w:val="auto"/>
                <w:sz w:val="24"/>
                <w:highlight w:val="none"/>
              </w:rPr>
              <w:t>5.因中标供应商原因导致验收不合格或不能按期履行合同的，采购人有权解除合同，除全额退款外另支付违约货款额30%违约金，另中标供应商采取如下补救措施包括但不限于：①配合学校消除舆情；②配合采购人安排相应受到此状况影响的学生入住酒店，由此产生的一切费用（住宿费、交通费等）将从中标供应商的货款中扣除，货款不足部分，由中标供应商补足；③根据实际情况从货款中扣减因延期交货给采购人带来的其他直接损失和间接损失，货款不足部分，由中标供应商补足。</w:t>
            </w:r>
          </w:p>
          <w:p w14:paraId="790A2D8B">
            <w:pPr>
              <w:snapToGrid w:val="0"/>
              <w:rPr>
                <w:rFonts w:hint="eastAsia" w:ascii="宋体" w:hAnsi="宋体"/>
                <w:color w:val="auto"/>
                <w:sz w:val="24"/>
                <w:highlight w:val="none"/>
              </w:rPr>
            </w:pPr>
            <w:r>
              <w:rPr>
                <w:rFonts w:hint="eastAsia" w:ascii="宋体" w:hAnsi="宋体"/>
                <w:color w:val="auto"/>
                <w:sz w:val="24"/>
                <w:highlight w:val="none"/>
              </w:rPr>
              <w:t>6.采购人延期付货款的，每天向中标供应商偿付延期货款额  3  ‰违约金，但违约金累计不得超过延期货款额 10 %。</w:t>
            </w:r>
          </w:p>
          <w:p w14:paraId="3454921C">
            <w:pPr>
              <w:snapToGrid w:val="0"/>
              <w:rPr>
                <w:rFonts w:hint="eastAsia" w:ascii="宋体" w:hAnsi="宋体"/>
                <w:color w:val="auto"/>
                <w:sz w:val="24"/>
                <w:highlight w:val="none"/>
              </w:rPr>
            </w:pPr>
            <w:r>
              <w:rPr>
                <w:rFonts w:hint="eastAsia" w:ascii="宋体" w:hAnsi="宋体"/>
                <w:color w:val="auto"/>
                <w:sz w:val="24"/>
                <w:highlight w:val="none"/>
              </w:rPr>
              <w:t>7.中标供应商未按本合同和响应文件中规定的服务承诺提供售后服务的，中标供应商应按本合同合计金额 10  %向甲方支付违约金。</w:t>
            </w:r>
          </w:p>
          <w:p w14:paraId="70E52DC9">
            <w:pPr>
              <w:snapToGrid w:val="0"/>
              <w:rPr>
                <w:rFonts w:hint="eastAsia" w:ascii="宋体" w:hAnsi="宋体"/>
                <w:color w:val="auto"/>
                <w:sz w:val="24"/>
                <w:highlight w:val="none"/>
              </w:rPr>
            </w:pPr>
            <w:r>
              <w:rPr>
                <w:rFonts w:hint="eastAsia" w:ascii="宋体" w:hAnsi="宋体"/>
                <w:color w:val="auto"/>
                <w:sz w:val="24"/>
                <w:highlight w:val="none"/>
              </w:rPr>
              <w:t>8.中标供应商提供的货物在质量保证期内，因设计、工艺或材料的缺陷和其它质量原因造成的问题，由中标供应商负责。因质量不达标，整改期间产生的仓储、人工等费用由供应商承担，严重问题（如甲醛超标）需全额退款并赔偿损失。</w:t>
            </w:r>
            <w:r>
              <w:rPr>
                <w:rFonts w:hint="eastAsia" w:ascii="宋体" w:hAnsi="宋体"/>
                <w:color w:val="auto"/>
                <w:sz w:val="24"/>
                <w:highlight w:val="none"/>
              </w:rPr>
              <w:br w:type="textWrapping"/>
            </w:r>
            <w:r>
              <w:rPr>
                <w:rFonts w:hint="eastAsia" w:ascii="宋体" w:hAnsi="宋体"/>
                <w:color w:val="auto"/>
                <w:sz w:val="24"/>
                <w:highlight w:val="none"/>
                <w:lang w:val="en-US" w:eastAsia="zh-CN"/>
              </w:rPr>
              <w:t>9</w:t>
            </w:r>
            <w:r>
              <w:rPr>
                <w:rFonts w:hint="eastAsia" w:ascii="宋体" w:hAnsi="宋体"/>
                <w:color w:val="auto"/>
                <w:sz w:val="24"/>
                <w:highlight w:val="none"/>
              </w:rPr>
              <w:t>.若因供应商原因导致师生进驻延迟，需按一定标准赔偿学校综合损失（如临时租赁费、教学调整费用）。</w:t>
            </w:r>
          </w:p>
          <w:p w14:paraId="17565BBB">
            <w:pPr>
              <w:snapToGrid w:val="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.其它违约行为按违约货款额  10 %收取违约金并赔偿经济损失。</w:t>
            </w:r>
          </w:p>
          <w:p w14:paraId="70F90ABE">
            <w:pPr>
              <w:snapToGrid w:val="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.中标人在投标活动中提供任何虚假材料，其投标无效，并报监管部门查处；中标后发现的，中标人须按照《政府采购法》相关规定赔偿采购人，且赔偿采购人因此造成的间接损失。</w:t>
            </w:r>
          </w:p>
        </w:tc>
      </w:tr>
      <w:tr w14:paraId="0383E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22F4A2A">
            <w:pPr>
              <w:widowControl/>
              <w:wordWrap w:val="0"/>
              <w:jc w:val="center"/>
              <w:textAlignment w:val="center"/>
              <w:rPr>
                <w:rFonts w:ascii="宋体" w:hAnsi="宋体" w:cs="宋体"/>
                <w:color w:val="auto"/>
                <w:sz w:val="24"/>
                <w:highlight w:val="none"/>
              </w:rPr>
            </w:pPr>
            <w:r>
              <w:rPr>
                <w:rFonts w:hint="eastAsia" w:ascii="宋体" w:hAnsi="宋体" w:cs="宋体"/>
                <w:color w:val="auto"/>
                <w:sz w:val="24"/>
                <w:highlight w:val="none"/>
              </w:rPr>
              <w:t>其他要求</w:t>
            </w:r>
          </w:p>
        </w:tc>
        <w:tc>
          <w:tcPr>
            <w:tcW w:w="9910" w:type="dxa"/>
            <w:tcBorders>
              <w:top w:val="single" w:color="auto" w:sz="4" w:space="0"/>
              <w:left w:val="single" w:color="auto" w:sz="4" w:space="0"/>
              <w:bottom w:val="single" w:color="auto" w:sz="4" w:space="0"/>
              <w:right w:val="single" w:color="auto" w:sz="4" w:space="0"/>
            </w:tcBorders>
          </w:tcPr>
          <w:p w14:paraId="68F5A661">
            <w:pPr>
              <w:widowControl/>
              <w:shd w:val="clear" w:color="auto" w:fill="FFFFFF"/>
              <w:jc w:val="left"/>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本项目不接受进口产品（即通过中国海关报关验放进入中国境内且产自关境外的产品）参与投标，如有此类产品参与投标的做投标无效处理。</w:t>
            </w:r>
          </w:p>
          <w:p w14:paraId="008B5117">
            <w:pPr>
              <w:widowControl/>
              <w:shd w:val="clear" w:color="auto" w:fill="FFFFFF"/>
              <w:jc w:val="left"/>
              <w:rPr>
                <w:rFonts w:ascii="宋体" w:hAnsi="宋体" w:cs="宋体"/>
                <w:color w:val="auto"/>
                <w:sz w:val="24"/>
                <w:highlight w:val="none"/>
                <w:lang w:val="zh-CN"/>
              </w:rPr>
            </w:pPr>
            <w:r>
              <w:rPr>
                <w:rFonts w:hint="eastAsia" w:ascii="宋体" w:hAnsi="宋体" w:cs="宋体"/>
                <w:color w:val="auto"/>
                <w:sz w:val="24"/>
                <w:highlight w:val="none"/>
              </w:rPr>
              <w:t>2.产品的最终外形尺寸须根据实际布置进行调整，对有特殊的定制产品及修改的尺寸均包含在投标报价中，投标人在报价时应自行考虑，承诺不因定制或修改家具尺寸的因素而改变投标报价</w:t>
            </w:r>
            <w:r>
              <w:rPr>
                <w:rFonts w:hint="eastAsia" w:ascii="宋体" w:hAnsi="宋体" w:cs="宋体"/>
                <w:color w:val="auto"/>
                <w:sz w:val="24"/>
                <w:highlight w:val="none"/>
                <w:lang w:val="zh-CN"/>
              </w:rPr>
              <w:t>。</w:t>
            </w:r>
          </w:p>
          <w:p w14:paraId="50CF78E2">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lang w:val="zh-CN"/>
              </w:rPr>
              <w:t>3.</w:t>
            </w:r>
            <w:r>
              <w:rPr>
                <w:rFonts w:hint="eastAsia" w:ascii="宋体" w:hAnsi="宋体" w:cs="宋体"/>
                <w:color w:val="auto"/>
                <w:sz w:val="24"/>
                <w:highlight w:val="none"/>
              </w:rPr>
              <w:t>投标时提供项目产品设计方案（方案中要有“项号</w:t>
            </w:r>
            <w:r>
              <w:rPr>
                <w:rFonts w:ascii="宋体" w:hAnsi="宋体" w:cs="宋体"/>
                <w:color w:val="auto"/>
                <w:sz w:val="24"/>
                <w:highlight w:val="none"/>
              </w:rPr>
              <w:t>1</w:t>
            </w:r>
            <w:r>
              <w:rPr>
                <w:rFonts w:hint="eastAsia" w:ascii="宋体" w:hAnsi="宋体" w:cs="宋体"/>
                <w:color w:val="auto"/>
                <w:sz w:val="24"/>
                <w:highlight w:val="none"/>
              </w:rPr>
              <w:t>三连体（三人位）组合公寓床、项号</w:t>
            </w:r>
            <w:r>
              <w:rPr>
                <w:rFonts w:ascii="宋体" w:hAnsi="宋体" w:cs="宋体"/>
                <w:color w:val="auto"/>
                <w:sz w:val="24"/>
                <w:highlight w:val="none"/>
              </w:rPr>
              <w:t>2</w:t>
            </w:r>
            <w:r>
              <w:rPr>
                <w:rFonts w:hint="eastAsia" w:ascii="宋体" w:hAnsi="宋体" w:cs="宋体"/>
                <w:color w:val="auto"/>
                <w:sz w:val="24"/>
                <w:highlight w:val="none"/>
              </w:rPr>
              <w:t>单体公寓床、项号3无障碍组合公寓床、项号4公寓椅</w:t>
            </w:r>
            <w:r>
              <w:rPr>
                <w:rFonts w:ascii="宋体" w:hAnsi="宋体" w:cs="宋体"/>
                <w:color w:val="auto"/>
                <w:sz w:val="24"/>
                <w:highlight w:val="none"/>
              </w:rPr>
              <w:t>”设计产品结构图、产品效果图、产品部件图；产品部件图片及规格尺寸、产品使用功能描述等内容</w:t>
            </w:r>
            <w:r>
              <w:rPr>
                <w:rFonts w:hint="eastAsia" w:ascii="宋体" w:hAnsi="宋体" w:cs="宋体"/>
                <w:color w:val="auto"/>
                <w:sz w:val="24"/>
                <w:highlight w:val="none"/>
              </w:rPr>
              <w:t>）、项目实施安装方案和售后服务方案（方案中要有响应故障处理要求后到达现场修理解决的时长承诺，售后服务团队介绍、定期维护方案）。</w:t>
            </w:r>
          </w:p>
          <w:p w14:paraId="36CAE854">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rPr>
              <w:t>4.政策功能</w:t>
            </w:r>
          </w:p>
          <w:p w14:paraId="17F0918B">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14:paraId="4DB537DB">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p w14:paraId="55C16CB7">
            <w:pPr>
              <w:widowControl/>
              <w:shd w:val="clear" w:color="auto" w:fill="FFFFFF"/>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（3）中标</w:t>
            </w:r>
            <w:r>
              <w:rPr>
                <w:rFonts w:hint="eastAsia" w:asciiTheme="minorEastAsia" w:hAnsiTheme="minorEastAsia" w:eastAsiaTheme="minorEastAsia" w:cstheme="minorEastAsia"/>
                <w:color w:val="auto"/>
                <w:sz w:val="24"/>
                <w:highlight w:val="none"/>
                <w:lang w:val="zh-CN"/>
              </w:rPr>
              <w:t>供应商投标产品的配件（辅材）涉及节能认证、国家强制认证的，在验收时必须提供产品、配件的相关节能认证证书、国家强制认证证书，不能提供认证证书的采购人有权拒绝验收，由此产生的一切后果由中标供应商承担。</w:t>
            </w:r>
          </w:p>
          <w:p w14:paraId="48FD6DE5">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rPr>
              <w:t>5.供应商所提供的任何材料应当真实有效，如在评审过程中发现供应商在投标文件中提供任何虚假材料的，按投标无效处理，采购人有权报监管部门查处；中标后，采购人发现中标供应商在投标文件中提供任何虚假材料的，采购人有权单方面终止合同，采购人有权报监管部门查处，且中标供应商须依照《中华人民共和国消费者权益保护法》赔偿采购人，民事赔偿并不免除违法中标供应商的法律责任。</w:t>
            </w:r>
          </w:p>
          <w:p w14:paraId="7EB73A0E">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rPr>
              <w:t>6.投标时供应商</w:t>
            </w:r>
            <w:r>
              <w:rPr>
                <w:rFonts w:ascii="宋体" w:hAnsi="宋体" w:cs="宋体"/>
                <w:color w:val="auto"/>
                <w:sz w:val="24"/>
                <w:highlight w:val="none"/>
              </w:rPr>
              <w:t>提供财务能力证明文件（复印件加盖公章</w:t>
            </w:r>
            <w:r>
              <w:rPr>
                <w:rFonts w:hint="eastAsia" w:ascii="宋体" w:hAnsi="宋体" w:cs="宋体"/>
                <w:color w:val="auto"/>
                <w:sz w:val="24"/>
                <w:highlight w:val="none"/>
              </w:rPr>
              <w:t>）；</w:t>
            </w:r>
            <w:r>
              <w:rPr>
                <w:rFonts w:ascii="宋体" w:hAnsi="宋体" w:cs="宋体"/>
                <w:color w:val="auto"/>
                <w:sz w:val="24"/>
                <w:highlight w:val="none"/>
              </w:rPr>
              <w:t>具备履行合同所必需的设备维修能力</w:t>
            </w:r>
            <w:r>
              <w:rPr>
                <w:rFonts w:hint="eastAsia" w:ascii="宋体" w:hAnsi="宋体" w:cs="宋体"/>
                <w:color w:val="auto"/>
                <w:sz w:val="24"/>
                <w:highlight w:val="none"/>
              </w:rPr>
              <w:t>，</w:t>
            </w:r>
            <w:r>
              <w:rPr>
                <w:rFonts w:ascii="宋体" w:hAnsi="宋体" w:cs="宋体"/>
                <w:color w:val="auto"/>
                <w:sz w:val="24"/>
                <w:highlight w:val="none"/>
              </w:rPr>
              <w:t>2人及以上具备家具维修相关职业资格证书（如木工资质）及劳动合同</w:t>
            </w:r>
            <w:r>
              <w:rPr>
                <w:rFonts w:hint="eastAsia" w:ascii="宋体" w:hAnsi="宋体" w:cs="宋体"/>
                <w:color w:val="auto"/>
                <w:sz w:val="24"/>
                <w:highlight w:val="none"/>
              </w:rPr>
              <w:t>。</w:t>
            </w:r>
          </w:p>
          <w:p w14:paraId="3CBF7144">
            <w:pPr>
              <w:widowControl/>
              <w:shd w:val="clear" w:color="auto" w:fill="FFFFFF"/>
              <w:jc w:val="left"/>
              <w:rPr>
                <w:rFonts w:hint="eastAsia" w:ascii="宋体" w:hAnsi="宋体" w:cs="宋体"/>
                <w:color w:val="auto"/>
                <w:sz w:val="24"/>
                <w:highlight w:val="none"/>
              </w:rPr>
            </w:pPr>
            <w:r>
              <w:rPr>
                <w:rFonts w:hint="eastAsia" w:ascii="宋体" w:hAnsi="宋体" w:cs="宋体"/>
                <w:color w:val="auto"/>
                <w:sz w:val="24"/>
                <w:highlight w:val="none"/>
              </w:rPr>
              <w:t>7.投标时，投标人提供 2023年 1 月 1 日以来由具有检测资质的第三方检测机构出具的显示生产厂家成品挥发的有毒有害物质（甲醛释放量、苯、甲苯、二甲苯、总挥发性有机化合物（TVOC)、氨释放量）符合室内空气质量标准的检验报告复印件（生产厂家盖章，原件核查）。</w:t>
            </w:r>
          </w:p>
          <w:p w14:paraId="0A8978BF">
            <w:pPr>
              <w:widowControl/>
              <w:shd w:val="clear" w:color="auto" w:fill="FFFFFF"/>
              <w:jc w:val="left"/>
              <w:rPr>
                <w:color w:val="auto"/>
                <w:highlight w:val="none"/>
              </w:rPr>
            </w:pPr>
            <w:r>
              <w:rPr>
                <w:rFonts w:hint="eastAsia" w:ascii="宋体" w:hAnsi="宋体" w:cs="宋体"/>
                <w:color w:val="auto"/>
                <w:sz w:val="24"/>
                <w:highlight w:val="none"/>
              </w:rPr>
              <w:t>送检报告人可以是投标人，投标产品生产厂家，检验报告名字不一样但实质为同一种物品的,则视为相符。</w:t>
            </w:r>
          </w:p>
        </w:tc>
      </w:tr>
      <w:tr w14:paraId="4B07C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DDFEC48">
            <w:pPr>
              <w:jc w:val="center"/>
              <w:rPr>
                <w:rFonts w:ascii="宋体" w:hAnsi="宋体" w:cs="宋体"/>
                <w:color w:val="auto"/>
                <w:sz w:val="24"/>
                <w:highlight w:val="none"/>
              </w:rPr>
            </w:pPr>
            <w:r>
              <w:rPr>
                <w:rFonts w:hint="eastAsia" w:ascii="宋体" w:hAnsi="宋体" w:cs="宋体"/>
                <w:color w:val="auto"/>
                <w:sz w:val="24"/>
                <w:highlight w:val="none"/>
              </w:rPr>
              <w:t>投标样品</w:t>
            </w:r>
          </w:p>
        </w:tc>
        <w:tc>
          <w:tcPr>
            <w:tcW w:w="9910" w:type="dxa"/>
            <w:tcBorders>
              <w:top w:val="single" w:color="auto" w:sz="4" w:space="0"/>
              <w:left w:val="single" w:color="auto" w:sz="4" w:space="0"/>
              <w:bottom w:val="single" w:color="auto" w:sz="4" w:space="0"/>
              <w:right w:val="single" w:color="auto" w:sz="4" w:space="0"/>
            </w:tcBorders>
            <w:vAlign w:val="center"/>
          </w:tcPr>
          <w:tbl>
            <w:tblPr>
              <w:tblStyle w:val="21"/>
              <w:tblpPr w:leftFromText="180" w:rightFromText="180" w:vertAnchor="text" w:horzAnchor="page" w:tblpX="820" w:tblpY="-4358"/>
              <w:tblOverlap w:val="never"/>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08"/>
              <w:gridCol w:w="2090"/>
              <w:gridCol w:w="1008"/>
              <w:gridCol w:w="2614"/>
              <w:gridCol w:w="2136"/>
            </w:tblGrid>
            <w:tr w14:paraId="5496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64" w:type="dxa"/>
                  <w:gridSpan w:val="6"/>
                  <w:shd w:val="clear" w:color="auto" w:fill="auto"/>
                  <w:vAlign w:val="center"/>
                </w:tcPr>
                <w:p w14:paraId="6220109A">
                  <w:pPr>
                    <w:rPr>
                      <w:color w:val="auto"/>
                      <w:highlight w:val="none"/>
                    </w:rPr>
                  </w:pPr>
                  <w:r>
                    <w:rPr>
                      <w:rFonts w:hint="eastAsia"/>
                      <w:color w:val="auto"/>
                      <w:sz w:val="24"/>
                      <w:highlight w:val="none"/>
                    </w:rPr>
                    <w:t>投标时请提供采购需求的小样：</w:t>
                  </w:r>
                </w:p>
              </w:tc>
            </w:tr>
            <w:tr w14:paraId="3460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3E055FE2">
                  <w:pPr>
                    <w:jc w:val="center"/>
                    <w:rPr>
                      <w:rFonts w:ascii="宋体" w:hAnsi="宋体" w:cs="宋体"/>
                      <w:color w:val="auto"/>
                      <w:sz w:val="24"/>
                      <w:highlight w:val="none"/>
                    </w:rPr>
                  </w:pPr>
                  <w:r>
                    <w:rPr>
                      <w:rFonts w:hint="eastAsia" w:ascii="宋体" w:hAnsi="宋体" w:cs="宋体"/>
                      <w:color w:val="auto"/>
                      <w:sz w:val="24"/>
                      <w:highlight w:val="none"/>
                    </w:rPr>
                    <w:t>项号</w:t>
                  </w:r>
                </w:p>
              </w:tc>
              <w:tc>
                <w:tcPr>
                  <w:tcW w:w="1008" w:type="dxa"/>
                  <w:shd w:val="clear" w:color="auto" w:fill="auto"/>
                  <w:vAlign w:val="center"/>
                </w:tcPr>
                <w:p w14:paraId="6F24CC22">
                  <w:pPr>
                    <w:jc w:val="center"/>
                    <w:rPr>
                      <w:rFonts w:ascii="宋体" w:hAnsi="宋体" w:cs="宋体"/>
                      <w:color w:val="auto"/>
                      <w:sz w:val="24"/>
                      <w:highlight w:val="none"/>
                    </w:rPr>
                  </w:pPr>
                  <w:r>
                    <w:rPr>
                      <w:rFonts w:hint="eastAsia" w:ascii="宋体" w:hAnsi="宋体" w:cs="宋体"/>
                      <w:color w:val="auto"/>
                      <w:sz w:val="24"/>
                      <w:highlight w:val="none"/>
                    </w:rPr>
                    <w:t>所属  产品</w:t>
                  </w:r>
                </w:p>
              </w:tc>
              <w:tc>
                <w:tcPr>
                  <w:tcW w:w="2090" w:type="dxa"/>
                  <w:shd w:val="clear" w:color="auto" w:fill="auto"/>
                  <w:vAlign w:val="center"/>
                </w:tcPr>
                <w:p w14:paraId="464CDE79">
                  <w:pPr>
                    <w:jc w:val="center"/>
                    <w:rPr>
                      <w:rFonts w:ascii="宋体" w:hAnsi="宋体" w:cs="宋体"/>
                      <w:color w:val="auto"/>
                      <w:sz w:val="24"/>
                      <w:highlight w:val="none"/>
                    </w:rPr>
                  </w:pPr>
                  <w:r>
                    <w:rPr>
                      <w:rFonts w:hint="eastAsia" w:ascii="宋体" w:hAnsi="宋体" w:cs="宋体"/>
                      <w:color w:val="auto"/>
                      <w:sz w:val="24"/>
                      <w:highlight w:val="none"/>
                    </w:rPr>
                    <w:t>小样名称</w:t>
                  </w:r>
                </w:p>
              </w:tc>
              <w:tc>
                <w:tcPr>
                  <w:tcW w:w="1008" w:type="dxa"/>
                  <w:shd w:val="clear" w:color="auto" w:fill="auto"/>
                  <w:vAlign w:val="center"/>
                </w:tcPr>
                <w:p w14:paraId="6CE42AA3">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2614" w:type="dxa"/>
                  <w:shd w:val="clear" w:color="auto" w:fill="auto"/>
                  <w:vAlign w:val="center"/>
                </w:tcPr>
                <w:p w14:paraId="0E9C9D37">
                  <w:pPr>
                    <w:jc w:val="center"/>
                    <w:rPr>
                      <w:rFonts w:ascii="宋体" w:hAnsi="宋体" w:cs="宋体"/>
                      <w:color w:val="auto"/>
                      <w:sz w:val="24"/>
                      <w:highlight w:val="none"/>
                    </w:rPr>
                  </w:pPr>
                  <w:r>
                    <w:rPr>
                      <w:rFonts w:hint="eastAsia" w:ascii="宋体" w:hAnsi="宋体" w:cs="宋体"/>
                      <w:color w:val="auto"/>
                      <w:sz w:val="24"/>
                      <w:highlight w:val="none"/>
                    </w:rPr>
                    <w:t>参考规格</w:t>
                  </w:r>
                </w:p>
              </w:tc>
              <w:tc>
                <w:tcPr>
                  <w:tcW w:w="2136" w:type="dxa"/>
                  <w:shd w:val="clear" w:color="auto" w:fill="auto"/>
                  <w:vAlign w:val="center"/>
                </w:tcPr>
                <w:p w14:paraId="7EAEC2C8">
                  <w:pPr>
                    <w:jc w:val="center"/>
                    <w:rPr>
                      <w:rFonts w:ascii="宋体" w:hAnsi="宋体" w:cs="宋体"/>
                      <w:color w:val="auto"/>
                      <w:sz w:val="24"/>
                      <w:highlight w:val="none"/>
                    </w:rPr>
                  </w:pPr>
                  <w:r>
                    <w:rPr>
                      <w:rFonts w:hint="eastAsia" w:ascii="宋体" w:hAnsi="宋体" w:cs="宋体"/>
                      <w:color w:val="auto"/>
                      <w:sz w:val="24"/>
                      <w:highlight w:val="none"/>
                    </w:rPr>
                    <w:t>备注说明</w:t>
                  </w:r>
                </w:p>
              </w:tc>
            </w:tr>
            <w:tr w14:paraId="58F3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73A8EF1C">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08" w:type="dxa"/>
                  <w:vMerge w:val="restart"/>
                  <w:shd w:val="clear" w:color="auto" w:fill="auto"/>
                  <w:vAlign w:val="center"/>
                </w:tcPr>
                <w:p w14:paraId="681C6D01">
                  <w:pPr>
                    <w:jc w:val="center"/>
                    <w:rPr>
                      <w:rFonts w:ascii="宋体" w:hAnsi="宋体" w:cs="宋体"/>
                      <w:color w:val="auto"/>
                      <w:sz w:val="24"/>
                      <w:highlight w:val="none"/>
                    </w:rPr>
                  </w:pPr>
                  <w:r>
                    <w:rPr>
                      <w:rFonts w:hint="eastAsia" w:ascii="宋体" w:hAnsi="宋体" w:cs="宋体"/>
                      <w:color w:val="auto"/>
                      <w:sz w:val="24"/>
                      <w:highlight w:val="none"/>
                    </w:rPr>
                    <w:t>三连体（三人位）组合公寓床</w:t>
                  </w:r>
                </w:p>
              </w:tc>
              <w:tc>
                <w:tcPr>
                  <w:tcW w:w="2090" w:type="dxa"/>
                  <w:shd w:val="clear" w:color="auto" w:fill="auto"/>
                  <w:vAlign w:val="center"/>
                </w:tcPr>
                <w:p w14:paraId="48FAA8E9">
                  <w:pPr>
                    <w:jc w:val="center"/>
                    <w:rPr>
                      <w:rFonts w:ascii="宋体" w:hAnsi="宋体" w:cs="宋体"/>
                      <w:color w:val="auto"/>
                      <w:sz w:val="24"/>
                      <w:highlight w:val="none"/>
                    </w:rPr>
                  </w:pPr>
                  <w:r>
                    <w:rPr>
                      <w:rFonts w:hint="eastAsia" w:ascii="宋体" w:hAnsi="宋体" w:cs="宋体"/>
                      <w:color w:val="auto"/>
                      <w:sz w:val="24"/>
                      <w:highlight w:val="none"/>
                    </w:rPr>
                    <w:t>边立柱(含脚套)</w:t>
                  </w:r>
                </w:p>
              </w:tc>
              <w:tc>
                <w:tcPr>
                  <w:tcW w:w="1008" w:type="dxa"/>
                  <w:shd w:val="clear" w:color="auto" w:fill="auto"/>
                  <w:vAlign w:val="center"/>
                </w:tcPr>
                <w:p w14:paraId="11391B81">
                  <w:pPr>
                    <w:jc w:val="center"/>
                    <w:rPr>
                      <w:rFonts w:ascii="宋体" w:hAnsi="宋体" w:cs="宋体"/>
                      <w:color w:val="auto"/>
                      <w:sz w:val="24"/>
                      <w:highlight w:val="none"/>
                    </w:rPr>
                  </w:pPr>
                  <w:r>
                    <w:rPr>
                      <w:rFonts w:hint="eastAsia" w:ascii="宋体" w:hAnsi="宋体" w:cs="宋体"/>
                      <w:color w:val="auto"/>
                      <w:sz w:val="24"/>
                      <w:highlight w:val="none"/>
                    </w:rPr>
                    <w:t>2根</w:t>
                  </w:r>
                </w:p>
              </w:tc>
              <w:tc>
                <w:tcPr>
                  <w:tcW w:w="2614" w:type="dxa"/>
                  <w:shd w:val="clear" w:color="auto" w:fill="auto"/>
                  <w:vAlign w:val="center"/>
                </w:tcPr>
                <w:p w14:paraId="24966075">
                  <w:pPr>
                    <w:jc w:val="center"/>
                    <w:rPr>
                      <w:rFonts w:ascii="宋体" w:hAnsi="宋体" w:cs="宋体"/>
                      <w:color w:val="auto"/>
                      <w:sz w:val="24"/>
                      <w:highlight w:val="none"/>
                    </w:rPr>
                  </w:pPr>
                  <w:r>
                    <w:rPr>
                      <w:rFonts w:hint="eastAsia" w:ascii="宋体" w:hAnsi="宋体" w:cs="宋体"/>
                      <w:color w:val="auto"/>
                      <w:sz w:val="24"/>
                      <w:highlight w:val="none"/>
                    </w:rPr>
                    <w:t>长度约200mm</w:t>
                  </w:r>
                </w:p>
              </w:tc>
              <w:tc>
                <w:tcPr>
                  <w:tcW w:w="2136" w:type="dxa"/>
                  <w:shd w:val="clear" w:color="auto" w:fill="auto"/>
                  <w:vAlign w:val="center"/>
                </w:tcPr>
                <w:p w14:paraId="24655098">
                  <w:pPr>
                    <w:jc w:val="center"/>
                    <w:rPr>
                      <w:rFonts w:ascii="宋体" w:hAnsi="宋体" w:cs="宋体"/>
                      <w:color w:val="auto"/>
                      <w:sz w:val="24"/>
                      <w:highlight w:val="none"/>
                    </w:rPr>
                  </w:pPr>
                  <w:r>
                    <w:rPr>
                      <w:rFonts w:hint="eastAsia" w:ascii="宋体" w:hAnsi="宋体" w:cs="宋体"/>
                      <w:color w:val="auto"/>
                      <w:sz w:val="24"/>
                      <w:highlight w:val="none"/>
                    </w:rPr>
                    <w:t>一根裸管</w:t>
                  </w:r>
                </w:p>
                <w:p w14:paraId="30C0E5A4">
                  <w:pPr>
                    <w:jc w:val="center"/>
                    <w:rPr>
                      <w:rFonts w:ascii="宋体" w:hAnsi="宋体" w:cs="宋体"/>
                      <w:color w:val="auto"/>
                      <w:sz w:val="24"/>
                      <w:highlight w:val="none"/>
                    </w:rPr>
                  </w:pPr>
                  <w:r>
                    <w:rPr>
                      <w:rFonts w:hint="eastAsia" w:ascii="宋体" w:hAnsi="宋体" w:cs="宋体"/>
                      <w:color w:val="auto"/>
                      <w:sz w:val="24"/>
                      <w:highlight w:val="none"/>
                    </w:rPr>
                    <w:t>一根喷涂</w:t>
                  </w:r>
                </w:p>
              </w:tc>
            </w:tr>
            <w:tr w14:paraId="7B9E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7A87F010">
                  <w:pPr>
                    <w:jc w:val="center"/>
                    <w:rPr>
                      <w:rFonts w:ascii="宋体" w:hAnsi="宋体" w:cs="宋体"/>
                      <w:color w:val="auto"/>
                      <w:sz w:val="24"/>
                      <w:highlight w:val="none"/>
                    </w:rPr>
                  </w:pPr>
                  <w:r>
                    <w:rPr>
                      <w:rFonts w:hint="eastAsia" w:ascii="宋体" w:hAnsi="宋体" w:cs="宋体"/>
                      <w:color w:val="auto"/>
                      <w:sz w:val="24"/>
                      <w:highlight w:val="none"/>
                    </w:rPr>
                    <w:t>2</w:t>
                  </w:r>
                </w:p>
              </w:tc>
              <w:tc>
                <w:tcPr>
                  <w:tcW w:w="1008" w:type="dxa"/>
                  <w:vMerge w:val="continue"/>
                  <w:vAlign w:val="center"/>
                </w:tcPr>
                <w:p w14:paraId="50DDBAD0">
                  <w:pPr>
                    <w:widowControl/>
                    <w:jc w:val="center"/>
                    <w:rPr>
                      <w:rFonts w:ascii="宋体" w:hAnsi="宋体" w:cs="宋体"/>
                      <w:color w:val="auto"/>
                      <w:sz w:val="24"/>
                      <w:highlight w:val="none"/>
                    </w:rPr>
                  </w:pPr>
                </w:p>
              </w:tc>
              <w:tc>
                <w:tcPr>
                  <w:tcW w:w="2090" w:type="dxa"/>
                  <w:shd w:val="clear" w:color="auto" w:fill="auto"/>
                  <w:vAlign w:val="center"/>
                </w:tcPr>
                <w:p w14:paraId="1FDA0C10">
                  <w:pPr>
                    <w:jc w:val="center"/>
                    <w:rPr>
                      <w:rFonts w:ascii="宋体" w:hAnsi="宋体" w:cs="宋体"/>
                      <w:color w:val="auto"/>
                      <w:sz w:val="24"/>
                      <w:highlight w:val="none"/>
                    </w:rPr>
                  </w:pPr>
                  <w:r>
                    <w:rPr>
                      <w:rFonts w:hint="eastAsia" w:ascii="宋体" w:hAnsi="宋体" w:cs="宋体"/>
                      <w:color w:val="auto"/>
                      <w:sz w:val="24"/>
                      <w:highlight w:val="none"/>
                    </w:rPr>
                    <w:t>中立柱(含脚套)</w:t>
                  </w:r>
                </w:p>
              </w:tc>
              <w:tc>
                <w:tcPr>
                  <w:tcW w:w="1008" w:type="dxa"/>
                  <w:shd w:val="clear" w:color="auto" w:fill="auto"/>
                  <w:vAlign w:val="center"/>
                </w:tcPr>
                <w:p w14:paraId="27C8942B">
                  <w:pPr>
                    <w:jc w:val="center"/>
                    <w:rPr>
                      <w:rFonts w:ascii="宋体" w:hAnsi="宋体" w:cs="宋体"/>
                      <w:color w:val="auto"/>
                      <w:sz w:val="24"/>
                      <w:highlight w:val="none"/>
                    </w:rPr>
                  </w:pPr>
                  <w:r>
                    <w:rPr>
                      <w:rFonts w:hint="eastAsia" w:ascii="宋体" w:hAnsi="宋体" w:cs="宋体"/>
                      <w:color w:val="auto"/>
                      <w:sz w:val="24"/>
                      <w:highlight w:val="none"/>
                    </w:rPr>
                    <w:t>2根</w:t>
                  </w:r>
                </w:p>
              </w:tc>
              <w:tc>
                <w:tcPr>
                  <w:tcW w:w="2614" w:type="dxa"/>
                  <w:shd w:val="clear" w:color="auto" w:fill="auto"/>
                  <w:vAlign w:val="center"/>
                </w:tcPr>
                <w:p w14:paraId="5D565D15">
                  <w:pPr>
                    <w:jc w:val="center"/>
                    <w:rPr>
                      <w:rFonts w:ascii="宋体" w:hAnsi="宋体" w:cs="宋体"/>
                      <w:color w:val="auto"/>
                      <w:sz w:val="24"/>
                      <w:highlight w:val="none"/>
                    </w:rPr>
                  </w:pPr>
                  <w:r>
                    <w:rPr>
                      <w:rFonts w:hint="eastAsia" w:ascii="宋体" w:hAnsi="宋体" w:cs="宋体"/>
                      <w:color w:val="auto"/>
                      <w:sz w:val="24"/>
                      <w:highlight w:val="none"/>
                    </w:rPr>
                    <w:t>长度约200mm</w:t>
                  </w:r>
                </w:p>
              </w:tc>
              <w:tc>
                <w:tcPr>
                  <w:tcW w:w="2136" w:type="dxa"/>
                  <w:shd w:val="clear" w:color="auto" w:fill="auto"/>
                  <w:vAlign w:val="center"/>
                </w:tcPr>
                <w:p w14:paraId="75787459">
                  <w:pPr>
                    <w:jc w:val="center"/>
                    <w:rPr>
                      <w:rFonts w:ascii="宋体" w:hAnsi="宋体" w:cs="宋体"/>
                      <w:color w:val="auto"/>
                      <w:sz w:val="24"/>
                      <w:highlight w:val="none"/>
                    </w:rPr>
                  </w:pPr>
                  <w:r>
                    <w:rPr>
                      <w:rFonts w:hint="eastAsia" w:ascii="宋体" w:hAnsi="宋体" w:cs="宋体"/>
                      <w:color w:val="auto"/>
                      <w:sz w:val="24"/>
                      <w:highlight w:val="none"/>
                    </w:rPr>
                    <w:t>一根裸管</w:t>
                  </w:r>
                </w:p>
                <w:p w14:paraId="2DBACF58">
                  <w:pPr>
                    <w:jc w:val="center"/>
                    <w:rPr>
                      <w:rFonts w:ascii="宋体" w:hAnsi="宋体" w:cs="宋体"/>
                      <w:color w:val="auto"/>
                      <w:sz w:val="24"/>
                      <w:highlight w:val="none"/>
                    </w:rPr>
                  </w:pPr>
                  <w:r>
                    <w:rPr>
                      <w:rFonts w:hint="eastAsia" w:ascii="宋体" w:hAnsi="宋体" w:cs="宋体"/>
                      <w:color w:val="auto"/>
                      <w:sz w:val="24"/>
                      <w:highlight w:val="none"/>
                    </w:rPr>
                    <w:t>一根喷涂</w:t>
                  </w:r>
                </w:p>
              </w:tc>
            </w:tr>
            <w:tr w14:paraId="77CE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71F64805">
                  <w:pPr>
                    <w:jc w:val="center"/>
                    <w:rPr>
                      <w:rFonts w:ascii="宋体" w:hAnsi="宋体" w:cs="宋体"/>
                      <w:color w:val="auto"/>
                      <w:sz w:val="24"/>
                      <w:highlight w:val="none"/>
                    </w:rPr>
                  </w:pPr>
                  <w:r>
                    <w:rPr>
                      <w:rFonts w:hint="eastAsia" w:ascii="宋体" w:hAnsi="宋体" w:cs="宋体"/>
                      <w:color w:val="auto"/>
                      <w:sz w:val="24"/>
                      <w:highlight w:val="none"/>
                    </w:rPr>
                    <w:t>3</w:t>
                  </w:r>
                </w:p>
              </w:tc>
              <w:tc>
                <w:tcPr>
                  <w:tcW w:w="1008" w:type="dxa"/>
                  <w:vMerge w:val="continue"/>
                  <w:vAlign w:val="center"/>
                </w:tcPr>
                <w:p w14:paraId="03971FDE">
                  <w:pPr>
                    <w:widowControl/>
                    <w:jc w:val="center"/>
                    <w:rPr>
                      <w:rFonts w:ascii="宋体" w:hAnsi="宋体" w:cs="宋体"/>
                      <w:color w:val="auto"/>
                      <w:sz w:val="24"/>
                      <w:highlight w:val="none"/>
                    </w:rPr>
                  </w:pPr>
                </w:p>
              </w:tc>
              <w:tc>
                <w:tcPr>
                  <w:tcW w:w="2090" w:type="dxa"/>
                  <w:shd w:val="clear" w:color="auto" w:fill="auto"/>
                  <w:vAlign w:val="center"/>
                </w:tcPr>
                <w:p w14:paraId="616F226F">
                  <w:pPr>
                    <w:jc w:val="center"/>
                    <w:rPr>
                      <w:rFonts w:ascii="宋体" w:hAnsi="宋体" w:cs="宋体"/>
                      <w:color w:val="auto"/>
                      <w:sz w:val="24"/>
                      <w:highlight w:val="none"/>
                    </w:rPr>
                  </w:pPr>
                  <w:r>
                    <w:rPr>
                      <w:rFonts w:hint="eastAsia" w:ascii="宋体" w:hAnsi="宋体" w:cs="宋体"/>
                      <w:color w:val="auto"/>
                      <w:sz w:val="24"/>
                      <w:highlight w:val="none"/>
                    </w:rPr>
                    <w:t>床厅护栏</w:t>
                  </w:r>
                </w:p>
              </w:tc>
              <w:tc>
                <w:tcPr>
                  <w:tcW w:w="1008" w:type="dxa"/>
                  <w:shd w:val="clear" w:color="auto" w:fill="auto"/>
                  <w:vAlign w:val="center"/>
                </w:tcPr>
                <w:p w14:paraId="2CE4DDC6">
                  <w:pPr>
                    <w:jc w:val="center"/>
                    <w:rPr>
                      <w:rFonts w:ascii="宋体" w:hAnsi="宋体" w:cs="宋体"/>
                      <w:color w:val="auto"/>
                      <w:sz w:val="24"/>
                      <w:highlight w:val="none"/>
                    </w:rPr>
                  </w:pPr>
                  <w:r>
                    <w:rPr>
                      <w:rFonts w:hint="eastAsia" w:ascii="宋体" w:hAnsi="宋体" w:cs="宋体"/>
                      <w:color w:val="auto"/>
                      <w:sz w:val="24"/>
                      <w:highlight w:val="none"/>
                    </w:rPr>
                    <w:t>1根</w:t>
                  </w:r>
                </w:p>
              </w:tc>
              <w:tc>
                <w:tcPr>
                  <w:tcW w:w="2614" w:type="dxa"/>
                  <w:shd w:val="clear" w:color="auto" w:fill="auto"/>
                  <w:vAlign w:val="center"/>
                </w:tcPr>
                <w:p w14:paraId="11A69404">
                  <w:pPr>
                    <w:jc w:val="center"/>
                    <w:rPr>
                      <w:rFonts w:ascii="宋体" w:hAnsi="宋体" w:cs="宋体"/>
                      <w:color w:val="auto"/>
                      <w:sz w:val="24"/>
                      <w:highlight w:val="none"/>
                    </w:rPr>
                  </w:pPr>
                  <w:r>
                    <w:rPr>
                      <w:rFonts w:hint="eastAsia" w:ascii="宋体" w:hAnsi="宋体" w:cs="宋体"/>
                      <w:color w:val="auto"/>
                      <w:sz w:val="24"/>
                      <w:highlight w:val="none"/>
                    </w:rPr>
                    <w:t>长度约</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00mm</w:t>
                  </w:r>
                </w:p>
              </w:tc>
              <w:tc>
                <w:tcPr>
                  <w:tcW w:w="2136" w:type="dxa"/>
                  <w:shd w:val="clear" w:color="auto" w:fill="auto"/>
                  <w:vAlign w:val="center"/>
                </w:tcPr>
                <w:p w14:paraId="50EAE8B9">
                  <w:pPr>
                    <w:jc w:val="center"/>
                    <w:rPr>
                      <w:rFonts w:ascii="宋体" w:hAnsi="宋体" w:cs="宋体"/>
                      <w:color w:val="auto"/>
                      <w:sz w:val="24"/>
                      <w:highlight w:val="none"/>
                    </w:rPr>
                  </w:pPr>
                  <w:r>
                    <w:rPr>
                      <w:rFonts w:hint="eastAsia" w:ascii="宋体" w:hAnsi="宋体" w:cs="宋体"/>
                      <w:color w:val="auto"/>
                      <w:sz w:val="24"/>
                      <w:highlight w:val="none"/>
                    </w:rPr>
                    <w:t>包含完整前护栏及床横梁，喷涂</w:t>
                  </w:r>
                </w:p>
              </w:tc>
            </w:tr>
            <w:tr w14:paraId="6F3A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6670FBE8">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08" w:type="dxa"/>
                  <w:vMerge w:val="continue"/>
                  <w:shd w:val="clear" w:color="auto" w:fill="auto"/>
                  <w:vAlign w:val="center"/>
                </w:tcPr>
                <w:p w14:paraId="6D3DFA87">
                  <w:pPr>
                    <w:jc w:val="center"/>
                    <w:rPr>
                      <w:rFonts w:ascii="宋体" w:hAnsi="宋体" w:cs="宋体"/>
                      <w:color w:val="auto"/>
                      <w:sz w:val="24"/>
                      <w:highlight w:val="none"/>
                    </w:rPr>
                  </w:pPr>
                </w:p>
              </w:tc>
              <w:tc>
                <w:tcPr>
                  <w:tcW w:w="2090" w:type="dxa"/>
                  <w:shd w:val="clear" w:color="auto" w:fill="auto"/>
                  <w:vAlign w:val="center"/>
                </w:tcPr>
                <w:p w14:paraId="7CAE8286">
                  <w:pPr>
                    <w:jc w:val="center"/>
                    <w:rPr>
                      <w:rFonts w:ascii="宋体" w:hAnsi="宋体" w:cs="宋体"/>
                      <w:color w:val="auto"/>
                      <w:sz w:val="24"/>
                      <w:highlight w:val="none"/>
                    </w:rPr>
                  </w:pPr>
                  <w:r>
                    <w:rPr>
                      <w:rFonts w:hint="eastAsia" w:ascii="宋体" w:hAnsi="宋体" w:cs="宋体"/>
                      <w:color w:val="auto"/>
                      <w:sz w:val="24"/>
                      <w:highlight w:val="none"/>
                    </w:rPr>
                    <w:t>爬梯踏板</w:t>
                  </w:r>
                </w:p>
              </w:tc>
              <w:tc>
                <w:tcPr>
                  <w:tcW w:w="1008" w:type="dxa"/>
                  <w:shd w:val="clear" w:color="auto" w:fill="auto"/>
                  <w:vAlign w:val="center"/>
                </w:tcPr>
                <w:p w14:paraId="12A7DA05">
                  <w:pPr>
                    <w:jc w:val="center"/>
                    <w:rPr>
                      <w:rFonts w:ascii="宋体" w:hAnsi="宋体" w:cs="宋体"/>
                      <w:color w:val="auto"/>
                      <w:sz w:val="24"/>
                      <w:highlight w:val="none"/>
                    </w:rPr>
                  </w:pPr>
                  <w:r>
                    <w:rPr>
                      <w:rFonts w:hint="eastAsia" w:ascii="宋体" w:hAnsi="宋体" w:cs="宋体"/>
                      <w:color w:val="auto"/>
                      <w:sz w:val="24"/>
                      <w:highlight w:val="none"/>
                    </w:rPr>
                    <w:t>1块</w:t>
                  </w:r>
                </w:p>
              </w:tc>
              <w:tc>
                <w:tcPr>
                  <w:tcW w:w="2614" w:type="dxa"/>
                  <w:shd w:val="clear" w:color="auto" w:fill="auto"/>
                  <w:vAlign w:val="center"/>
                </w:tcPr>
                <w:p w14:paraId="2EDAEDD9">
                  <w:pPr>
                    <w:jc w:val="center"/>
                    <w:rPr>
                      <w:rFonts w:ascii="宋体" w:hAnsi="宋体" w:cs="宋体"/>
                      <w:color w:val="auto"/>
                      <w:sz w:val="24"/>
                      <w:highlight w:val="none"/>
                    </w:rPr>
                  </w:pPr>
                  <w:r>
                    <w:rPr>
                      <w:rFonts w:hint="eastAsia" w:ascii="宋体" w:hAnsi="宋体" w:cs="宋体"/>
                      <w:color w:val="auto"/>
                      <w:sz w:val="24"/>
                      <w:highlight w:val="none"/>
                    </w:rPr>
                    <w:t>完整提供</w:t>
                  </w:r>
                </w:p>
              </w:tc>
              <w:tc>
                <w:tcPr>
                  <w:tcW w:w="2136" w:type="dxa"/>
                  <w:shd w:val="clear" w:color="auto" w:fill="auto"/>
                  <w:vAlign w:val="center"/>
                </w:tcPr>
                <w:p w14:paraId="3BA54A8F">
                  <w:pPr>
                    <w:jc w:val="center"/>
                    <w:rPr>
                      <w:rFonts w:ascii="宋体" w:hAnsi="宋体" w:cs="宋体"/>
                      <w:color w:val="auto"/>
                      <w:sz w:val="24"/>
                      <w:highlight w:val="none"/>
                    </w:rPr>
                  </w:pPr>
                  <w:r>
                    <w:rPr>
                      <w:rFonts w:hint="eastAsia" w:ascii="宋体" w:hAnsi="宋体" w:cs="宋体"/>
                      <w:color w:val="auto"/>
                      <w:sz w:val="24"/>
                      <w:highlight w:val="none"/>
                    </w:rPr>
                    <w:t>含夜光条</w:t>
                  </w:r>
                </w:p>
              </w:tc>
            </w:tr>
            <w:tr w14:paraId="7C1E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2FC7F86C">
                  <w:pPr>
                    <w:jc w:val="center"/>
                    <w:rPr>
                      <w:rFonts w:ascii="宋体" w:hAnsi="宋体" w:cs="宋体"/>
                      <w:color w:val="auto"/>
                      <w:sz w:val="24"/>
                      <w:highlight w:val="none"/>
                    </w:rPr>
                  </w:pPr>
                  <w:r>
                    <w:rPr>
                      <w:rFonts w:hint="eastAsia" w:ascii="宋体" w:hAnsi="宋体" w:cs="宋体"/>
                      <w:color w:val="auto"/>
                      <w:sz w:val="24"/>
                      <w:highlight w:val="none"/>
                    </w:rPr>
                    <w:t>5</w:t>
                  </w:r>
                </w:p>
              </w:tc>
              <w:tc>
                <w:tcPr>
                  <w:tcW w:w="1008" w:type="dxa"/>
                  <w:vMerge w:val="restart"/>
                  <w:shd w:val="clear" w:color="auto" w:fill="auto"/>
                  <w:vAlign w:val="center"/>
                </w:tcPr>
                <w:p w14:paraId="7E2C8320">
                  <w:pPr>
                    <w:jc w:val="center"/>
                    <w:rPr>
                      <w:rFonts w:ascii="宋体" w:hAnsi="宋体" w:cs="宋体"/>
                      <w:color w:val="auto"/>
                      <w:sz w:val="24"/>
                      <w:highlight w:val="none"/>
                    </w:rPr>
                  </w:pPr>
                  <w:r>
                    <w:rPr>
                      <w:rFonts w:hint="eastAsia" w:ascii="宋体" w:hAnsi="宋体" w:cs="宋体"/>
                      <w:color w:val="auto"/>
                      <w:sz w:val="24"/>
                      <w:highlight w:val="none"/>
                    </w:rPr>
                    <w:t>组合柜</w:t>
                  </w:r>
                </w:p>
              </w:tc>
              <w:tc>
                <w:tcPr>
                  <w:tcW w:w="2090" w:type="dxa"/>
                  <w:shd w:val="clear" w:color="auto" w:fill="auto"/>
                  <w:vAlign w:val="center"/>
                </w:tcPr>
                <w:p w14:paraId="1E9F5B97">
                  <w:pPr>
                    <w:jc w:val="center"/>
                    <w:rPr>
                      <w:rFonts w:ascii="宋体" w:hAnsi="宋体" w:cs="宋体"/>
                      <w:color w:val="auto"/>
                      <w:sz w:val="24"/>
                      <w:highlight w:val="none"/>
                    </w:rPr>
                  </w:pPr>
                  <w:r>
                    <w:rPr>
                      <w:rFonts w:hint="eastAsia" w:ascii="宋体" w:hAnsi="宋体" w:cs="宋体"/>
                      <w:color w:val="auto"/>
                      <w:sz w:val="24"/>
                      <w:highlight w:val="none"/>
                    </w:rPr>
                    <w:t>衣柜门板（带锁）</w:t>
                  </w:r>
                </w:p>
              </w:tc>
              <w:tc>
                <w:tcPr>
                  <w:tcW w:w="1008" w:type="dxa"/>
                  <w:shd w:val="clear" w:color="auto" w:fill="auto"/>
                  <w:vAlign w:val="center"/>
                </w:tcPr>
                <w:p w14:paraId="00957BC2">
                  <w:pPr>
                    <w:jc w:val="center"/>
                    <w:rPr>
                      <w:rFonts w:ascii="宋体" w:hAnsi="宋体" w:cs="宋体"/>
                      <w:color w:val="auto"/>
                      <w:sz w:val="24"/>
                      <w:highlight w:val="none"/>
                    </w:rPr>
                  </w:pPr>
                  <w:r>
                    <w:rPr>
                      <w:rFonts w:hint="eastAsia" w:ascii="宋体" w:hAnsi="宋体" w:cs="宋体"/>
                      <w:color w:val="auto"/>
                      <w:sz w:val="24"/>
                      <w:highlight w:val="none"/>
                    </w:rPr>
                    <w:t>1块</w:t>
                  </w:r>
                </w:p>
              </w:tc>
              <w:tc>
                <w:tcPr>
                  <w:tcW w:w="2614" w:type="dxa"/>
                  <w:shd w:val="clear" w:color="auto" w:fill="auto"/>
                  <w:vAlign w:val="center"/>
                </w:tcPr>
                <w:p w14:paraId="0AE974FD">
                  <w:pPr>
                    <w:jc w:val="center"/>
                    <w:rPr>
                      <w:rFonts w:ascii="宋体" w:hAnsi="宋体" w:cs="宋体"/>
                      <w:color w:val="auto"/>
                      <w:sz w:val="24"/>
                      <w:highlight w:val="none"/>
                    </w:rPr>
                  </w:pPr>
                  <w:r>
                    <w:rPr>
                      <w:rFonts w:hint="eastAsia" w:ascii="宋体" w:hAnsi="宋体" w:cs="宋体"/>
                      <w:color w:val="auto"/>
                      <w:sz w:val="24"/>
                      <w:highlight w:val="none"/>
                    </w:rPr>
                    <w:t>规格约400mm×400mm</w:t>
                  </w:r>
                </w:p>
              </w:tc>
              <w:tc>
                <w:tcPr>
                  <w:tcW w:w="2136" w:type="dxa"/>
                  <w:shd w:val="clear" w:color="auto" w:fill="auto"/>
                  <w:vAlign w:val="center"/>
                </w:tcPr>
                <w:p w14:paraId="7317328B">
                  <w:pPr>
                    <w:jc w:val="center"/>
                    <w:rPr>
                      <w:rFonts w:ascii="宋体" w:hAnsi="宋体" w:cs="宋体"/>
                      <w:color w:val="auto"/>
                      <w:sz w:val="24"/>
                      <w:highlight w:val="none"/>
                    </w:rPr>
                  </w:pPr>
                  <w:r>
                    <w:rPr>
                      <w:rFonts w:hint="eastAsia" w:ascii="宋体" w:hAnsi="宋体" w:cs="宋体"/>
                      <w:color w:val="auto"/>
                      <w:sz w:val="24"/>
                      <w:highlight w:val="none"/>
                    </w:rPr>
                    <w:t>喷涂</w:t>
                  </w:r>
                </w:p>
              </w:tc>
            </w:tr>
            <w:tr w14:paraId="386E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5A306B2A">
                  <w:pPr>
                    <w:jc w:val="center"/>
                    <w:rPr>
                      <w:rFonts w:ascii="宋体" w:hAnsi="宋体" w:cs="宋体"/>
                      <w:color w:val="auto"/>
                      <w:sz w:val="24"/>
                      <w:highlight w:val="none"/>
                    </w:rPr>
                  </w:pPr>
                  <w:r>
                    <w:rPr>
                      <w:rFonts w:hint="eastAsia" w:ascii="宋体" w:hAnsi="宋体" w:cs="宋体"/>
                      <w:color w:val="auto"/>
                      <w:sz w:val="24"/>
                      <w:highlight w:val="none"/>
                    </w:rPr>
                    <w:t>6</w:t>
                  </w:r>
                </w:p>
              </w:tc>
              <w:tc>
                <w:tcPr>
                  <w:tcW w:w="1008" w:type="dxa"/>
                  <w:vMerge w:val="continue"/>
                  <w:vAlign w:val="center"/>
                </w:tcPr>
                <w:p w14:paraId="60430BCE">
                  <w:pPr>
                    <w:widowControl/>
                    <w:jc w:val="center"/>
                    <w:rPr>
                      <w:rFonts w:ascii="宋体" w:hAnsi="宋体" w:cs="宋体"/>
                      <w:color w:val="auto"/>
                      <w:sz w:val="24"/>
                      <w:highlight w:val="none"/>
                    </w:rPr>
                  </w:pPr>
                </w:p>
              </w:tc>
              <w:tc>
                <w:tcPr>
                  <w:tcW w:w="2090" w:type="dxa"/>
                  <w:shd w:val="clear" w:color="auto" w:fill="auto"/>
                  <w:vAlign w:val="center"/>
                </w:tcPr>
                <w:p w14:paraId="4CD28EBE">
                  <w:pPr>
                    <w:jc w:val="center"/>
                    <w:rPr>
                      <w:rFonts w:ascii="宋体" w:hAnsi="宋体" w:cs="宋体"/>
                      <w:color w:val="auto"/>
                      <w:sz w:val="24"/>
                      <w:highlight w:val="none"/>
                    </w:rPr>
                  </w:pPr>
                  <w:r>
                    <w:rPr>
                      <w:rFonts w:hint="eastAsia" w:ascii="宋体" w:hAnsi="宋体" w:cs="宋体"/>
                      <w:color w:val="auto"/>
                      <w:sz w:val="24"/>
                      <w:highlight w:val="none"/>
                    </w:rPr>
                    <w:t>桌面板</w:t>
                  </w:r>
                </w:p>
              </w:tc>
              <w:tc>
                <w:tcPr>
                  <w:tcW w:w="1008" w:type="dxa"/>
                  <w:shd w:val="clear" w:color="auto" w:fill="auto"/>
                  <w:vAlign w:val="center"/>
                </w:tcPr>
                <w:p w14:paraId="4C729C14">
                  <w:pPr>
                    <w:jc w:val="center"/>
                    <w:rPr>
                      <w:rFonts w:ascii="宋体" w:hAnsi="宋体" w:cs="宋体"/>
                      <w:color w:val="auto"/>
                      <w:sz w:val="24"/>
                      <w:highlight w:val="none"/>
                    </w:rPr>
                  </w:pPr>
                  <w:r>
                    <w:rPr>
                      <w:rFonts w:hint="eastAsia" w:ascii="宋体" w:hAnsi="宋体" w:cs="宋体"/>
                      <w:color w:val="auto"/>
                      <w:sz w:val="24"/>
                      <w:highlight w:val="none"/>
                    </w:rPr>
                    <w:t>1块</w:t>
                  </w:r>
                </w:p>
              </w:tc>
              <w:tc>
                <w:tcPr>
                  <w:tcW w:w="2614" w:type="dxa"/>
                  <w:shd w:val="clear" w:color="auto" w:fill="auto"/>
                  <w:vAlign w:val="center"/>
                </w:tcPr>
                <w:p w14:paraId="4508CE10">
                  <w:pPr>
                    <w:jc w:val="center"/>
                    <w:rPr>
                      <w:rFonts w:ascii="宋体" w:hAnsi="宋体" w:cs="宋体"/>
                      <w:color w:val="auto"/>
                      <w:sz w:val="24"/>
                      <w:highlight w:val="none"/>
                    </w:rPr>
                  </w:pPr>
                  <w:r>
                    <w:rPr>
                      <w:rFonts w:hint="eastAsia" w:ascii="宋体" w:hAnsi="宋体" w:cs="宋体"/>
                      <w:color w:val="auto"/>
                      <w:sz w:val="24"/>
                      <w:highlight w:val="none"/>
                    </w:rPr>
                    <w:t>规格约200mm×200mm</w:t>
                  </w:r>
                </w:p>
              </w:tc>
              <w:tc>
                <w:tcPr>
                  <w:tcW w:w="2136" w:type="dxa"/>
                  <w:shd w:val="clear" w:color="auto" w:fill="auto"/>
                  <w:vAlign w:val="center"/>
                </w:tcPr>
                <w:p w14:paraId="40264BE3">
                  <w:pPr>
                    <w:jc w:val="center"/>
                    <w:rPr>
                      <w:rFonts w:ascii="宋体" w:hAnsi="宋体" w:cs="宋体"/>
                      <w:color w:val="auto"/>
                      <w:sz w:val="24"/>
                      <w:highlight w:val="none"/>
                    </w:rPr>
                  </w:pPr>
                  <w:r>
                    <w:rPr>
                      <w:rFonts w:hint="eastAsia" w:ascii="宋体" w:hAnsi="宋体" w:cs="宋体"/>
                      <w:color w:val="auto"/>
                      <w:sz w:val="24"/>
                      <w:highlight w:val="none"/>
                    </w:rPr>
                    <w:t>三面封边 ，一面裸露</w:t>
                  </w:r>
                </w:p>
              </w:tc>
            </w:tr>
            <w:tr w14:paraId="24B0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312B17C6">
                  <w:pPr>
                    <w:jc w:val="center"/>
                    <w:rPr>
                      <w:rFonts w:ascii="宋体" w:hAnsi="宋体" w:cs="宋体"/>
                      <w:color w:val="auto"/>
                      <w:sz w:val="24"/>
                      <w:highlight w:val="none"/>
                    </w:rPr>
                  </w:pPr>
                  <w:r>
                    <w:rPr>
                      <w:rFonts w:hint="eastAsia" w:ascii="宋体" w:hAnsi="宋体" w:cs="宋体"/>
                      <w:color w:val="auto"/>
                      <w:sz w:val="24"/>
                      <w:highlight w:val="none"/>
                    </w:rPr>
                    <w:t>7</w:t>
                  </w:r>
                </w:p>
              </w:tc>
              <w:tc>
                <w:tcPr>
                  <w:tcW w:w="1008" w:type="dxa"/>
                  <w:shd w:val="clear" w:color="auto" w:fill="auto"/>
                  <w:vAlign w:val="center"/>
                </w:tcPr>
                <w:p w14:paraId="1F3CA896">
                  <w:pPr>
                    <w:jc w:val="center"/>
                    <w:rPr>
                      <w:rFonts w:ascii="宋体" w:hAnsi="宋体" w:cs="宋体"/>
                      <w:color w:val="auto"/>
                      <w:sz w:val="24"/>
                      <w:highlight w:val="none"/>
                    </w:rPr>
                  </w:pPr>
                  <w:r>
                    <w:rPr>
                      <w:rFonts w:hint="eastAsia" w:ascii="宋体" w:hAnsi="宋体" w:cs="宋体"/>
                      <w:color w:val="auto"/>
                      <w:sz w:val="24"/>
                      <w:highlight w:val="none"/>
                    </w:rPr>
                    <w:t>公寓椅</w:t>
                  </w:r>
                </w:p>
              </w:tc>
              <w:tc>
                <w:tcPr>
                  <w:tcW w:w="2090" w:type="dxa"/>
                  <w:shd w:val="clear" w:color="auto" w:fill="auto"/>
                  <w:vAlign w:val="center"/>
                </w:tcPr>
                <w:p w14:paraId="54D60884">
                  <w:pPr>
                    <w:jc w:val="center"/>
                    <w:rPr>
                      <w:rFonts w:ascii="宋体" w:hAnsi="宋体" w:cs="宋体"/>
                      <w:color w:val="auto"/>
                      <w:sz w:val="24"/>
                      <w:highlight w:val="none"/>
                    </w:rPr>
                  </w:pPr>
                  <w:r>
                    <w:rPr>
                      <w:rFonts w:hint="eastAsia" w:ascii="宋体" w:hAnsi="宋体" w:cs="宋体"/>
                      <w:color w:val="auto"/>
                      <w:sz w:val="24"/>
                      <w:highlight w:val="none"/>
                    </w:rPr>
                    <w:t>座板</w:t>
                  </w:r>
                </w:p>
              </w:tc>
              <w:tc>
                <w:tcPr>
                  <w:tcW w:w="1008" w:type="dxa"/>
                  <w:shd w:val="clear" w:color="auto" w:fill="auto"/>
                  <w:vAlign w:val="center"/>
                </w:tcPr>
                <w:p w14:paraId="1873521C">
                  <w:pPr>
                    <w:jc w:val="center"/>
                    <w:rPr>
                      <w:rFonts w:ascii="宋体" w:hAnsi="宋体" w:cs="宋体"/>
                      <w:color w:val="auto"/>
                      <w:sz w:val="24"/>
                      <w:highlight w:val="none"/>
                    </w:rPr>
                  </w:pPr>
                  <w:r>
                    <w:rPr>
                      <w:rFonts w:hint="eastAsia" w:ascii="宋体" w:hAnsi="宋体" w:cs="宋体"/>
                      <w:color w:val="auto"/>
                      <w:sz w:val="24"/>
                      <w:highlight w:val="none"/>
                    </w:rPr>
                    <w:t>1张</w:t>
                  </w:r>
                </w:p>
              </w:tc>
              <w:tc>
                <w:tcPr>
                  <w:tcW w:w="2614" w:type="dxa"/>
                  <w:shd w:val="clear" w:color="auto" w:fill="auto"/>
                  <w:vAlign w:val="center"/>
                </w:tcPr>
                <w:p w14:paraId="78371E7F">
                  <w:pPr>
                    <w:jc w:val="center"/>
                    <w:rPr>
                      <w:rFonts w:ascii="宋体" w:hAnsi="宋体" w:cs="宋体"/>
                      <w:color w:val="auto"/>
                      <w:sz w:val="24"/>
                      <w:highlight w:val="none"/>
                    </w:rPr>
                  </w:pPr>
                  <w:r>
                    <w:rPr>
                      <w:rFonts w:hint="eastAsia" w:ascii="宋体" w:hAnsi="宋体" w:cs="宋体"/>
                      <w:color w:val="auto"/>
                      <w:sz w:val="24"/>
                      <w:highlight w:val="none"/>
                    </w:rPr>
                    <w:t>完整提供</w:t>
                  </w:r>
                </w:p>
              </w:tc>
              <w:tc>
                <w:tcPr>
                  <w:tcW w:w="2136" w:type="dxa"/>
                  <w:shd w:val="clear" w:color="auto" w:fill="auto"/>
                  <w:vAlign w:val="center"/>
                </w:tcPr>
                <w:p w14:paraId="2019B0EE">
                  <w:pPr>
                    <w:jc w:val="center"/>
                    <w:rPr>
                      <w:rFonts w:ascii="宋体" w:hAnsi="宋体" w:cs="宋体"/>
                      <w:color w:val="auto"/>
                      <w:sz w:val="24"/>
                      <w:highlight w:val="none"/>
                    </w:rPr>
                  </w:pPr>
                  <w:r>
                    <w:rPr>
                      <w:rFonts w:hint="eastAsia" w:ascii="宋体" w:hAnsi="宋体" w:cs="宋体"/>
                      <w:color w:val="auto"/>
                      <w:sz w:val="24"/>
                      <w:highlight w:val="none"/>
                    </w:rPr>
                    <w:t>/</w:t>
                  </w:r>
                </w:p>
              </w:tc>
            </w:tr>
          </w:tbl>
          <w:p w14:paraId="55AF9BD2">
            <w:pPr>
              <w:widowControl/>
              <w:jc w:val="left"/>
              <w:rPr>
                <w:rFonts w:ascii="宋体" w:hAnsi="宋体" w:cs="宋体"/>
                <w:b/>
                <w:color w:val="auto"/>
                <w:sz w:val="24"/>
                <w:highlight w:val="none"/>
              </w:rPr>
            </w:pPr>
            <w:r>
              <w:rPr>
                <w:rFonts w:hint="eastAsia" w:ascii="宋体" w:hAnsi="宋体" w:cs="宋体"/>
                <w:b/>
                <w:color w:val="auto"/>
                <w:sz w:val="24"/>
                <w:highlight w:val="none"/>
              </w:rPr>
              <w:t>备注：</w:t>
            </w:r>
          </w:p>
          <w:p w14:paraId="78A26806">
            <w:pPr>
              <w:adjustRightInd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（1）小样只是作为加分项，不作为投标必须要求；小样尺寸不作为评定要求，但对小样有具体制作要求的按要求提供。</w:t>
            </w:r>
          </w:p>
          <w:p w14:paraId="222C46D9">
            <w:pPr>
              <w:adjustRightInd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（2）小样递交： ①所有样品统一封装密封后随采购报价文件一并交给采购代理机构；②箱子（袋子）正面贴上投标人名称、项目名称和项目编号等信息的标签；③各小样不能出现任何厂家（公司）或投标品牌标识，如出现透露信息的标识，小样不得进行评定。④工作人员只负责按箱（袋）数接收样品；评标前由采购代理机构工作人员将对标签进行遮盖，评定小样时由采购代理机构工作人员及评委一起打开，待评定小样完毕后，再拆封投标人的标签。</w:t>
            </w:r>
          </w:p>
          <w:p w14:paraId="25E3F1E0">
            <w:pPr>
              <w:widowControl/>
              <w:jc w:val="left"/>
              <w:textAlignment w:val="center"/>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 xml:space="preserve"> (3) 中标供应商样品不退，作为验收依据之一。其余未中标的样品在接到本中心通知后两个工作日内予以退回，不及时领取样品所造成的损失，投标人自行承担。</w:t>
            </w:r>
          </w:p>
          <w:p w14:paraId="1FF4D1CE">
            <w:pPr>
              <w:adjustRightInd w:val="0"/>
              <w:rPr>
                <w:color w:val="auto"/>
                <w:sz w:val="24"/>
                <w:highlight w:val="none"/>
              </w:rPr>
            </w:pPr>
          </w:p>
        </w:tc>
      </w:tr>
      <w:tr w14:paraId="74F02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2" w:hRule="atLeast"/>
          <w:jc w:val="center"/>
        </w:trPr>
        <w:tc>
          <w:tcPr>
            <w:tcW w:w="10664" w:type="dxa"/>
            <w:gridSpan w:val="2"/>
            <w:tcBorders>
              <w:top w:val="single" w:color="auto" w:sz="4" w:space="0"/>
              <w:left w:val="single" w:color="auto" w:sz="4" w:space="0"/>
              <w:bottom w:val="single" w:color="auto" w:sz="4" w:space="0"/>
              <w:right w:val="single" w:color="auto" w:sz="4" w:space="0"/>
            </w:tcBorders>
            <w:vAlign w:val="center"/>
          </w:tcPr>
          <w:p w14:paraId="47EDEB02">
            <w:pPr>
              <w:pStyle w:val="11"/>
              <w:spacing w:line="420" w:lineRule="exact"/>
              <w:rPr>
                <w:color w:val="auto"/>
                <w:sz w:val="24"/>
                <w:highlight w:val="none"/>
              </w:rPr>
            </w:pPr>
            <w:r>
              <w:rPr>
                <w:rFonts w:hint="eastAsia" w:ascii="宋体" w:hAnsi="宋体" w:cs="宋体"/>
                <w:color w:val="auto"/>
                <w:sz w:val="24"/>
                <w:szCs w:val="24"/>
                <w:highlight w:val="none"/>
              </w:rPr>
              <w:t>现场考察：投标前，投标人可根据自身的情况决定是否参加采购人统一组织的现场考察。</w:t>
            </w:r>
            <w:r>
              <w:rPr>
                <w:rFonts w:hint="eastAsia" w:ascii="宋体" w:hAnsi="宋体"/>
                <w:color w:val="auto"/>
                <w:sz w:val="24"/>
                <w:szCs w:val="24"/>
                <w:highlight w:val="none"/>
              </w:rPr>
              <w:t>现场勘查须携带的资料：供应商代表持单位介绍信原件或法人授权委托书原件</w:t>
            </w:r>
            <w:r>
              <w:rPr>
                <w:rFonts w:hint="eastAsia" w:ascii="宋体" w:hAnsi="宋体" w:cs="宋体"/>
                <w:color w:val="auto"/>
                <w:sz w:val="24"/>
                <w:szCs w:val="24"/>
                <w:highlight w:val="none"/>
              </w:rPr>
              <w:t>、个人身份证原件，请自备安全帽。现场考察统一时间：2025年   月   日上午10点00分，</w:t>
            </w:r>
            <w:r>
              <w:rPr>
                <w:rFonts w:hint="eastAsia" w:ascii="宋体" w:hAnsi="宋体"/>
                <w:b/>
                <w:bCs/>
                <w:color w:val="auto"/>
                <w:sz w:val="24"/>
                <w:szCs w:val="24"/>
                <w:highlight w:val="none"/>
              </w:rPr>
              <w:t>超过10时00分的不予接待（以到达现场勘查集合地址为准），后果由供应商自行负责）</w:t>
            </w:r>
            <w:r>
              <w:rPr>
                <w:rFonts w:hint="eastAsia" w:ascii="宋体" w:hAnsi="宋体" w:cs="宋体"/>
                <w:color w:val="auto"/>
                <w:sz w:val="24"/>
                <w:szCs w:val="24"/>
                <w:highlight w:val="none"/>
              </w:rPr>
              <w:t>。集中地点：</w:t>
            </w:r>
            <w:r>
              <w:rPr>
                <w:rFonts w:hint="eastAsia" w:asciiTheme="minorEastAsia" w:hAnsiTheme="minorEastAsia" w:eastAsiaTheme="minorEastAsia" w:cstheme="minorEastAsia"/>
                <w:color w:val="auto"/>
                <w:sz w:val="24"/>
                <w:szCs w:val="24"/>
                <w:highlight w:val="none"/>
                <w:shd w:val="clear" w:color="auto" w:fill="FFFFFE"/>
              </w:rPr>
              <w:t>南宁市武鸣区红岭大道636号，广西财经学院武鸣校区</w:t>
            </w: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single"/>
              </w:rPr>
              <w:t>XXXXXX</w:t>
            </w:r>
            <w:r>
              <w:rPr>
                <w:rFonts w:hint="eastAsia" w:asciiTheme="minorEastAsia" w:hAnsiTheme="minorEastAsia" w:eastAsiaTheme="minorEastAsia" w:cstheme="minorEastAsia"/>
                <w:color w:val="auto"/>
                <w:sz w:val="24"/>
                <w:szCs w:val="24"/>
                <w:highlight w:val="none"/>
              </w:rPr>
              <w:t xml:space="preserve"> ，联系电话：XXXX。</w:t>
            </w:r>
            <w:r>
              <w:rPr>
                <w:rFonts w:hint="eastAsia" w:ascii="宋体" w:hAnsi="宋体"/>
                <w:color w:val="auto"/>
                <w:sz w:val="24"/>
                <w:szCs w:val="24"/>
                <w:highlight w:val="none"/>
              </w:rPr>
              <w:t>经实地考察后，因自身原因考察不详细而导致投标方案偏差、中标后不能履约等一切责任由供应商自行承担，采购人对投标人做出的任何推论、理解和结论均不负责任。</w:t>
            </w:r>
          </w:p>
        </w:tc>
      </w:tr>
    </w:tbl>
    <w:p w14:paraId="4D93B30A">
      <w:pPr>
        <w:pStyle w:val="2"/>
        <w:rPr>
          <w:rFonts w:ascii="黑体" w:hAnsi="黑体" w:eastAsia="黑体" w:cs="黑体"/>
          <w:b w:val="0"/>
          <w:bCs w:val="0"/>
          <w:color w:val="auto"/>
          <w:sz w:val="32"/>
          <w:szCs w:val="32"/>
          <w:highlight w:val="none"/>
        </w:rPr>
      </w:pPr>
      <w:bookmarkStart w:id="9" w:name="_Toc29666"/>
      <w:r>
        <w:rPr>
          <w:rFonts w:hint="eastAsia" w:ascii="黑体" w:hAnsi="黑体" w:eastAsia="黑体" w:cs="黑体"/>
          <w:b w:val="0"/>
          <w:bCs w:val="0"/>
          <w:color w:val="auto"/>
          <w:sz w:val="32"/>
          <w:szCs w:val="32"/>
          <w:highlight w:val="none"/>
        </w:rPr>
        <w:t>五、项目评审标准和评审办法</w:t>
      </w:r>
      <w:bookmarkEnd w:id="9"/>
    </w:p>
    <w:p w14:paraId="3E1F8EE8">
      <w:pPr>
        <w:pStyle w:val="9"/>
        <w:spacing w:line="360" w:lineRule="exact"/>
        <w:ind w:firstLine="607" w:firstLineChars="216"/>
        <w:rPr>
          <w:rFonts w:cs="宋体"/>
          <w:b/>
          <w:color w:val="auto"/>
          <w:sz w:val="28"/>
          <w:szCs w:val="28"/>
          <w:highlight w:val="none"/>
        </w:rPr>
      </w:pPr>
      <w:r>
        <w:rPr>
          <w:rFonts w:hint="eastAsia" w:cs="宋体"/>
          <w:b/>
          <w:color w:val="auto"/>
          <w:sz w:val="28"/>
          <w:szCs w:val="28"/>
          <w:highlight w:val="none"/>
        </w:rPr>
        <w:t>一、评标原则</w:t>
      </w:r>
    </w:p>
    <w:p w14:paraId="3DDEBA18">
      <w:pPr>
        <w:pStyle w:val="9"/>
        <w:spacing w:line="360" w:lineRule="exact"/>
        <w:ind w:firstLine="647" w:firstLineChars="230"/>
        <w:rPr>
          <w:rFonts w:cs="宋体"/>
          <w:bCs/>
          <w:color w:val="auto"/>
          <w:sz w:val="28"/>
          <w:szCs w:val="28"/>
          <w:highlight w:val="none"/>
        </w:rPr>
      </w:pPr>
      <w:r>
        <w:rPr>
          <w:rFonts w:hint="eastAsia" w:cs="宋体"/>
          <w:b/>
          <w:color w:val="auto"/>
          <w:sz w:val="28"/>
          <w:szCs w:val="28"/>
          <w:highlight w:val="none"/>
        </w:rPr>
        <w:t>(一)评委组成：</w:t>
      </w:r>
      <w:r>
        <w:rPr>
          <w:rFonts w:hint="eastAsia" w:cs="宋体"/>
          <w:bCs/>
          <w:color w:val="auto"/>
          <w:sz w:val="28"/>
          <w:szCs w:val="28"/>
          <w:highlight w:val="none"/>
        </w:rPr>
        <w:t>本招标采购项目的</w:t>
      </w:r>
      <w:r>
        <w:rPr>
          <w:rFonts w:hint="eastAsia" w:cs="宋体"/>
          <w:color w:val="auto"/>
          <w:spacing w:val="-4"/>
          <w:sz w:val="28"/>
          <w:szCs w:val="28"/>
          <w:highlight w:val="none"/>
        </w:rPr>
        <w:t>评标委员会由采购人代表和评审专家组成，</w:t>
      </w:r>
      <w:r>
        <w:rPr>
          <w:rFonts w:hint="eastAsia" w:cs="宋体"/>
          <w:color w:val="auto"/>
          <w:sz w:val="28"/>
          <w:szCs w:val="28"/>
          <w:highlight w:val="none"/>
        </w:rPr>
        <w:t>成员人数应当为五人或以上单数，其中，技术、经济等方面的专家不得少于成员总数的三分之二</w:t>
      </w:r>
      <w:r>
        <w:rPr>
          <w:rFonts w:hint="eastAsia" w:cs="宋体"/>
          <w:color w:val="auto"/>
          <w:spacing w:val="-4"/>
          <w:sz w:val="28"/>
          <w:szCs w:val="28"/>
          <w:highlight w:val="none"/>
        </w:rPr>
        <w:t>。</w:t>
      </w:r>
    </w:p>
    <w:p w14:paraId="7E4FA038">
      <w:pPr>
        <w:pStyle w:val="9"/>
        <w:spacing w:line="360" w:lineRule="exact"/>
        <w:ind w:firstLine="669" w:firstLineChars="238"/>
        <w:rPr>
          <w:rFonts w:cs="宋体"/>
          <w:bCs/>
          <w:color w:val="auto"/>
          <w:sz w:val="28"/>
          <w:szCs w:val="28"/>
          <w:highlight w:val="none"/>
        </w:rPr>
      </w:pPr>
      <w:r>
        <w:rPr>
          <w:rFonts w:hint="eastAsia" w:cs="宋体"/>
          <w:b/>
          <w:color w:val="auto"/>
          <w:sz w:val="28"/>
          <w:szCs w:val="28"/>
          <w:highlight w:val="none"/>
        </w:rPr>
        <w:t>(二)评标依据：</w:t>
      </w:r>
      <w:r>
        <w:rPr>
          <w:rFonts w:hint="eastAsia" w:cs="宋体"/>
          <w:bCs/>
          <w:color w:val="auto"/>
          <w:sz w:val="28"/>
          <w:szCs w:val="28"/>
          <w:highlight w:val="none"/>
        </w:rPr>
        <w:t>评委将以招投标文件为评标依据，对投标人的内容按百分制打分。</w:t>
      </w:r>
    </w:p>
    <w:p w14:paraId="363181AE">
      <w:pPr>
        <w:pStyle w:val="9"/>
        <w:spacing w:line="360" w:lineRule="exact"/>
        <w:ind w:firstLine="683" w:firstLineChars="243"/>
        <w:rPr>
          <w:rFonts w:cs="宋体"/>
          <w:bCs/>
          <w:color w:val="auto"/>
          <w:sz w:val="28"/>
          <w:szCs w:val="28"/>
          <w:highlight w:val="none"/>
        </w:rPr>
      </w:pPr>
      <w:r>
        <w:rPr>
          <w:rFonts w:hint="eastAsia" w:cs="宋体"/>
          <w:b/>
          <w:color w:val="auto"/>
          <w:sz w:val="28"/>
          <w:szCs w:val="28"/>
          <w:highlight w:val="none"/>
        </w:rPr>
        <w:t>(三)评标方式：</w:t>
      </w:r>
      <w:r>
        <w:rPr>
          <w:rFonts w:hint="eastAsia" w:cs="宋体"/>
          <w:bCs/>
          <w:color w:val="auto"/>
          <w:sz w:val="28"/>
          <w:szCs w:val="28"/>
          <w:highlight w:val="none"/>
        </w:rPr>
        <w:t>以封闭方式进行。</w:t>
      </w:r>
    </w:p>
    <w:p w14:paraId="4D129256">
      <w:pPr>
        <w:pStyle w:val="9"/>
        <w:spacing w:line="360" w:lineRule="exact"/>
        <w:ind w:firstLine="551" w:firstLineChars="196"/>
        <w:outlineLvl w:val="0"/>
        <w:rPr>
          <w:rFonts w:cs="宋体"/>
          <w:b/>
          <w:color w:val="auto"/>
          <w:sz w:val="28"/>
          <w:szCs w:val="28"/>
          <w:highlight w:val="none"/>
        </w:rPr>
      </w:pPr>
      <w:bookmarkStart w:id="10" w:name="_Toc487"/>
      <w:r>
        <w:rPr>
          <w:rFonts w:hint="eastAsia" w:cs="宋体"/>
          <w:b/>
          <w:color w:val="auto"/>
          <w:sz w:val="28"/>
          <w:szCs w:val="28"/>
          <w:highlight w:val="none"/>
        </w:rPr>
        <w:t>二、评标方法</w:t>
      </w:r>
      <w:bookmarkEnd w:id="10"/>
    </w:p>
    <w:p w14:paraId="34F86C64">
      <w:pPr>
        <w:pStyle w:val="9"/>
        <w:spacing w:line="360" w:lineRule="exact"/>
        <w:ind w:firstLine="560" w:firstLineChars="200"/>
        <w:outlineLvl w:val="0"/>
        <w:rPr>
          <w:rFonts w:cs="宋体"/>
          <w:color w:val="auto"/>
          <w:sz w:val="28"/>
          <w:szCs w:val="28"/>
          <w:highlight w:val="none"/>
        </w:rPr>
      </w:pPr>
      <w:bookmarkStart w:id="11" w:name="_Toc10379"/>
      <w:r>
        <w:rPr>
          <w:rFonts w:hint="eastAsia" w:cs="宋体"/>
          <w:color w:val="auto"/>
          <w:sz w:val="28"/>
          <w:szCs w:val="28"/>
          <w:highlight w:val="none"/>
        </w:rPr>
        <w:t>（一）对进入详评的，采用百分制综合评分法。</w:t>
      </w:r>
      <w:bookmarkEnd w:id="11"/>
    </w:p>
    <w:p w14:paraId="121F839E">
      <w:pPr>
        <w:pStyle w:val="9"/>
        <w:spacing w:line="360" w:lineRule="exact"/>
        <w:ind w:firstLine="560" w:firstLineChars="200"/>
        <w:outlineLvl w:val="0"/>
        <w:rPr>
          <w:rFonts w:cs="宋体"/>
          <w:color w:val="auto"/>
          <w:sz w:val="28"/>
          <w:szCs w:val="28"/>
          <w:highlight w:val="none"/>
        </w:rPr>
      </w:pPr>
      <w:bookmarkStart w:id="12" w:name="_Toc3381"/>
      <w:r>
        <w:rPr>
          <w:rFonts w:hint="eastAsia" w:cs="宋体"/>
          <w:color w:val="auto"/>
          <w:sz w:val="28"/>
          <w:szCs w:val="28"/>
          <w:highlight w:val="none"/>
        </w:rPr>
        <w:t>（二）计分办法（按四舍五入取至百分位）：</w:t>
      </w:r>
      <w:bookmarkEnd w:id="12"/>
    </w:p>
    <w:p w14:paraId="10CB2E1B">
      <w:pPr>
        <w:pStyle w:val="14"/>
        <w:spacing w:line="360" w:lineRule="exact"/>
        <w:ind w:left="0" w:firstLine="551" w:firstLineChars="196"/>
        <w:outlineLvl w:val="0"/>
        <w:rPr>
          <w:rFonts w:ascii="宋体" w:hAnsi="宋体" w:cs="宋体"/>
          <w:b/>
          <w:color w:val="auto"/>
          <w:sz w:val="28"/>
          <w:szCs w:val="28"/>
          <w:highlight w:val="none"/>
        </w:rPr>
      </w:pPr>
      <w:bookmarkStart w:id="13" w:name="_Toc13665"/>
      <w:r>
        <w:rPr>
          <w:rFonts w:hint="eastAsia" w:ascii="宋体" w:hAnsi="宋体" w:cs="宋体"/>
          <w:b/>
          <w:color w:val="auto"/>
          <w:sz w:val="28"/>
          <w:szCs w:val="28"/>
          <w:highlight w:val="none"/>
        </w:rPr>
        <w:t>1、价格分………………………………………………………40分</w:t>
      </w:r>
      <w:bookmarkEnd w:id="13"/>
    </w:p>
    <w:p w14:paraId="45F6737C">
      <w:pPr>
        <w:pStyle w:val="9"/>
        <w:spacing w:line="360" w:lineRule="exact"/>
        <w:ind w:left="105" w:leftChars="50" w:firstLine="420" w:firstLineChars="150"/>
        <w:rPr>
          <w:rFonts w:cs="宋体"/>
          <w:color w:val="auto"/>
          <w:sz w:val="28"/>
          <w:szCs w:val="28"/>
          <w:highlight w:val="none"/>
        </w:rPr>
      </w:pPr>
      <w:r>
        <w:rPr>
          <w:rFonts w:hint="eastAsia" w:cs="宋体"/>
          <w:color w:val="auto"/>
          <w:sz w:val="28"/>
          <w:szCs w:val="28"/>
          <w:highlight w:val="none"/>
        </w:rPr>
        <w:t>（1）符合《政府采购促进中小企业发展管理办法》（财库[2020]46号）规定条件且按该办法中规定的格式提供了《中小企业声明函》的小型和微型企业，对其投标价给予10%的扣除，扣除后的价格为评标价，即评标价=投标价×（1-10%）；除上述情况外，评标价=投标价。</w:t>
      </w:r>
    </w:p>
    <w:p w14:paraId="61B4BEED">
      <w:pPr>
        <w:pStyle w:val="9"/>
        <w:spacing w:line="360" w:lineRule="exact"/>
        <w:ind w:firstLine="560" w:firstLineChars="200"/>
        <w:outlineLvl w:val="0"/>
        <w:rPr>
          <w:rFonts w:cs="宋体"/>
          <w:color w:val="auto"/>
          <w:sz w:val="28"/>
          <w:szCs w:val="28"/>
          <w:highlight w:val="none"/>
        </w:rPr>
      </w:pPr>
      <w:bookmarkStart w:id="14" w:name="_Toc23182"/>
      <w:r>
        <w:rPr>
          <w:rFonts w:hint="eastAsia" w:cs="宋体"/>
          <w:color w:val="auto"/>
          <w:sz w:val="28"/>
          <w:szCs w:val="28"/>
          <w:highlight w:val="none"/>
        </w:rPr>
        <w:t>投标产品的制造企业按《关于政府采购支持监狱企业发展有关问题的通知》(财库[2014]68号)认定为监狱企业的，在政府采购活动中，监狱企业视同小型、微型企业。投标人提供投标产品制造企业属于监狱企业的证明文件，不再提供《中小企业声明函》。</w:t>
      </w:r>
      <w:bookmarkEnd w:id="14"/>
    </w:p>
    <w:p w14:paraId="4C69F03A">
      <w:pPr>
        <w:pStyle w:val="9"/>
        <w:spacing w:line="360" w:lineRule="exact"/>
        <w:ind w:firstLine="560" w:firstLineChars="200"/>
        <w:outlineLvl w:val="0"/>
        <w:rPr>
          <w:rFonts w:cs="宋体"/>
          <w:color w:val="auto"/>
          <w:sz w:val="28"/>
          <w:szCs w:val="28"/>
          <w:highlight w:val="none"/>
        </w:rPr>
      </w:pPr>
      <w:bookmarkStart w:id="15" w:name="_Toc29029"/>
      <w:r>
        <w:rPr>
          <w:rFonts w:hint="eastAsia" w:cs="宋体"/>
          <w:color w:val="auto"/>
          <w:sz w:val="28"/>
          <w:szCs w:val="28"/>
          <w:highlight w:val="none"/>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不再提供《中小企业声明函》。</w:t>
      </w:r>
      <w:bookmarkEnd w:id="15"/>
    </w:p>
    <w:p w14:paraId="63086477">
      <w:pPr>
        <w:pStyle w:val="9"/>
        <w:spacing w:line="360" w:lineRule="exact"/>
        <w:ind w:firstLine="560" w:firstLineChars="200"/>
        <w:outlineLvl w:val="0"/>
        <w:rPr>
          <w:rFonts w:cs="宋体"/>
          <w:color w:val="auto"/>
          <w:sz w:val="28"/>
          <w:szCs w:val="28"/>
          <w:highlight w:val="none"/>
        </w:rPr>
      </w:pPr>
      <w:bookmarkStart w:id="16" w:name="_Toc15227"/>
      <w:r>
        <w:rPr>
          <w:rFonts w:hint="eastAsia" w:cs="宋体"/>
          <w:color w:val="auto"/>
          <w:sz w:val="28"/>
          <w:szCs w:val="28"/>
          <w:highlight w:val="none"/>
        </w:rPr>
        <w:t>（2）以满足招标文件的最低评标价为40分。</w:t>
      </w:r>
      <w:bookmarkEnd w:id="16"/>
    </w:p>
    <w:p w14:paraId="2989A9A0">
      <w:pPr>
        <w:pStyle w:val="9"/>
        <w:spacing w:line="360" w:lineRule="exact"/>
        <w:ind w:firstLine="560" w:firstLineChars="200"/>
        <w:outlineLvl w:val="0"/>
        <w:rPr>
          <w:rFonts w:cs="宋体"/>
          <w:bCs/>
          <w:color w:val="auto"/>
          <w:sz w:val="28"/>
          <w:szCs w:val="28"/>
          <w:highlight w:val="none"/>
        </w:rPr>
      </w:pPr>
      <w:bookmarkStart w:id="17" w:name="_Toc3162"/>
      <w:r>
        <w:rPr>
          <w:rFonts w:hint="eastAsia" w:cs="宋体"/>
          <w:bCs/>
          <w:color w:val="auto"/>
          <w:sz w:val="28"/>
          <w:szCs w:val="28"/>
          <w:highlight w:val="none"/>
        </w:rPr>
        <w:t>（3）某投标人价格分 = 投标人最低评标价（金额）/某投标人</w:t>
      </w:r>
      <w:r>
        <w:rPr>
          <w:rFonts w:hint="eastAsia" w:cs="宋体"/>
          <w:color w:val="auto"/>
          <w:sz w:val="28"/>
          <w:szCs w:val="28"/>
          <w:highlight w:val="none"/>
        </w:rPr>
        <w:t>评标价</w:t>
      </w:r>
      <w:r>
        <w:rPr>
          <w:rFonts w:hint="eastAsia" w:cs="宋体"/>
          <w:bCs/>
          <w:color w:val="auto"/>
          <w:sz w:val="28"/>
          <w:szCs w:val="28"/>
          <w:highlight w:val="none"/>
        </w:rPr>
        <w:t>（金额） ×40分</w:t>
      </w:r>
      <w:bookmarkEnd w:id="17"/>
    </w:p>
    <w:p w14:paraId="1DD93C42">
      <w:pPr>
        <w:spacing w:line="3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2、技术分……………………………………………………41分</w:t>
      </w:r>
    </w:p>
    <w:p w14:paraId="5612BB0D">
      <w:pPr>
        <w:pStyle w:val="32"/>
        <w:spacing w:line="360" w:lineRule="exact"/>
        <w:ind w:firstLine="562" w:firstLineChars="200"/>
        <w:rPr>
          <w:rFonts w:hAnsi="宋体"/>
          <w:b/>
          <w:bCs/>
          <w:color w:val="auto"/>
          <w:sz w:val="28"/>
          <w:szCs w:val="28"/>
          <w:highlight w:val="none"/>
        </w:rPr>
      </w:pPr>
      <w:r>
        <w:rPr>
          <w:rFonts w:hint="eastAsia" w:hAnsi="宋体"/>
          <w:b/>
          <w:bCs/>
          <w:color w:val="auto"/>
          <w:sz w:val="28"/>
          <w:szCs w:val="28"/>
          <w:highlight w:val="none"/>
        </w:rPr>
        <w:t>（1）检验报告分（</w:t>
      </w:r>
      <w:r>
        <w:rPr>
          <w:rFonts w:hint="eastAsia" w:hAnsi="宋体"/>
          <w:b/>
          <w:bCs/>
          <w:color w:val="auto"/>
          <w:sz w:val="28"/>
          <w:szCs w:val="28"/>
          <w:highlight w:val="none"/>
          <w:lang w:val="en-US" w:eastAsia="zh-CN"/>
        </w:rPr>
        <w:t>满分</w:t>
      </w:r>
      <w:r>
        <w:rPr>
          <w:rFonts w:hint="eastAsia" w:hAnsi="宋体"/>
          <w:b/>
          <w:bCs/>
          <w:color w:val="auto"/>
          <w:sz w:val="28"/>
          <w:szCs w:val="28"/>
          <w:highlight w:val="none"/>
        </w:rPr>
        <w:t>8分）</w:t>
      </w:r>
    </w:p>
    <w:p w14:paraId="435690F0">
      <w:pPr>
        <w:spacing w:line="360" w:lineRule="exact"/>
        <w:ind w:firstLine="57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投标人提供 </w:t>
      </w:r>
      <w:r>
        <w:rPr>
          <w:rFonts w:ascii="宋体" w:hAnsi="宋体" w:cs="宋体"/>
          <w:color w:val="auto"/>
          <w:sz w:val="28"/>
          <w:szCs w:val="28"/>
          <w:highlight w:val="none"/>
        </w:rPr>
        <w:t>20</w:t>
      </w:r>
      <w:r>
        <w:rPr>
          <w:rFonts w:hint="eastAsia" w:ascii="宋体" w:hAnsi="宋体" w:cs="宋体"/>
          <w:color w:val="auto"/>
          <w:sz w:val="28"/>
          <w:szCs w:val="28"/>
          <w:highlight w:val="none"/>
        </w:rPr>
        <w:t>23年1月1日以来，由具有检测资质的第三方检测机构出具的送检产品原材料和成品的检测报告，扫描件并加盖投标人公章，原件备查；各投标人检验报告名字与要求不相同的，只要检测内容为相同则视为相符；检验报告的送检单位必须是投标人或生产厂家。</w:t>
      </w:r>
    </w:p>
    <w:p w14:paraId="0B953DFE">
      <w:pPr>
        <w:widowControl/>
        <w:spacing w:line="380" w:lineRule="exact"/>
        <w:ind w:firstLine="562" w:firstLineChars="20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原材料类（4分）：</w:t>
      </w:r>
    </w:p>
    <w:p w14:paraId="5CC8719D">
      <w:pPr>
        <w:widowControl/>
        <w:spacing w:line="380" w:lineRule="exact"/>
        <w:ind w:firstLine="560" w:firstLineChars="200"/>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①投标人提供具有检测资质的第三方检验机构出具的“</w:t>
      </w:r>
      <w:r>
        <w:rPr>
          <w:rFonts w:hint="eastAsia" w:ascii="宋体" w:hAnsi="宋体" w:cs="宋体"/>
          <w:b/>
          <w:bCs/>
          <w:color w:val="auto"/>
          <w:kern w:val="0"/>
          <w:sz w:val="28"/>
          <w:szCs w:val="28"/>
          <w:highlight w:val="none"/>
        </w:rPr>
        <w:t>PP塑料</w:t>
      </w:r>
      <w:r>
        <w:rPr>
          <w:rFonts w:hint="eastAsia" w:ascii="宋体" w:hAnsi="宋体" w:cs="宋体"/>
          <w:bCs/>
          <w:color w:val="auto"/>
          <w:kern w:val="0"/>
          <w:sz w:val="28"/>
          <w:szCs w:val="28"/>
          <w:highlight w:val="none"/>
        </w:rPr>
        <w:t>”抽样检测合格报告，检测依据包括但不限于：GB/T 32487-2016《塑料家具通用技术条件》、GB 28481-2012《塑料家具中有害物质限量》，检测报告包含但不限于以下内容：塑料材料理化性能（耐老化性、冲击强度）；理化性能；邻苯二甲酸酯；重金属；多环芳烃；多溴联苯；多溴二苯醚；提供符合以上要求的检测报告复印件得0.5分。</w:t>
      </w:r>
    </w:p>
    <w:p w14:paraId="531C03A8">
      <w:pPr>
        <w:widowControl/>
        <w:spacing w:line="380" w:lineRule="exact"/>
        <w:ind w:firstLine="560" w:firstLineChars="200"/>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②投标人提供具有检测资质的第三方检验机构出具的“</w:t>
      </w:r>
      <w:r>
        <w:rPr>
          <w:rFonts w:hint="eastAsia" w:ascii="宋体" w:hAnsi="宋体" w:cs="宋体"/>
          <w:b/>
          <w:bCs/>
          <w:color w:val="auto"/>
          <w:kern w:val="0"/>
          <w:sz w:val="28"/>
          <w:szCs w:val="28"/>
          <w:highlight w:val="none"/>
        </w:rPr>
        <w:t>实木多层板</w:t>
      </w:r>
      <w:r>
        <w:rPr>
          <w:rFonts w:hint="eastAsia" w:ascii="宋体" w:hAnsi="宋体" w:cs="宋体"/>
          <w:bCs/>
          <w:color w:val="auto"/>
          <w:kern w:val="0"/>
          <w:sz w:val="28"/>
          <w:szCs w:val="28"/>
          <w:highlight w:val="none"/>
        </w:rPr>
        <w:t>”抽样检测合格报告，检测依据包括但不限于：</w:t>
      </w:r>
      <w:r>
        <w:rPr>
          <w:rFonts w:ascii="宋体" w:hAnsi="宋体" w:cs="宋体"/>
          <w:b/>
          <w:color w:val="auto"/>
          <w:kern w:val="0"/>
          <w:sz w:val="28"/>
          <w:szCs w:val="28"/>
          <w:highlight w:val="none"/>
        </w:rPr>
        <w:t>GB/T 39600-2021</w:t>
      </w:r>
      <w:r>
        <w:rPr>
          <w:rFonts w:hint="eastAsia" w:ascii="宋体" w:hAnsi="宋体" w:cs="宋体"/>
          <w:b/>
          <w:color w:val="auto"/>
          <w:kern w:val="0"/>
          <w:sz w:val="28"/>
          <w:szCs w:val="28"/>
          <w:highlight w:val="none"/>
        </w:rPr>
        <w:t>《人造板及其制品甲醛释放量分级》甲醛释放量≤</w:t>
      </w:r>
      <w:r>
        <w:rPr>
          <w:rFonts w:ascii="宋体" w:hAnsi="宋体" w:cs="宋体"/>
          <w:b/>
          <w:color w:val="auto"/>
          <w:kern w:val="0"/>
          <w:sz w:val="28"/>
          <w:szCs w:val="28"/>
          <w:highlight w:val="none"/>
        </w:rPr>
        <w:t>0.050mg/m³</w:t>
      </w:r>
      <w:r>
        <w:rPr>
          <w:rFonts w:hint="eastAsia" w:ascii="宋体" w:hAnsi="宋体" w:cs="宋体"/>
          <w:b/>
          <w:color w:val="auto"/>
          <w:kern w:val="0"/>
          <w:sz w:val="28"/>
          <w:szCs w:val="28"/>
          <w:highlight w:val="none"/>
        </w:rPr>
        <w:t>（</w:t>
      </w:r>
      <w:r>
        <w:rPr>
          <w:rFonts w:ascii="宋体" w:hAnsi="宋体" w:cs="宋体"/>
          <w:b/>
          <w:color w:val="auto"/>
          <w:kern w:val="0"/>
          <w:sz w:val="28"/>
          <w:szCs w:val="28"/>
          <w:highlight w:val="none"/>
        </w:rPr>
        <w:t>E0</w:t>
      </w:r>
      <w:r>
        <w:rPr>
          <w:rFonts w:hint="eastAsia" w:ascii="宋体" w:hAnsi="宋体" w:cs="宋体"/>
          <w:b/>
          <w:color w:val="auto"/>
          <w:kern w:val="0"/>
          <w:sz w:val="28"/>
          <w:szCs w:val="28"/>
          <w:highlight w:val="none"/>
        </w:rPr>
        <w:t>级）</w:t>
      </w:r>
      <w:r>
        <w:rPr>
          <w:rFonts w:hint="eastAsia" w:ascii="宋体" w:hAnsi="宋体" w:cs="宋体"/>
          <w:bCs/>
          <w:color w:val="auto"/>
          <w:kern w:val="0"/>
          <w:sz w:val="28"/>
          <w:szCs w:val="28"/>
          <w:highlight w:val="none"/>
        </w:rPr>
        <w:t>、符合GB18580-2017《室内装饰装修材料人造板及其制品中甲醛释放限量》、GB/T 9846-2015《普通胶合板》、</w:t>
      </w:r>
      <w:r>
        <w:rPr>
          <w:rFonts w:ascii="宋体" w:hAnsi="宋体" w:cs="宋体"/>
          <w:b/>
          <w:color w:val="auto"/>
          <w:kern w:val="0"/>
          <w:sz w:val="28"/>
          <w:szCs w:val="28"/>
          <w:highlight w:val="none"/>
        </w:rPr>
        <w:t>QB/T 4071-2021</w:t>
      </w:r>
      <w:r>
        <w:rPr>
          <w:rFonts w:hint="eastAsia" w:ascii="宋体" w:hAnsi="宋体" w:cs="宋体"/>
          <w:b/>
          <w:color w:val="auto"/>
          <w:kern w:val="0"/>
          <w:sz w:val="28"/>
          <w:szCs w:val="28"/>
          <w:highlight w:val="none"/>
        </w:rPr>
        <w:t>《课桌椅》、</w:t>
      </w:r>
      <w:r>
        <w:rPr>
          <w:rFonts w:ascii="宋体" w:hAnsi="宋体" w:cs="宋体"/>
          <w:b/>
          <w:color w:val="auto"/>
          <w:kern w:val="0"/>
          <w:sz w:val="28"/>
          <w:szCs w:val="28"/>
          <w:highlight w:val="none"/>
        </w:rPr>
        <w:t>GB/T 35602-2017</w:t>
      </w:r>
      <w:r>
        <w:rPr>
          <w:rFonts w:hint="eastAsia" w:ascii="宋体" w:hAnsi="宋体" w:cs="宋体"/>
          <w:b/>
          <w:color w:val="auto"/>
          <w:kern w:val="0"/>
          <w:sz w:val="28"/>
          <w:szCs w:val="28"/>
          <w:highlight w:val="none"/>
        </w:rPr>
        <w:t>《绿色产品评价木质家具》</w:t>
      </w:r>
      <w:r>
        <w:rPr>
          <w:rFonts w:hint="eastAsia" w:ascii="宋体" w:hAnsi="宋体" w:cs="宋体"/>
          <w:bCs/>
          <w:color w:val="auto"/>
          <w:kern w:val="0"/>
          <w:sz w:val="28"/>
          <w:szCs w:val="28"/>
          <w:highlight w:val="none"/>
        </w:rPr>
        <w:t>，检测报告包含但不限于以下内容：长度、宽度及厚度偏差、边缘直度偏差、垂直度偏差、平整度偏差；含水率；胶合强度；浸渍剥离；静曲强度；弹性模量；甲醛释放量；总挥发性有机化合物（72h）；提供符合以上要求的检测报告复印件得0.5分。</w:t>
      </w:r>
    </w:p>
    <w:p w14:paraId="47DFB775">
      <w:pPr>
        <w:widowControl/>
        <w:spacing w:line="380" w:lineRule="exact"/>
        <w:ind w:firstLine="560" w:firstLineChars="200"/>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③投标人提供具有检测资质的第三方检验机构出具的“</w:t>
      </w:r>
      <w:r>
        <w:rPr>
          <w:rFonts w:hint="eastAsia" w:ascii="宋体" w:hAnsi="宋体" w:cs="宋体"/>
          <w:b/>
          <w:bCs/>
          <w:color w:val="auto"/>
          <w:kern w:val="0"/>
          <w:sz w:val="28"/>
          <w:szCs w:val="28"/>
          <w:highlight w:val="none"/>
        </w:rPr>
        <w:t>钢管</w:t>
      </w:r>
      <w:r>
        <w:rPr>
          <w:rFonts w:hint="eastAsia" w:ascii="宋体" w:hAnsi="宋体" w:cs="宋体"/>
          <w:bCs/>
          <w:color w:val="auto"/>
          <w:kern w:val="0"/>
          <w:sz w:val="28"/>
          <w:szCs w:val="28"/>
          <w:highlight w:val="none"/>
        </w:rPr>
        <w:t>”抽样检测合格报告，检测依据包括但不限于：QB/T 4767-2022《家具用钢构件》、GB/T 3094-2012 《冷拔异型钢管》、</w:t>
      </w:r>
      <w:r>
        <w:rPr>
          <w:rFonts w:ascii="宋体" w:hAnsi="宋体" w:cs="宋体"/>
          <w:b/>
          <w:color w:val="auto"/>
          <w:kern w:val="0"/>
          <w:sz w:val="28"/>
          <w:szCs w:val="28"/>
          <w:highlight w:val="none"/>
        </w:rPr>
        <w:t>GB/T 35602-2017</w:t>
      </w:r>
      <w:r>
        <w:rPr>
          <w:rFonts w:hint="eastAsia" w:ascii="宋体" w:hAnsi="宋体" w:cs="宋体"/>
          <w:b/>
          <w:color w:val="auto"/>
          <w:kern w:val="0"/>
          <w:sz w:val="28"/>
          <w:szCs w:val="28"/>
          <w:highlight w:val="none"/>
        </w:rPr>
        <w:t>《绿色产品评价</w:t>
      </w:r>
      <w:r>
        <w:rPr>
          <w:rFonts w:ascii="宋体" w:hAnsi="宋体" w:cs="宋体"/>
          <w:b/>
          <w:color w:val="auto"/>
          <w:kern w:val="0"/>
          <w:sz w:val="28"/>
          <w:szCs w:val="28"/>
          <w:highlight w:val="none"/>
        </w:rPr>
        <w:t xml:space="preserve"> </w:t>
      </w:r>
      <w:r>
        <w:rPr>
          <w:rFonts w:hint="eastAsia" w:ascii="宋体" w:hAnsi="宋体" w:cs="宋体"/>
          <w:b/>
          <w:color w:val="auto"/>
          <w:kern w:val="0"/>
          <w:sz w:val="28"/>
          <w:szCs w:val="28"/>
          <w:highlight w:val="none"/>
        </w:rPr>
        <w:t>木质家具》、</w:t>
      </w:r>
      <w:r>
        <w:rPr>
          <w:rFonts w:ascii="宋体" w:hAnsi="宋体" w:cs="宋体"/>
          <w:b/>
          <w:color w:val="auto"/>
          <w:kern w:val="0"/>
          <w:sz w:val="28"/>
          <w:szCs w:val="28"/>
          <w:highlight w:val="none"/>
        </w:rPr>
        <w:t>GB/T 10125-2021</w:t>
      </w:r>
      <w:r>
        <w:rPr>
          <w:rFonts w:hint="eastAsia" w:ascii="宋体" w:hAnsi="宋体" w:cs="宋体"/>
          <w:b/>
          <w:color w:val="auto"/>
          <w:kern w:val="0"/>
          <w:sz w:val="28"/>
          <w:szCs w:val="28"/>
          <w:highlight w:val="none"/>
        </w:rPr>
        <w:t>《人造气氛腐蚀试验</w:t>
      </w:r>
      <w:r>
        <w:rPr>
          <w:rFonts w:ascii="宋体" w:hAnsi="宋体" w:cs="宋体"/>
          <w:b/>
          <w:color w:val="auto"/>
          <w:kern w:val="0"/>
          <w:sz w:val="28"/>
          <w:szCs w:val="28"/>
          <w:highlight w:val="none"/>
        </w:rPr>
        <w:t xml:space="preserve"> </w:t>
      </w:r>
      <w:r>
        <w:rPr>
          <w:rFonts w:hint="eastAsia" w:ascii="宋体" w:hAnsi="宋体" w:cs="宋体"/>
          <w:b/>
          <w:color w:val="auto"/>
          <w:kern w:val="0"/>
          <w:sz w:val="28"/>
          <w:szCs w:val="28"/>
          <w:highlight w:val="none"/>
        </w:rPr>
        <w:t>盐雾试验》</w:t>
      </w:r>
      <w:r>
        <w:rPr>
          <w:rFonts w:hint="eastAsia" w:ascii="宋体" w:hAnsi="宋体" w:cs="宋体"/>
          <w:bCs/>
          <w:color w:val="auto"/>
          <w:kern w:val="0"/>
          <w:sz w:val="28"/>
          <w:szCs w:val="28"/>
          <w:highlight w:val="none"/>
        </w:rPr>
        <w:t>，检测报告包含但不限于以下内容：尺寸及偏差（厚度及偏差）；金属喷涂层（涂层厚度）60～130μm；金属件外观性能要求（管材、喷涂层）；金属喷塑涂层硬度≥H；金属喷塑涂层冲击强度；金属喷塑涂层耐腐蚀；力学性能（抗拉强度、断后伸长率）；表面涂层的可迁移元素（钡、镉、铬、铅、汞、硒）；金属涂层耐腐蚀等级（中性盐雾试验NSS、乙酸盐雾试验ASS）均达到10级；提供符合以上要求的检测报告复印件得0.5分。</w:t>
      </w:r>
    </w:p>
    <w:p w14:paraId="57D6A65E">
      <w:pPr>
        <w:widowControl/>
        <w:spacing w:line="380" w:lineRule="exact"/>
        <w:ind w:firstLine="560" w:firstLineChars="200"/>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④投标人提供具有检测资质的第三方检验机构出具的“</w:t>
      </w:r>
      <w:r>
        <w:rPr>
          <w:rFonts w:hint="eastAsia" w:ascii="宋体" w:hAnsi="宋体" w:cs="宋体"/>
          <w:b/>
          <w:bCs/>
          <w:color w:val="auto"/>
          <w:kern w:val="0"/>
          <w:sz w:val="28"/>
          <w:szCs w:val="28"/>
          <w:highlight w:val="none"/>
        </w:rPr>
        <w:t>冷轧钢板</w:t>
      </w:r>
      <w:r>
        <w:rPr>
          <w:rFonts w:hint="eastAsia" w:ascii="宋体" w:hAnsi="宋体" w:cs="宋体"/>
          <w:bCs/>
          <w:color w:val="auto"/>
          <w:kern w:val="0"/>
          <w:sz w:val="28"/>
          <w:szCs w:val="28"/>
          <w:highlight w:val="none"/>
        </w:rPr>
        <w:t>”抽样检测合格报告，检测依据包括但不限于：GB/T 11253-2019《碳素结构钢冷轧钢板及钢带》、</w:t>
      </w:r>
      <w:r>
        <w:rPr>
          <w:rFonts w:ascii="宋体" w:hAnsi="宋体" w:cs="宋体"/>
          <w:color w:val="auto"/>
          <w:kern w:val="0"/>
          <w:sz w:val="28"/>
          <w:szCs w:val="28"/>
          <w:highlight w:val="none"/>
        </w:rPr>
        <w:t>GB/T 10125-2021《人造气氛腐蚀试验 盐雾试验》</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rPr>
        <w:t>GB/T 2423.17-2008《电工电子产品环境试验 第2部分：试验方法 试验Ka：盐雾》</w:t>
      </w:r>
      <w:r>
        <w:rPr>
          <w:rFonts w:hint="eastAsia" w:ascii="宋体" w:hAnsi="宋体" w:cs="宋体"/>
          <w:bCs/>
          <w:color w:val="auto"/>
          <w:kern w:val="0"/>
          <w:sz w:val="28"/>
          <w:szCs w:val="28"/>
          <w:highlight w:val="none"/>
        </w:rPr>
        <w:t>，检测报告包含但不限于以下内容：力学性能（规定塑性延伸强度、抗拉强度、断后伸长率）；弯曲试验；表面质量；表面结构（平均粗糙度）；外形（不平度、镰刀弯、脱方度、塔形）；经过人造气氛腐蚀试验（中性盐雾NSS、乙酸盐雾AASS），保护评级达到10级，外观评级达到10级；提供符合以上要求的检测报告复印件得0.5分。</w:t>
      </w:r>
    </w:p>
    <w:p w14:paraId="347E5638">
      <w:pPr>
        <w:widowControl/>
        <w:spacing w:line="380" w:lineRule="exact"/>
        <w:ind w:firstLine="560" w:firstLineChars="200"/>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⑤投标人提供具有检测资质的第三方检验机构出具的“</w:t>
      </w:r>
      <w:r>
        <w:rPr>
          <w:rFonts w:hint="eastAsia" w:ascii="宋体" w:hAnsi="宋体" w:cs="宋体"/>
          <w:b/>
          <w:bCs/>
          <w:color w:val="auto"/>
          <w:kern w:val="0"/>
          <w:sz w:val="28"/>
          <w:szCs w:val="28"/>
          <w:highlight w:val="none"/>
        </w:rPr>
        <w:t>粉末涂料</w:t>
      </w:r>
      <w:r>
        <w:rPr>
          <w:rFonts w:hint="eastAsia" w:ascii="宋体" w:hAnsi="宋体" w:cs="宋体"/>
          <w:bCs/>
          <w:color w:val="auto"/>
          <w:kern w:val="0"/>
          <w:sz w:val="28"/>
          <w:szCs w:val="28"/>
          <w:highlight w:val="none"/>
        </w:rPr>
        <w:t>”抽样检测合格报告，检测依据包括但不限于：HG/T 2006-2022《热固性和热塑性粉末涂料》、GB/T 35602-2017及最新有效版本《绿色产品评价 涂料》，检测报告包含但不限于以下内容：外观；筛余物（125μm）；密度；涂膜外观；附着力（干附着力）≤1级；铅笔硬度≥H；耐冲击性；杯突试验≥4mm；弯曲试验≤4mm；耐磨性（750g/500r）；耐酸性240h；耐碱性168h；耐沸水性2h；耐湿性（室内用）500h；耐人工气侯老化性；重金属元素含量（铅、镉、六价铬、汞、砷、钡、硒、锑、钴）；提供符合以上要求的检测报告复印件得0.5分。</w:t>
      </w:r>
    </w:p>
    <w:p w14:paraId="0D7728BE">
      <w:pPr>
        <w:widowControl/>
        <w:spacing w:line="380" w:lineRule="exact"/>
        <w:ind w:firstLine="560" w:firstLineChars="200"/>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⑥投标人提供具有检测资质的第三方检验机构出具的“</w:t>
      </w:r>
      <w:r>
        <w:rPr>
          <w:rFonts w:hint="eastAsia" w:ascii="宋体" w:hAnsi="宋体" w:cs="宋体"/>
          <w:b/>
          <w:bCs/>
          <w:color w:val="auto"/>
          <w:kern w:val="0"/>
          <w:sz w:val="28"/>
          <w:szCs w:val="28"/>
          <w:highlight w:val="none"/>
        </w:rPr>
        <w:t>水性面漆</w:t>
      </w:r>
      <w:r>
        <w:rPr>
          <w:rFonts w:hint="eastAsia" w:ascii="宋体" w:hAnsi="宋体" w:cs="宋体"/>
          <w:bCs/>
          <w:color w:val="auto"/>
          <w:kern w:val="0"/>
          <w:sz w:val="28"/>
          <w:szCs w:val="28"/>
          <w:highlight w:val="none"/>
        </w:rPr>
        <w:t>”抽样检测合格报告，检测依据包括但不限于：GB/T 23999-2009《室内装饰装修用水性木器涂料》、</w:t>
      </w:r>
      <w:r>
        <w:rPr>
          <w:rFonts w:ascii="宋体" w:hAnsi="宋体" w:cs="宋体"/>
          <w:color w:val="auto"/>
          <w:kern w:val="0"/>
          <w:sz w:val="28"/>
          <w:szCs w:val="28"/>
          <w:highlight w:val="none"/>
        </w:rPr>
        <w:t>GB/T 38597-2020《低挥发性有机化合物含量涂料产品技术要求》</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rPr>
        <w:t>GB/T 30647-2014《涂料中有害物质限量》</w:t>
      </w:r>
      <w:r>
        <w:rPr>
          <w:rFonts w:hint="eastAsia" w:ascii="宋体" w:hAnsi="宋体" w:cs="宋体"/>
          <w:color w:val="auto"/>
          <w:kern w:val="0"/>
          <w:sz w:val="28"/>
          <w:szCs w:val="28"/>
          <w:highlight w:val="none"/>
        </w:rPr>
        <w:t>、</w:t>
      </w:r>
      <w:r>
        <w:rPr>
          <w:rFonts w:hint="eastAsia" w:ascii="宋体" w:hAnsi="宋体" w:cs="宋体"/>
          <w:bCs/>
          <w:color w:val="auto"/>
          <w:kern w:val="0"/>
          <w:sz w:val="28"/>
          <w:szCs w:val="28"/>
          <w:highlight w:val="none"/>
        </w:rPr>
        <w:t>GB/T 35602-2017及最新有效版本《绿色产品评价 涂料》，检测报告包含但不限于以下内容：细度；不挥发物；干燥时间；贮存稳定性；耐冻融性；涂膜外观；硬度（擦伤）；附着力；耐冲击性；抗粘连性；耐磨性；耐划伤性；耐水性；耐碱性；耐醇性；耐污染性；耐干热性；耐黄变性；卤代烃（以二氯甲烷计）≤100mg/kg；挥发性有机化合物（VOC）含量≤50g/L；重金属元素含量（限木器和地坪用色漆和腻子）（铅、镉、六价铬、汞、砷、钡、硒、锑、钴）；甲醛含量≤50mg/kg；乙二醇醚及醚酯总和含量≤50mg/kg；苯系物总和含量≤50mg/kg；烷基酚聚氧乙烯醚总和含量≤50mg/kg；提供符合以上要求的检测报告复印件得0.5分。</w:t>
      </w:r>
    </w:p>
    <w:p w14:paraId="6B6E8041">
      <w:pPr>
        <w:widowControl/>
        <w:spacing w:line="380" w:lineRule="exact"/>
        <w:ind w:firstLine="560" w:firstLineChars="200"/>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⑦投标人提供具有检测资质的第三方检验机构出具的“</w:t>
      </w:r>
      <w:r>
        <w:rPr>
          <w:rFonts w:hint="eastAsia" w:ascii="宋体" w:hAnsi="宋体" w:cs="宋体"/>
          <w:b/>
          <w:bCs/>
          <w:color w:val="auto"/>
          <w:kern w:val="0"/>
          <w:sz w:val="28"/>
          <w:szCs w:val="28"/>
          <w:highlight w:val="none"/>
        </w:rPr>
        <w:t>水性底漆</w:t>
      </w:r>
      <w:r>
        <w:rPr>
          <w:rFonts w:hint="eastAsia" w:ascii="宋体" w:hAnsi="宋体" w:cs="宋体"/>
          <w:bCs/>
          <w:color w:val="auto"/>
          <w:kern w:val="0"/>
          <w:sz w:val="28"/>
          <w:szCs w:val="28"/>
          <w:highlight w:val="none"/>
        </w:rPr>
        <w:t>”抽样检测合格报告，检测依据包括但不限于：GB/T 23999-2009《室内装饰装修用水性木器涂料》、</w:t>
      </w:r>
      <w:r>
        <w:rPr>
          <w:rFonts w:ascii="宋体" w:hAnsi="宋体" w:cs="宋体"/>
          <w:color w:val="auto"/>
          <w:kern w:val="0"/>
          <w:sz w:val="28"/>
          <w:szCs w:val="28"/>
          <w:highlight w:val="none"/>
        </w:rPr>
        <w:t>GB/T 25249-2010《水性木器涂料》</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rPr>
        <w:t>GB/T 30647-2014《涂料中有害物质限量》</w:t>
      </w:r>
      <w:r>
        <w:rPr>
          <w:rFonts w:hint="eastAsia" w:ascii="宋体" w:hAnsi="宋体" w:cs="宋体"/>
          <w:color w:val="auto"/>
          <w:kern w:val="0"/>
          <w:sz w:val="28"/>
          <w:szCs w:val="28"/>
          <w:highlight w:val="none"/>
        </w:rPr>
        <w:t>、</w:t>
      </w:r>
      <w:r>
        <w:rPr>
          <w:rFonts w:hint="eastAsia" w:ascii="宋体" w:hAnsi="宋体" w:cs="宋体"/>
          <w:bCs/>
          <w:color w:val="auto"/>
          <w:kern w:val="0"/>
          <w:sz w:val="28"/>
          <w:szCs w:val="28"/>
          <w:highlight w:val="none"/>
        </w:rPr>
        <w:t>GB/T 35602-2017及最新有效版本《绿色产品评价 涂料》，检测报告包含但不限于以下内容：细度；不挥发物；干燥时间；贮存稳定性；耐冻融性；涂膜外观；打磨性；卤代烃（以二氯甲烷计）≤100mg/kg；挥发性有机化合物（VOC）含量≤50g/L；重金属元素含量（限木器和地坪用色漆和腻子）（铅、镉、六价铬、汞、砷、钡、硒、锑、钴）；甲醛含量≤50mg/kg；乙二醇醚及醚酯总和含量≤50mg/kg；苯系物总和含量≤50mg/kg；烷基酚聚氧乙烯醚总和含量≤50mg/kg；提供符合以上要求的检测报告复印件得0.5分。</w:t>
      </w:r>
    </w:p>
    <w:p w14:paraId="1802D69C">
      <w:pPr>
        <w:widowControl/>
        <w:spacing w:line="380" w:lineRule="exact"/>
        <w:ind w:firstLine="560" w:firstLineChars="200"/>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⑧投标人提供具有检测资质的第三方检验机构出具的“</w:t>
      </w:r>
      <w:r>
        <w:rPr>
          <w:rFonts w:hint="eastAsia" w:ascii="宋体" w:hAnsi="宋体" w:cs="宋体"/>
          <w:b/>
          <w:bCs/>
          <w:color w:val="auto"/>
          <w:kern w:val="0"/>
          <w:sz w:val="28"/>
          <w:szCs w:val="28"/>
          <w:highlight w:val="none"/>
        </w:rPr>
        <w:t>白乳胶</w:t>
      </w:r>
      <w:r>
        <w:rPr>
          <w:rFonts w:hint="eastAsia" w:ascii="宋体" w:hAnsi="宋体" w:cs="宋体"/>
          <w:bCs/>
          <w:color w:val="auto"/>
          <w:kern w:val="0"/>
          <w:sz w:val="28"/>
          <w:szCs w:val="28"/>
          <w:highlight w:val="none"/>
        </w:rPr>
        <w:t>”抽样检测合格报告，检测依据包括但不限于：</w:t>
      </w:r>
      <w:r>
        <w:rPr>
          <w:rFonts w:ascii="宋体" w:hAnsi="宋体" w:cs="宋体"/>
          <w:color w:val="auto"/>
          <w:kern w:val="0"/>
          <w:sz w:val="28"/>
          <w:szCs w:val="28"/>
          <w:highlight w:val="none"/>
        </w:rPr>
        <w:t>GB/T 29499-2013《建筑胶粘剂通用技术要求》</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rPr>
        <w:t>GB 18583-2022《室内装饰装修材料 胶粘剂中有害物质限量》</w:t>
      </w:r>
      <w:r>
        <w:rPr>
          <w:rFonts w:hint="eastAsia" w:ascii="宋体" w:hAnsi="宋体" w:cs="宋体"/>
          <w:color w:val="auto"/>
          <w:kern w:val="0"/>
          <w:sz w:val="28"/>
          <w:szCs w:val="28"/>
          <w:highlight w:val="none"/>
        </w:rPr>
        <w:t>、</w:t>
      </w:r>
      <w:r>
        <w:rPr>
          <w:rFonts w:ascii="宋体" w:hAnsi="宋体" w:cs="宋体"/>
          <w:color w:val="auto"/>
          <w:kern w:val="0"/>
          <w:sz w:val="28"/>
          <w:szCs w:val="28"/>
          <w:highlight w:val="none"/>
        </w:rPr>
        <w:t>HG/T 2727-2010《聚乙酸乙烯酯乳液木材胶粘剂》</w:t>
      </w:r>
      <w:r>
        <w:rPr>
          <w:rFonts w:hint="eastAsia" w:ascii="宋体" w:hAnsi="宋体" w:cs="宋体"/>
          <w:bCs/>
          <w:color w:val="auto"/>
          <w:kern w:val="0"/>
          <w:sz w:val="28"/>
          <w:szCs w:val="28"/>
          <w:highlight w:val="none"/>
        </w:rPr>
        <w:t>，检测报告包含但不限于以下内容：外观；PH值；黏度；不挥发物；最低成膜温度；木材污染性；压缩剪切强度；游离甲醛≤0.05g/kg；总挥发性有机物≤50g/L；苯≤0.02g/kg；甲苯+二甲苯≤0.2g/kg；卤代烃不得检出；提供符合以上要求的检测报告复印件得0.5分。</w:t>
      </w:r>
    </w:p>
    <w:p w14:paraId="79DDFE2A">
      <w:pPr>
        <w:widowControl/>
        <w:spacing w:line="380" w:lineRule="exact"/>
        <w:ind w:firstLine="562" w:firstLineChars="20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成品类（4分）：</w:t>
      </w:r>
    </w:p>
    <w:p w14:paraId="664FB8B7">
      <w:pPr>
        <w:widowControl/>
        <w:spacing w:line="380" w:lineRule="exact"/>
        <w:ind w:firstLine="560" w:firstLineChars="200"/>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①投标人提供具有检测资质的第三方检验机构出具的“公寓床”检测报告，检测依据：QB/T2741-2013《学生公寓多功能家具》，检测报告包含但不限于以下内容：主要尺寸及偏差，形状与位置公差（翘曲度、平整度、邻边垂直度、底脚平稳性）均检测合格，软硬质覆面（耐冷热循环、耐干热、耐液性、表面耐磨性、抗冲击、耐光色牢度、桌面耐污染、表面胶合强度）均检测合格，金属件喷涂层（抗盐雾、抗冲击、附着力）均检测合格，力学性能（床面垂直静载荷、床面垂直耐久性、床面垂直冲击、床面水平静载荷、床面冲击）均检测合格，床甲醛释放量≤0.3mg/L，表面涂层可迁移元素（锑Sb、砷As、钡Ba、镉Cd、铬Cr、铅Pb、汞Hg、硒Se ）无检出；提供符合以上要求的抽样检测报告复印件得1分，提供符合以上要求的型式检测报告复印件得2分，本项满分2分。</w:t>
      </w:r>
    </w:p>
    <w:p w14:paraId="68E5E38C">
      <w:pPr>
        <w:widowControl/>
        <w:spacing w:line="380" w:lineRule="exact"/>
        <w:ind w:firstLine="560" w:firstLineChars="200"/>
        <w:jc w:val="lef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②投标人提供具有检测资质的第三方检验机构出具的“公寓椅”检测报告，检测依据：QB/T 4071-2021《课桌椅》，检测报告包含但不限于以下内容：主要尺寸及偏差，软硬质覆面（耐冷热循环、耐干热、耐液性、表面耐磨性、抗冲击、耐光色牢度、表面耐污染、表面胶合强度）圴检测合格，力学性能（座面椅背联合静载荷、座面侧向静载荷、椅腿向前静载荷、椅腿侧向静载荷、座面冲击、椅背冲击、扶手侧向静载荷、扶手垂直向下静载荷、椅扶手冲击）均检测合格，公寓椅甲醛释放量≤0.3mg/L，表面涂层可迁移元素（锑Sb、砷As、钡Ba、镉Cd、铬Cr、铅Pb、汞Hg、硒Se ）无检出，塑料件中邻苯二甲酸酯无检出，塑料件中重金属（可溶性铅、可溶性镉、可溶性铬、可溶性汞）无检出，苯并[a]芘≤0.5mg/kg，16种多环芳烃（PAH）总量≤0.5mg/kg，塑料件中多溴联苯（PBB）≤10mg/kg，塑料件中多溴二苯醚（PBDE）≤10mg/kg；提供符合以上要求的抽样检测报告复印件得1分，提供符合以上要求的型式检测报告复印件得2分，本项满分2分。</w:t>
      </w:r>
    </w:p>
    <w:p w14:paraId="3116280A">
      <w:pPr>
        <w:widowControl/>
        <w:spacing w:line="380" w:lineRule="exact"/>
        <w:ind w:firstLine="562" w:firstLineChars="20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（2）小样分（满分8分）</w:t>
      </w:r>
    </w:p>
    <w:p w14:paraId="1B9A7923">
      <w:pPr>
        <w:pStyle w:val="32"/>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评标委员会对投标人提供小样的参数、结构、样式、材质及结构设计、外观、做工等方面进行综合评定打分：</w:t>
      </w:r>
    </w:p>
    <w:p w14:paraId="091BA1B2">
      <w:pPr>
        <w:pStyle w:val="32"/>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一档（2分）：①投标小样及辅件提供齐全；②小样参数、外观、样式、材料性能符合采购需求；③小样有2项以上明显瑕疵的（如有明显的焊渣、焊疤、裂缝、毛刺、黑斑、外观损伤等瑕疵的）。</w:t>
      </w:r>
    </w:p>
    <w:p w14:paraId="1DC696B9">
      <w:pPr>
        <w:pStyle w:val="32"/>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二档（4分）：①投标小样及辅件提供齐全；②小样参数、外观、样式、材料性能符合采购需求；③小样有1项瑕疵的（如有明显的焊渣、焊疤、裂缝、毛刺、黑斑、外观损伤等瑕疵的）。</w:t>
      </w:r>
    </w:p>
    <w:p w14:paraId="02C78D76">
      <w:pPr>
        <w:pStyle w:val="32"/>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三档（6分）：①投标小样及辅件提供齐全；②小样参数、外观、样式、材料性能符合采购需求，全部小样展示功能符合招标文件参数要求的；③小样无瑕疵，且有1-2项优于招标文件的。</w:t>
      </w:r>
    </w:p>
    <w:p w14:paraId="2E253C71">
      <w:pPr>
        <w:pStyle w:val="32"/>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四档（8分）：在三档的基础上满足以下要求：①小样外表感观良好，工艺精致，无明显刺激性气味。②款式设计符合人体工学设计、色彩搭配协调、丰满度高等；③功能有3项以上优于使用需求，舒适性好；结构牢固稳定，部件严密平整，棱边棱角倒圆倒角安全美观；喷涂平整光滑，纹理清晰、层次感分明、质感好等。</w:t>
      </w:r>
    </w:p>
    <w:p w14:paraId="2D788CED">
      <w:pPr>
        <w:pStyle w:val="32"/>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（投标人未提供小样或提供的小样不全的，本项不得分）</w:t>
      </w:r>
    </w:p>
    <w:p w14:paraId="4E956320">
      <w:pPr>
        <w:widowControl/>
        <w:spacing w:line="380" w:lineRule="exact"/>
        <w:ind w:firstLine="562" w:firstLineChars="20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（3）产品设计方案分（满分8分）</w:t>
      </w:r>
    </w:p>
    <w:p w14:paraId="06841BB2">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评标委员会对投标人提供所投产品“项号</w:t>
      </w:r>
      <w:r>
        <w:rPr>
          <w:rFonts w:ascii="宋体" w:hAnsi="宋体" w:cs="宋体"/>
          <w:color w:val="auto"/>
          <w:sz w:val="28"/>
          <w:szCs w:val="28"/>
          <w:highlight w:val="none"/>
        </w:rPr>
        <w:t>1</w:t>
      </w:r>
      <w:r>
        <w:rPr>
          <w:rFonts w:hint="eastAsia" w:ascii="宋体" w:hAnsi="宋体" w:cs="宋体"/>
          <w:color w:val="auto"/>
          <w:sz w:val="28"/>
          <w:szCs w:val="28"/>
          <w:highlight w:val="none"/>
        </w:rPr>
        <w:t>三连体（三人位）组合公寓床、项号</w:t>
      </w:r>
      <w:r>
        <w:rPr>
          <w:rFonts w:ascii="宋体" w:hAnsi="宋体" w:cs="宋体"/>
          <w:color w:val="auto"/>
          <w:sz w:val="28"/>
          <w:szCs w:val="28"/>
          <w:highlight w:val="none"/>
        </w:rPr>
        <w:t>2</w:t>
      </w:r>
      <w:r>
        <w:rPr>
          <w:rFonts w:hint="eastAsia" w:ascii="宋体" w:hAnsi="宋体" w:cs="宋体"/>
          <w:color w:val="auto"/>
          <w:sz w:val="28"/>
          <w:szCs w:val="28"/>
          <w:highlight w:val="none"/>
        </w:rPr>
        <w:t>单体公寓床、项号3无障碍组合公寓床、项号4公寓椅”的设计结构图纸、产品效果图、产品部件图及规格尺寸、产品使用功能描述等内容，考核产品设计的规范合理性、安全实用性、创新性等。</w:t>
      </w:r>
    </w:p>
    <w:p w14:paraId="14883818">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一档（2分)：提供产品的设计结构图、产品效果图及产品主要零部件尺寸测量图（边立柱、中立柱)，有产品使用功能描述的、产品结构分析，符合采购人实际要求的。</w:t>
      </w:r>
    </w:p>
    <w:p w14:paraId="7B2F0F34">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二档（4分)：提供产品的设计结构图、产品效果图及其本项目涉及零部件的结构图、产品主要零部件尺寸测量图（边立柱、中立柱、床横梁、立柱上横管、下横管）、产品使用功能描述产品结构符合采购人实际要求，基本体现产品设计的规范合理性、安全实用性、创新性。</w:t>
      </w:r>
    </w:p>
    <w:p w14:paraId="60EF44EA">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三档（6分)：提供产品的设计结构图、产品效果图及其本项目涉及零部件的结构图、产品主要零部件尺寸测量图（边立柱、中立柱、床横梁、立柱上横管、下横管、前护栏、爬梯、学习桌、书架），产品使用功能描述、产品结构符合采购人实际要求，体现产品设计的规范合理性、安全实用性、创新性，设计方案有特色。</w:t>
      </w:r>
    </w:p>
    <w:p w14:paraId="3CA0B864">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四档（8分)：提供产品的设计结构图、产品效果图、设计摆放图及其本项目涉及零部件的结构图、产品主要零部件尺寸测量图（边立柱、中立柱、床横梁、立柱上横管、下横管、前护栏、爬梯、学习桌、书架、椅子钢管、椅子座面板、椅子靠背面板），产品使用功能描述很清晰、完整的，产品结构符合采购人实际要求的，完全体现产品设计的规范合理性、安全实用性、创新性，设计方案有特色，有人性化。</w:t>
      </w:r>
    </w:p>
    <w:p w14:paraId="60AB49ED">
      <w:pPr>
        <w:widowControl/>
        <w:spacing w:line="380" w:lineRule="exact"/>
        <w:ind w:firstLine="562" w:firstLineChars="20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（4）项目实施安装分(满分9分)</w:t>
      </w:r>
    </w:p>
    <w:p w14:paraId="4AC7E330">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一档（3 分）：项目实施方案进度安排合理，实施方案简单，配套有货物存放仓库、送货人员、运输工具、项目实施人员，能按时完成配送、安装任务，保证项目正常实施。</w:t>
      </w:r>
    </w:p>
    <w:p w14:paraId="760380AD">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二档（6分）：项目实施方案较详细，配套有货物存放仓库、送货人员、运输工具、项目实施人员，项目生产能力、实施的技术力量和人力资源安排等有一定保障，安装调试方案详细完整。</w:t>
      </w:r>
    </w:p>
    <w:p w14:paraId="5236626E">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三档（9分）：项目实施方案详细完整，配套有货物存放仓库、送货人员、运输工具、项目实施人员，项目实施的技术力量和人力资源安排充足且提供有可靠保障，能对突发计划外供货需求的应对能力，配送和安装有完整的流程及规范标准，方案包括安装工艺技术、配送安装组织机构、项目实施人员及设备的配备、进度计划、质量保证措施、保证安全及文明施工的措施等。</w:t>
      </w:r>
    </w:p>
    <w:p w14:paraId="018F9513">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（备注：未提供“项目实施安装方案”或经评定不能进档的不得分）</w:t>
      </w:r>
    </w:p>
    <w:p w14:paraId="742EAD1C">
      <w:pPr>
        <w:widowControl/>
        <w:spacing w:line="380" w:lineRule="exact"/>
        <w:ind w:firstLine="562" w:firstLineChars="20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（5）产品生产能力分（满分8分）</w:t>
      </w:r>
    </w:p>
    <w:p w14:paraId="2491070C">
      <w:pPr>
        <w:pStyle w:val="41"/>
        <w:adjustRightInd w:val="0"/>
        <w:snapToGrid w:val="0"/>
        <w:spacing w:line="360" w:lineRule="exact"/>
        <w:ind w:firstLine="504" w:firstLineChars="180"/>
        <w:rPr>
          <w:color w:val="auto"/>
          <w:sz w:val="28"/>
          <w:szCs w:val="28"/>
          <w:highlight w:val="none"/>
        </w:rPr>
      </w:pPr>
      <w:r>
        <w:rPr>
          <w:rFonts w:hint="eastAsia"/>
          <w:color w:val="auto"/>
          <w:sz w:val="28"/>
          <w:szCs w:val="28"/>
          <w:highlight w:val="none"/>
        </w:rPr>
        <w:t>对投标人或生产厂家提供与本项目货物生产相关的生产设备、生产场地、生产计划和技术人员、质量管控措施等进行综合评定，专家评委根据综合评定进行打分。</w:t>
      </w:r>
    </w:p>
    <w:p w14:paraId="7EE3EC6A">
      <w:pPr>
        <w:ind w:firstLine="420" w:firstLineChars="15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①提供与本项目货物相关的生产设备（同等功能的设备）的证明材料，包含：自动化喷涂（喷塑）设备、封边机、焊接机、切割机、弯管机、剪板机、注塑机、冲压设备、开料锯机、一次成型辊压机，每提供一项设备得0.5分，满分3分。（提供设备购置发票或租赁合同等扫描件、提供设备现场作业真实视频，视频内容包含经营执照、厂牌、所投产品标识，供应商提供的视频资料仅用于本项目履约验证，采购方不得将视频内容用于商业推广或其他目的。）</w:t>
      </w:r>
    </w:p>
    <w:p w14:paraId="34C08815">
      <w:pPr>
        <w:pStyle w:val="41"/>
        <w:adjustRightInd w:val="0"/>
        <w:snapToGrid w:val="0"/>
        <w:spacing w:line="360" w:lineRule="exact"/>
        <w:ind w:firstLine="504" w:firstLineChars="180"/>
        <w:rPr>
          <w:color w:val="auto"/>
          <w:sz w:val="28"/>
          <w:szCs w:val="28"/>
          <w:highlight w:val="none"/>
        </w:rPr>
      </w:pPr>
      <w:r>
        <w:rPr>
          <w:rFonts w:hint="eastAsia"/>
          <w:color w:val="auto"/>
          <w:sz w:val="28"/>
          <w:szCs w:val="28"/>
          <w:highlight w:val="none"/>
        </w:rPr>
        <w:t>②提供生产场地证明材料，生产场地的真实</w:t>
      </w:r>
      <w:r>
        <w:rPr>
          <w:rFonts w:hint="eastAsia"/>
          <w:color w:val="auto"/>
          <w:sz w:val="28"/>
          <w:szCs w:val="28"/>
          <w:highlight w:val="none"/>
          <w:lang w:val="en-US" w:eastAsia="zh-CN"/>
        </w:rPr>
        <w:t>视频</w:t>
      </w:r>
      <w:r>
        <w:rPr>
          <w:rFonts w:hint="eastAsia"/>
          <w:color w:val="auto"/>
          <w:sz w:val="28"/>
          <w:szCs w:val="28"/>
          <w:highlight w:val="none"/>
        </w:rPr>
        <w:t>，得</w:t>
      </w:r>
      <w:r>
        <w:rPr>
          <w:color w:val="auto"/>
          <w:sz w:val="28"/>
          <w:szCs w:val="28"/>
          <w:highlight w:val="none"/>
        </w:rPr>
        <w:t>1</w:t>
      </w:r>
      <w:r>
        <w:rPr>
          <w:rFonts w:hint="eastAsia"/>
          <w:color w:val="auto"/>
          <w:sz w:val="28"/>
          <w:szCs w:val="28"/>
          <w:highlight w:val="none"/>
        </w:rPr>
        <w:t>分。满分</w:t>
      </w:r>
      <w:r>
        <w:rPr>
          <w:color w:val="auto"/>
          <w:sz w:val="28"/>
          <w:szCs w:val="28"/>
          <w:highlight w:val="none"/>
        </w:rPr>
        <w:t>1分。</w:t>
      </w:r>
      <w:r>
        <w:rPr>
          <w:rFonts w:hint="eastAsia"/>
          <w:color w:val="auto"/>
          <w:sz w:val="28"/>
          <w:szCs w:val="28"/>
          <w:highlight w:val="none"/>
        </w:rPr>
        <w:t>（提供生产场地产权证明或租赁合同、生产车间、仓库</w:t>
      </w:r>
      <w:r>
        <w:rPr>
          <w:rFonts w:hint="eastAsia"/>
          <w:color w:val="auto"/>
          <w:sz w:val="28"/>
          <w:szCs w:val="28"/>
          <w:highlight w:val="none"/>
          <w:lang w:val="en-US" w:eastAsia="zh-CN"/>
        </w:rPr>
        <w:t>视频</w:t>
      </w:r>
      <w:r>
        <w:rPr>
          <w:rFonts w:hint="eastAsia"/>
          <w:color w:val="auto"/>
          <w:sz w:val="28"/>
          <w:szCs w:val="28"/>
          <w:highlight w:val="none"/>
        </w:rPr>
        <w:t>等）</w:t>
      </w:r>
    </w:p>
    <w:p w14:paraId="653C1831">
      <w:pPr>
        <w:pStyle w:val="41"/>
        <w:adjustRightInd w:val="0"/>
        <w:snapToGrid w:val="0"/>
        <w:spacing w:line="360" w:lineRule="exact"/>
        <w:ind w:firstLine="504" w:firstLineChars="180"/>
        <w:rPr>
          <w:color w:val="auto"/>
          <w:sz w:val="28"/>
          <w:szCs w:val="28"/>
          <w:highlight w:val="none"/>
        </w:rPr>
      </w:pPr>
      <w:r>
        <w:rPr>
          <w:rFonts w:hint="eastAsia"/>
          <w:color w:val="auto"/>
          <w:sz w:val="28"/>
          <w:szCs w:val="28"/>
          <w:highlight w:val="none"/>
        </w:rPr>
        <w:t>③生产进度保障分</w:t>
      </w:r>
      <w:r>
        <w:rPr>
          <w:color w:val="auto"/>
          <w:sz w:val="28"/>
          <w:szCs w:val="28"/>
          <w:highlight w:val="none"/>
        </w:rPr>
        <w:t>:</w:t>
      </w:r>
      <w:r>
        <w:rPr>
          <w:rFonts w:hint="eastAsia"/>
          <w:color w:val="auto"/>
          <w:sz w:val="28"/>
          <w:szCs w:val="28"/>
          <w:highlight w:val="none"/>
        </w:rPr>
        <w:t>提供生产进度计划表、生产流程图、生产人员安排表得</w:t>
      </w:r>
      <w:r>
        <w:rPr>
          <w:color w:val="auto"/>
          <w:sz w:val="28"/>
          <w:szCs w:val="28"/>
          <w:highlight w:val="none"/>
        </w:rPr>
        <w:t>1分；</w:t>
      </w:r>
      <w:r>
        <w:rPr>
          <w:rFonts w:hint="eastAsia"/>
          <w:color w:val="auto"/>
          <w:sz w:val="28"/>
          <w:szCs w:val="28"/>
          <w:highlight w:val="none"/>
        </w:rPr>
        <w:t>提供生产进度计划表、生产流程图、生产人员安排表，有安全保障措施，完善的管理组织得</w:t>
      </w:r>
      <w:r>
        <w:rPr>
          <w:color w:val="auto"/>
          <w:sz w:val="28"/>
          <w:szCs w:val="28"/>
          <w:highlight w:val="none"/>
        </w:rPr>
        <w:t>2</w:t>
      </w:r>
      <w:r>
        <w:rPr>
          <w:rFonts w:hint="eastAsia"/>
          <w:color w:val="auto"/>
          <w:sz w:val="28"/>
          <w:szCs w:val="28"/>
          <w:highlight w:val="none"/>
        </w:rPr>
        <w:t>分。满分</w:t>
      </w:r>
      <w:r>
        <w:rPr>
          <w:color w:val="auto"/>
          <w:sz w:val="28"/>
          <w:szCs w:val="28"/>
          <w:highlight w:val="none"/>
        </w:rPr>
        <w:t>2分</w:t>
      </w:r>
      <w:r>
        <w:rPr>
          <w:rFonts w:hint="eastAsia"/>
          <w:color w:val="auto"/>
          <w:sz w:val="28"/>
          <w:szCs w:val="28"/>
          <w:highlight w:val="none"/>
        </w:rPr>
        <w:t>。</w:t>
      </w:r>
    </w:p>
    <w:p w14:paraId="61D3A29E">
      <w:pPr>
        <w:pStyle w:val="41"/>
        <w:adjustRightInd w:val="0"/>
        <w:snapToGrid w:val="0"/>
        <w:spacing w:line="360" w:lineRule="exact"/>
        <w:ind w:firstLine="504" w:firstLineChars="180"/>
        <w:rPr>
          <w:color w:val="auto"/>
          <w:highlight w:val="none"/>
        </w:rPr>
      </w:pPr>
      <w:r>
        <w:rPr>
          <w:rFonts w:hint="eastAsia"/>
          <w:color w:val="auto"/>
          <w:sz w:val="28"/>
          <w:szCs w:val="28"/>
          <w:highlight w:val="none"/>
        </w:rPr>
        <w:t>④质量管控措施方案分：提供质量管控措施方案的0.5分；提供质量管理制度、生产各工序、质量管控措施的得1分；提供针对本项目的质量管理制度、生产各工序、产品出厂标准、质量管控措施的得2分。满分2分。</w:t>
      </w:r>
    </w:p>
    <w:p w14:paraId="15D839D2">
      <w:pPr>
        <w:spacing w:line="360" w:lineRule="exact"/>
        <w:ind w:firstLine="562" w:firstLineChars="200"/>
        <w:jc w:val="left"/>
        <w:rPr>
          <w:rFonts w:ascii="宋体" w:hAnsi="宋体" w:cs="宋体"/>
          <w:b/>
          <w:bCs/>
          <w:color w:val="auto"/>
          <w:kern w:val="0"/>
          <w:sz w:val="28"/>
          <w:szCs w:val="28"/>
          <w:highlight w:val="none"/>
        </w:rPr>
      </w:pPr>
      <w:r>
        <w:rPr>
          <w:rFonts w:hint="eastAsia" w:ascii="宋体" w:hAnsi="宋体" w:cs="宋体"/>
          <w:b/>
          <w:bCs/>
          <w:color w:val="auto"/>
          <w:sz w:val="28"/>
          <w:szCs w:val="28"/>
          <w:highlight w:val="none"/>
        </w:rPr>
        <w:t>3、售后服务方案及保障能力分……………………………</w:t>
      </w:r>
      <w:r>
        <w:rPr>
          <w:rFonts w:hint="eastAsia" w:ascii="宋体" w:hAnsi="宋体" w:cs="宋体"/>
          <w:b/>
          <w:bCs/>
          <w:color w:val="auto"/>
          <w:kern w:val="0"/>
          <w:sz w:val="28"/>
          <w:szCs w:val="28"/>
          <w:highlight w:val="none"/>
        </w:rPr>
        <w:t>10分</w:t>
      </w:r>
    </w:p>
    <w:p w14:paraId="338E1C69">
      <w:pPr>
        <w:widowControl/>
        <w:spacing w:line="360" w:lineRule="exact"/>
        <w:ind w:firstLine="560" w:firstLineChars="200"/>
        <w:jc w:val="left"/>
        <w:rPr>
          <w:rFonts w:ascii="宋体" w:hAnsi="宋体" w:cs="宋体"/>
          <w:color w:val="auto"/>
          <w:sz w:val="28"/>
          <w:szCs w:val="28"/>
          <w:highlight w:val="none"/>
        </w:rPr>
      </w:pPr>
      <w:r>
        <w:rPr>
          <w:rFonts w:ascii="宋体" w:hAnsi="宋体" w:cs="宋体"/>
          <w:color w:val="auto"/>
          <w:sz w:val="28"/>
          <w:szCs w:val="28"/>
          <w:highlight w:val="none"/>
        </w:rPr>
        <w:t>项目实施及售后服务承诺基本要求：至少应包括质保期、免费保修期限、到达故障现场时间（维护电话保证7×24小时响应，自接到故障通知起2小时内到达故障现场）、故障出现解决方案、定期维护（注明时间）、质保期内提供专人负责维保（售后服务承诺书内应有维保人员名单及联系方式），故障处理时限（不能超过4小时，对不能修复的保证在24小时内提供替代品或直接更换），质保期满前一个月及质保期内每年进行一次全面检修与保养，保修期外维修方案、其他优惠措施、安装要求及方案。</w:t>
      </w:r>
      <w:r>
        <w:rPr>
          <w:rFonts w:ascii="宋体" w:hAnsi="宋体" w:cs="宋体"/>
          <w:color w:val="auto"/>
          <w:sz w:val="28"/>
          <w:szCs w:val="28"/>
          <w:highlight w:val="none"/>
        </w:rPr>
        <w:br w:type="textWrapping"/>
      </w:r>
      <w:r>
        <w:rPr>
          <w:rFonts w:ascii="宋体" w:hAnsi="宋体" w:cs="宋体"/>
          <w:color w:val="auto"/>
          <w:sz w:val="28"/>
          <w:szCs w:val="28"/>
          <w:highlight w:val="none"/>
        </w:rPr>
        <w:t>一档（</w:t>
      </w:r>
      <w:r>
        <w:rPr>
          <w:rFonts w:hint="eastAsia" w:ascii="宋体" w:hAnsi="宋体" w:cs="宋体"/>
          <w:color w:val="auto"/>
          <w:sz w:val="28"/>
          <w:szCs w:val="28"/>
          <w:highlight w:val="none"/>
        </w:rPr>
        <w:t>4</w:t>
      </w:r>
      <w:r>
        <w:rPr>
          <w:rFonts w:ascii="宋体" w:hAnsi="宋体" w:cs="宋体"/>
          <w:color w:val="auto"/>
          <w:sz w:val="28"/>
          <w:szCs w:val="28"/>
          <w:highlight w:val="none"/>
        </w:rPr>
        <w:t>分）：有售后服务承诺书；满足招标文件的要求，有故障出现解决方案，有技术培训方案、保修期外维修方案。</w:t>
      </w:r>
      <w:r>
        <w:rPr>
          <w:rFonts w:ascii="宋体" w:hAnsi="宋体" w:cs="宋体"/>
          <w:color w:val="auto"/>
          <w:sz w:val="28"/>
          <w:szCs w:val="28"/>
          <w:highlight w:val="none"/>
        </w:rPr>
        <w:br w:type="textWrapping"/>
      </w:r>
      <w:r>
        <w:rPr>
          <w:rFonts w:ascii="宋体" w:hAnsi="宋体" w:cs="宋体"/>
          <w:color w:val="auto"/>
          <w:sz w:val="28"/>
          <w:szCs w:val="28"/>
          <w:highlight w:val="none"/>
        </w:rPr>
        <w:t>二档（</w:t>
      </w:r>
      <w:r>
        <w:rPr>
          <w:rFonts w:hint="eastAsia" w:ascii="宋体" w:hAnsi="宋体" w:cs="宋体"/>
          <w:color w:val="auto"/>
          <w:sz w:val="28"/>
          <w:szCs w:val="28"/>
          <w:highlight w:val="none"/>
        </w:rPr>
        <w:t>6</w:t>
      </w:r>
      <w:r>
        <w:rPr>
          <w:rFonts w:ascii="宋体" w:hAnsi="宋体" w:cs="宋体"/>
          <w:color w:val="auto"/>
          <w:sz w:val="28"/>
          <w:szCs w:val="28"/>
          <w:highlight w:val="none"/>
        </w:rPr>
        <w:t>分）：售后服务承诺书内容完整；解决事故时间在4小时内，故障出现解决方案可靠，定期维护方式方法合理，有完整的免费技术培训方案、保修期外维修方案；有售后服务能力措施。</w:t>
      </w:r>
      <w:r>
        <w:rPr>
          <w:rFonts w:ascii="宋体" w:hAnsi="宋体" w:cs="宋体"/>
          <w:color w:val="auto"/>
          <w:sz w:val="28"/>
          <w:szCs w:val="28"/>
          <w:highlight w:val="none"/>
        </w:rPr>
        <w:br w:type="textWrapping"/>
      </w:r>
      <w:r>
        <w:rPr>
          <w:rFonts w:ascii="宋体" w:hAnsi="宋体" w:cs="宋体"/>
          <w:color w:val="auto"/>
          <w:sz w:val="28"/>
          <w:szCs w:val="28"/>
          <w:highlight w:val="none"/>
        </w:rPr>
        <w:t>三档（</w:t>
      </w:r>
      <w:r>
        <w:rPr>
          <w:rFonts w:hint="eastAsia" w:ascii="宋体" w:hAnsi="宋体" w:cs="宋体"/>
          <w:color w:val="auto"/>
          <w:sz w:val="28"/>
          <w:szCs w:val="28"/>
          <w:highlight w:val="none"/>
        </w:rPr>
        <w:t>8</w:t>
      </w:r>
      <w:r>
        <w:rPr>
          <w:rFonts w:ascii="宋体" w:hAnsi="宋体" w:cs="宋体"/>
          <w:color w:val="auto"/>
          <w:sz w:val="28"/>
          <w:szCs w:val="28"/>
          <w:highlight w:val="none"/>
        </w:rPr>
        <w:t>分）：售后服务承诺书内容详细具体；解决事故时间在2小时内，故障出现解决方案可靠，定期维护方式方法合理，有完整的免费技术培训方案、保修期外维修方案；有完善的本地化售后服务措施；对售后服务应急预案、其他优惠措施等方面都有描述，可操作性强；项目投标人能够举实例充分证明（同类案例）售后服务方案的可靠性，能提针对本项目采购需求提供较多的优于采购文件要求的实质性服务承诺。</w:t>
      </w:r>
      <w:r>
        <w:rPr>
          <w:rFonts w:ascii="宋体" w:hAnsi="宋体" w:cs="宋体"/>
          <w:color w:val="auto"/>
          <w:sz w:val="28"/>
          <w:szCs w:val="28"/>
          <w:highlight w:val="none"/>
        </w:rPr>
        <w:br w:type="textWrapping"/>
      </w:r>
      <w:r>
        <w:rPr>
          <w:rFonts w:ascii="宋体" w:hAnsi="宋体" w:cs="宋体"/>
          <w:color w:val="auto"/>
          <w:sz w:val="28"/>
          <w:szCs w:val="28"/>
          <w:highlight w:val="none"/>
        </w:rPr>
        <w:t>四档（1</w:t>
      </w:r>
      <w:r>
        <w:rPr>
          <w:rFonts w:hint="eastAsia" w:ascii="宋体" w:hAnsi="宋体" w:cs="宋体"/>
          <w:color w:val="auto"/>
          <w:sz w:val="28"/>
          <w:szCs w:val="28"/>
          <w:highlight w:val="none"/>
        </w:rPr>
        <w:t>0</w:t>
      </w:r>
      <w:r>
        <w:rPr>
          <w:rFonts w:ascii="宋体" w:hAnsi="宋体" w:cs="宋体"/>
          <w:color w:val="auto"/>
          <w:sz w:val="28"/>
          <w:szCs w:val="28"/>
          <w:highlight w:val="none"/>
        </w:rPr>
        <w:t>分）：在满足三档的基础上，能针对采购需求提供较多的优质的增值服务承诺，提供的服务承诺针对性强，可靠保证，符合采购方实际需求的，售后服务方案详细描述了设备售后维护和应急保障方案的方法以及实现方式，常年备有齐全的配件，整体方案针对性、可行性强，对采购人有实际性帮助。投标人或投标产品生产厂家具备“家具报修服务平台”，平台服务具备如下功能：（1）报修功能；（2）派单功能；（3）定位和签到功能；（4）预警功能。（提供功能截图并加盖公章）</w:t>
      </w:r>
    </w:p>
    <w:p w14:paraId="455F5FBE">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无相关内容或不满足最低进档要求不得分。</w:t>
      </w:r>
    </w:p>
    <w:p w14:paraId="6C6F193B">
      <w:pPr>
        <w:spacing w:line="360" w:lineRule="exact"/>
        <w:ind w:firstLine="562" w:firstLineChars="20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4、商务分……………………………………………………9分</w:t>
      </w:r>
    </w:p>
    <w:p w14:paraId="3F8F87A1">
      <w:pPr>
        <w:widowControl/>
        <w:spacing w:line="380" w:lineRule="exact"/>
        <w:ind w:firstLine="562" w:firstLineChars="20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（1）业绩分（满分5分）</w:t>
      </w:r>
    </w:p>
    <w:p w14:paraId="6DDAF092">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人自2022年1月1日至开标截止时间前具有同类产品的销售业绩，每有1项得0.5分，满分5分，投标文件中提供有效的合同复印件或中标（成交）通知书复印件。若投标人非生产厂家，可提供生产厂家同类项目业绩（需提供合同复印件及生产厂家授权书）。</w:t>
      </w:r>
    </w:p>
    <w:p w14:paraId="4F819781">
      <w:pPr>
        <w:widowControl/>
        <w:spacing w:line="380" w:lineRule="exact"/>
        <w:ind w:firstLine="562" w:firstLineChars="20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（2）信誉分（满分3分）</w:t>
      </w:r>
    </w:p>
    <w:p w14:paraId="342BFC08">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①投标人或投标产品生产厂家提供</w:t>
      </w:r>
      <w:r>
        <w:rPr>
          <w:rFonts w:ascii="宋体" w:hAnsi="宋体" w:cs="宋体"/>
          <w:color w:val="auto"/>
          <w:sz w:val="28"/>
          <w:szCs w:val="28"/>
          <w:highlight w:val="none"/>
        </w:rPr>
        <w:t xml:space="preserve"> ISO9001 </w:t>
      </w:r>
      <w:r>
        <w:rPr>
          <w:rFonts w:hint="eastAsia" w:ascii="宋体" w:hAnsi="宋体" w:cs="宋体"/>
          <w:color w:val="auto"/>
          <w:sz w:val="28"/>
          <w:szCs w:val="28"/>
          <w:highlight w:val="none"/>
        </w:rPr>
        <w:t>质量管理体系认证、</w:t>
      </w:r>
      <w:r>
        <w:rPr>
          <w:rFonts w:ascii="宋体" w:hAnsi="宋体" w:cs="宋体"/>
          <w:color w:val="auto"/>
          <w:sz w:val="28"/>
          <w:szCs w:val="28"/>
          <w:highlight w:val="none"/>
        </w:rPr>
        <w:t xml:space="preserve">ISO14001 </w:t>
      </w:r>
      <w:r>
        <w:rPr>
          <w:rFonts w:hint="eastAsia" w:ascii="宋体" w:hAnsi="宋体" w:cs="宋体"/>
          <w:color w:val="auto"/>
          <w:sz w:val="28"/>
          <w:szCs w:val="28"/>
          <w:highlight w:val="none"/>
        </w:rPr>
        <w:t>环境管理体系认证、职业健康安全管理体系认证。每提供一种证书得</w:t>
      </w:r>
      <w:r>
        <w:rPr>
          <w:rFonts w:ascii="宋体" w:hAnsi="宋体" w:cs="宋体"/>
          <w:color w:val="auto"/>
          <w:sz w:val="28"/>
          <w:szCs w:val="28"/>
          <w:highlight w:val="none"/>
        </w:rPr>
        <w:t xml:space="preserve">0.5分，共 1.5 </w:t>
      </w:r>
      <w:r>
        <w:rPr>
          <w:rFonts w:hint="eastAsia" w:ascii="宋体" w:hAnsi="宋体" w:cs="宋体"/>
          <w:color w:val="auto"/>
          <w:sz w:val="28"/>
          <w:szCs w:val="28"/>
          <w:highlight w:val="none"/>
        </w:rPr>
        <w:t>分。（投标文件中提供有效的复印件并加盖投标人公章，原件备查）</w:t>
      </w:r>
    </w:p>
    <w:p w14:paraId="5CCF98FD">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②投标人或投标产品生产厂家提供所投产品获得“人类工效学认证证书”的，得</w:t>
      </w:r>
      <w:r>
        <w:rPr>
          <w:rFonts w:ascii="宋体" w:hAnsi="宋体" w:cs="宋体"/>
          <w:color w:val="auto"/>
          <w:sz w:val="28"/>
          <w:szCs w:val="28"/>
          <w:highlight w:val="none"/>
        </w:rPr>
        <w:t>0.5</w:t>
      </w:r>
      <w:r>
        <w:rPr>
          <w:rFonts w:hint="eastAsia" w:ascii="宋体" w:hAnsi="宋体" w:cs="宋体"/>
          <w:color w:val="auto"/>
          <w:sz w:val="28"/>
          <w:szCs w:val="28"/>
          <w:highlight w:val="none"/>
        </w:rPr>
        <w:t>分。</w:t>
      </w:r>
    </w:p>
    <w:p w14:paraId="4612F9C3">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③投标人或所投产品的生产厂家提供所投产品获得“中国环保认证证书”的，得</w:t>
      </w:r>
      <w:r>
        <w:rPr>
          <w:rFonts w:ascii="宋体" w:hAnsi="宋体" w:cs="宋体"/>
          <w:color w:val="auto"/>
          <w:sz w:val="28"/>
          <w:szCs w:val="28"/>
          <w:highlight w:val="none"/>
        </w:rPr>
        <w:t>0.5</w:t>
      </w:r>
      <w:r>
        <w:rPr>
          <w:rFonts w:hint="eastAsia" w:ascii="宋体" w:hAnsi="宋体" w:cs="宋体"/>
          <w:color w:val="auto"/>
          <w:sz w:val="28"/>
          <w:szCs w:val="28"/>
          <w:highlight w:val="none"/>
        </w:rPr>
        <w:t>分</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w:t>
      </w:r>
    </w:p>
    <w:p w14:paraId="47D77B10">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④投标人或投标产品生产厂家提供所投产品获得“有害物质限量体系认证证书”的，得</w:t>
      </w:r>
      <w:r>
        <w:rPr>
          <w:rFonts w:ascii="宋体" w:hAnsi="宋体" w:cs="宋体"/>
          <w:color w:val="auto"/>
          <w:sz w:val="28"/>
          <w:szCs w:val="28"/>
          <w:highlight w:val="none"/>
        </w:rPr>
        <w:t>0.5</w:t>
      </w:r>
      <w:r>
        <w:rPr>
          <w:rFonts w:hint="eastAsia" w:ascii="宋体" w:hAnsi="宋体" w:cs="宋体"/>
          <w:color w:val="auto"/>
          <w:sz w:val="28"/>
          <w:szCs w:val="28"/>
          <w:highlight w:val="none"/>
        </w:rPr>
        <w:t>分。</w:t>
      </w:r>
    </w:p>
    <w:p w14:paraId="2929AF9F">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（注</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：以上证书以通过认证机构年审合格为准</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，证书有效期须保持至本项目投标截止之日，提供证书扫描件或其他电子文件，并加盖投标人公章）</w:t>
      </w:r>
    </w:p>
    <w:p w14:paraId="7E5F4330">
      <w:pPr>
        <w:widowControl/>
        <w:spacing w:line="380" w:lineRule="exact"/>
        <w:ind w:firstLine="562" w:firstLineChars="20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 xml:space="preserve">（3）政策功能分（满分1分） </w:t>
      </w:r>
    </w:p>
    <w:p w14:paraId="042C8611">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①投标产品纳入财政部 国家发展改革委《关于印发节能产品政府采购品目清单的通知》（财库[2019]19号）中节能产品政府采购品目清单的（适用于非强制采购节能产品，报价金额或项号数占三分之一及以上，并须依据《市场监管总局关于发布参与实施政府采购节能产品、环境标志产品认证机构名录的公告》，提供所投相应型号产品有效的认证证书复印件）得0.5分；</w:t>
      </w:r>
    </w:p>
    <w:p w14:paraId="7023FDAA">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②投标产品纳入财政部 国家发展改革委《关于印发环境标志产品政府采购品目清单的通知》（财库[2019]18号）中环境标志产品政府采购品目清单的（报价金额或项号数占三分之一及以上，并须依据《市场监管总局关于发布参与实施政府采购节能产品、环境标志产品认证机构名录的公告》，提供所投相应型号产品有效的认证证书复印件）得0.5分。</w:t>
      </w:r>
    </w:p>
    <w:p w14:paraId="1A896D59">
      <w:pPr>
        <w:widowControl/>
        <w:spacing w:line="380" w:lineRule="exact"/>
        <w:ind w:firstLine="562" w:firstLineChars="20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（三）总得分=1+2+3+4。</w:t>
      </w:r>
    </w:p>
    <w:p w14:paraId="3AB15AE3">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三、中标候选人推荐原则</w:t>
      </w:r>
    </w:p>
    <w:p w14:paraId="6BFB5F8B">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一）评标委员会将根据得分由高到低排列次序（得分相同时，以投标报价由低到高顺序排列；得分相同且投标报价相同的，按技术评分从高到低顺序排列）并推荐中标候选供应商。采购人应当确定评审委员会推荐排名第一的中标候选人为中标人。</w:t>
      </w:r>
    </w:p>
    <w:p w14:paraId="02BDCCBE">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排名第一的中标候选人放弃中标、因不可抗力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14:paraId="69E53D0F">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09ECE3">
      <w:pPr>
        <w:spacing w:line="360" w:lineRule="exact"/>
        <w:jc w:val="left"/>
        <w:rPr>
          <w:color w:val="auto"/>
          <w:highlight w:val="none"/>
        </w:rPr>
      </w:pPr>
    </w:p>
    <w:p w14:paraId="71406ECF">
      <w:pPr>
        <w:widowControl/>
        <w:spacing w:line="360" w:lineRule="exact"/>
        <w:ind w:firstLine="422" w:firstLineChars="200"/>
        <w:jc w:val="left"/>
        <w:rPr>
          <w:rFonts w:ascii="宋体" w:hAnsi="宋体"/>
          <w:b/>
          <w:bCs/>
          <w:color w:val="auto"/>
          <w:kern w:val="0"/>
          <w:szCs w:val="21"/>
          <w:highlight w:val="none"/>
        </w:rPr>
      </w:pPr>
    </w:p>
    <w:p w14:paraId="66CFE8B2">
      <w:pPr>
        <w:spacing w:line="440" w:lineRule="exact"/>
        <w:rPr>
          <w:color w:val="auto"/>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CB98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A26E8">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4A26E8">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 w:name="KSO_WPS_MARK_KEY" w:val="f226f762-bbab-489d-abee-780cc20be2f5"/>
  </w:docVars>
  <w:rsids>
    <w:rsidRoot w:val="00970D54"/>
    <w:rsid w:val="00025C5B"/>
    <w:rsid w:val="00042088"/>
    <w:rsid w:val="0005185F"/>
    <w:rsid w:val="000D7BF6"/>
    <w:rsid w:val="000F3AFF"/>
    <w:rsid w:val="000F4CEB"/>
    <w:rsid w:val="00117E1E"/>
    <w:rsid w:val="001655E6"/>
    <w:rsid w:val="0017545C"/>
    <w:rsid w:val="001A114F"/>
    <w:rsid w:val="001A4C7C"/>
    <w:rsid w:val="001A4D18"/>
    <w:rsid w:val="001B2D61"/>
    <w:rsid w:val="0020554B"/>
    <w:rsid w:val="00223BE2"/>
    <w:rsid w:val="00297009"/>
    <w:rsid w:val="0032354C"/>
    <w:rsid w:val="00331E41"/>
    <w:rsid w:val="00343F78"/>
    <w:rsid w:val="00357436"/>
    <w:rsid w:val="00373E32"/>
    <w:rsid w:val="003B3053"/>
    <w:rsid w:val="003D2E53"/>
    <w:rsid w:val="003F1F49"/>
    <w:rsid w:val="00416C92"/>
    <w:rsid w:val="00417660"/>
    <w:rsid w:val="0043286F"/>
    <w:rsid w:val="004671B2"/>
    <w:rsid w:val="00473D71"/>
    <w:rsid w:val="00481196"/>
    <w:rsid w:val="004A6C4A"/>
    <w:rsid w:val="004F4AE7"/>
    <w:rsid w:val="00515D4C"/>
    <w:rsid w:val="00541095"/>
    <w:rsid w:val="00543222"/>
    <w:rsid w:val="00563903"/>
    <w:rsid w:val="005816BA"/>
    <w:rsid w:val="00597333"/>
    <w:rsid w:val="005A1AFB"/>
    <w:rsid w:val="005C672A"/>
    <w:rsid w:val="00654346"/>
    <w:rsid w:val="006546D6"/>
    <w:rsid w:val="00665BAD"/>
    <w:rsid w:val="00665CEE"/>
    <w:rsid w:val="00687C16"/>
    <w:rsid w:val="006A6620"/>
    <w:rsid w:val="00726300"/>
    <w:rsid w:val="00727F57"/>
    <w:rsid w:val="00730A2E"/>
    <w:rsid w:val="007338DD"/>
    <w:rsid w:val="00753260"/>
    <w:rsid w:val="00790F2A"/>
    <w:rsid w:val="007B6B6B"/>
    <w:rsid w:val="0080020D"/>
    <w:rsid w:val="0086330A"/>
    <w:rsid w:val="0088414D"/>
    <w:rsid w:val="008A623D"/>
    <w:rsid w:val="008B50B2"/>
    <w:rsid w:val="008E2A0E"/>
    <w:rsid w:val="008E4BA3"/>
    <w:rsid w:val="00904389"/>
    <w:rsid w:val="009512ED"/>
    <w:rsid w:val="00970D54"/>
    <w:rsid w:val="00983D69"/>
    <w:rsid w:val="009D10D1"/>
    <w:rsid w:val="00A179DB"/>
    <w:rsid w:val="00A309B2"/>
    <w:rsid w:val="00A976D7"/>
    <w:rsid w:val="00AC2955"/>
    <w:rsid w:val="00BD65CE"/>
    <w:rsid w:val="00C13C98"/>
    <w:rsid w:val="00C42BA8"/>
    <w:rsid w:val="00C75667"/>
    <w:rsid w:val="00CC4CC7"/>
    <w:rsid w:val="00D42F54"/>
    <w:rsid w:val="00D44061"/>
    <w:rsid w:val="00D77BF2"/>
    <w:rsid w:val="00D948AC"/>
    <w:rsid w:val="00DD2C72"/>
    <w:rsid w:val="00DD4850"/>
    <w:rsid w:val="00E3320C"/>
    <w:rsid w:val="00E422E5"/>
    <w:rsid w:val="00E55CD6"/>
    <w:rsid w:val="00E842FE"/>
    <w:rsid w:val="00E96131"/>
    <w:rsid w:val="00EA73CB"/>
    <w:rsid w:val="00EB6E3D"/>
    <w:rsid w:val="00EE78E7"/>
    <w:rsid w:val="00EF3001"/>
    <w:rsid w:val="00F34755"/>
    <w:rsid w:val="00F37776"/>
    <w:rsid w:val="00F44F8E"/>
    <w:rsid w:val="00F50CDF"/>
    <w:rsid w:val="00F969EC"/>
    <w:rsid w:val="00FD4666"/>
    <w:rsid w:val="00FE0D7D"/>
    <w:rsid w:val="013B2B96"/>
    <w:rsid w:val="015B3238"/>
    <w:rsid w:val="018500EB"/>
    <w:rsid w:val="01991D03"/>
    <w:rsid w:val="01F53652"/>
    <w:rsid w:val="025E7C04"/>
    <w:rsid w:val="026779BA"/>
    <w:rsid w:val="026F2FCA"/>
    <w:rsid w:val="02704AC1"/>
    <w:rsid w:val="027C4F05"/>
    <w:rsid w:val="028816CE"/>
    <w:rsid w:val="02B86A83"/>
    <w:rsid w:val="02FB57E0"/>
    <w:rsid w:val="03367AB9"/>
    <w:rsid w:val="03513FE8"/>
    <w:rsid w:val="03DA6157"/>
    <w:rsid w:val="03E05C76"/>
    <w:rsid w:val="03FF3EAE"/>
    <w:rsid w:val="041F054D"/>
    <w:rsid w:val="04497378"/>
    <w:rsid w:val="044A30F0"/>
    <w:rsid w:val="04610B65"/>
    <w:rsid w:val="046E3DE2"/>
    <w:rsid w:val="048E122E"/>
    <w:rsid w:val="04E2640E"/>
    <w:rsid w:val="04E83AB4"/>
    <w:rsid w:val="04E92E90"/>
    <w:rsid w:val="04EC217A"/>
    <w:rsid w:val="0545048F"/>
    <w:rsid w:val="05B57989"/>
    <w:rsid w:val="05CB200E"/>
    <w:rsid w:val="05E21976"/>
    <w:rsid w:val="05EA06E6"/>
    <w:rsid w:val="05FF3A40"/>
    <w:rsid w:val="064323A1"/>
    <w:rsid w:val="064918B1"/>
    <w:rsid w:val="068030E5"/>
    <w:rsid w:val="06872E9D"/>
    <w:rsid w:val="06947590"/>
    <w:rsid w:val="06B20F69"/>
    <w:rsid w:val="072B1BB5"/>
    <w:rsid w:val="0742094B"/>
    <w:rsid w:val="0744651C"/>
    <w:rsid w:val="076A5F83"/>
    <w:rsid w:val="078B7C19"/>
    <w:rsid w:val="079C7CB2"/>
    <w:rsid w:val="085D3D32"/>
    <w:rsid w:val="087F5A5E"/>
    <w:rsid w:val="08826780"/>
    <w:rsid w:val="08AE7889"/>
    <w:rsid w:val="08F6728B"/>
    <w:rsid w:val="093A7BB6"/>
    <w:rsid w:val="09581E0B"/>
    <w:rsid w:val="095A3DD5"/>
    <w:rsid w:val="09E33EB1"/>
    <w:rsid w:val="0A0F2E11"/>
    <w:rsid w:val="0A2900D7"/>
    <w:rsid w:val="0A3C1929"/>
    <w:rsid w:val="0A3E48A2"/>
    <w:rsid w:val="0A4427FB"/>
    <w:rsid w:val="0A5D5F08"/>
    <w:rsid w:val="0A6C0264"/>
    <w:rsid w:val="0A83110A"/>
    <w:rsid w:val="0A9652E1"/>
    <w:rsid w:val="0ABA2D7D"/>
    <w:rsid w:val="0ACF0033"/>
    <w:rsid w:val="0B04224A"/>
    <w:rsid w:val="0B0A397A"/>
    <w:rsid w:val="0B3058BE"/>
    <w:rsid w:val="0B5C2086"/>
    <w:rsid w:val="0B5F7EE0"/>
    <w:rsid w:val="0B835994"/>
    <w:rsid w:val="0B9E7266"/>
    <w:rsid w:val="0C1464BD"/>
    <w:rsid w:val="0C222435"/>
    <w:rsid w:val="0C790A16"/>
    <w:rsid w:val="0C936BC5"/>
    <w:rsid w:val="0CBF5287"/>
    <w:rsid w:val="0CD36378"/>
    <w:rsid w:val="0D0A78C0"/>
    <w:rsid w:val="0D1D1559"/>
    <w:rsid w:val="0D1F7665"/>
    <w:rsid w:val="0D43731A"/>
    <w:rsid w:val="0D97092C"/>
    <w:rsid w:val="0DAC4B34"/>
    <w:rsid w:val="0DDE3227"/>
    <w:rsid w:val="0DE6032D"/>
    <w:rsid w:val="0DEF3BC2"/>
    <w:rsid w:val="0E2E3FD5"/>
    <w:rsid w:val="0E4424F1"/>
    <w:rsid w:val="0EBD2E3C"/>
    <w:rsid w:val="0EEF4FBF"/>
    <w:rsid w:val="0F087E2F"/>
    <w:rsid w:val="0F2E7896"/>
    <w:rsid w:val="0F977B31"/>
    <w:rsid w:val="0F9A317D"/>
    <w:rsid w:val="0FA638D0"/>
    <w:rsid w:val="0FE467C4"/>
    <w:rsid w:val="10AC3F5A"/>
    <w:rsid w:val="10B92541"/>
    <w:rsid w:val="10C61D50"/>
    <w:rsid w:val="10E42CCD"/>
    <w:rsid w:val="10F964B5"/>
    <w:rsid w:val="11397AC9"/>
    <w:rsid w:val="11490D75"/>
    <w:rsid w:val="11A53021"/>
    <w:rsid w:val="11AD707F"/>
    <w:rsid w:val="11DA61BE"/>
    <w:rsid w:val="11DF30C9"/>
    <w:rsid w:val="11EA598B"/>
    <w:rsid w:val="11F1104F"/>
    <w:rsid w:val="12241424"/>
    <w:rsid w:val="12803E1B"/>
    <w:rsid w:val="12E806A4"/>
    <w:rsid w:val="12EE11CD"/>
    <w:rsid w:val="12FC55F3"/>
    <w:rsid w:val="134428A9"/>
    <w:rsid w:val="13974868"/>
    <w:rsid w:val="13B32A60"/>
    <w:rsid w:val="13C0219B"/>
    <w:rsid w:val="13C62793"/>
    <w:rsid w:val="13D951B3"/>
    <w:rsid w:val="140B4606"/>
    <w:rsid w:val="141D2158"/>
    <w:rsid w:val="142B0BE2"/>
    <w:rsid w:val="144E09DA"/>
    <w:rsid w:val="149E2FB0"/>
    <w:rsid w:val="149E54BE"/>
    <w:rsid w:val="14BD14C6"/>
    <w:rsid w:val="14F73494"/>
    <w:rsid w:val="158A77F0"/>
    <w:rsid w:val="159B1B8A"/>
    <w:rsid w:val="15A207A1"/>
    <w:rsid w:val="15B52F1D"/>
    <w:rsid w:val="15C34B92"/>
    <w:rsid w:val="15D23872"/>
    <w:rsid w:val="16534086"/>
    <w:rsid w:val="1655077D"/>
    <w:rsid w:val="1672275E"/>
    <w:rsid w:val="167449C4"/>
    <w:rsid w:val="16781D3E"/>
    <w:rsid w:val="16AF4B18"/>
    <w:rsid w:val="16CD3C32"/>
    <w:rsid w:val="1776002C"/>
    <w:rsid w:val="17C214C3"/>
    <w:rsid w:val="1824469F"/>
    <w:rsid w:val="18354985"/>
    <w:rsid w:val="183A2BB8"/>
    <w:rsid w:val="183F6F76"/>
    <w:rsid w:val="18560C48"/>
    <w:rsid w:val="189521AD"/>
    <w:rsid w:val="18AD1A10"/>
    <w:rsid w:val="18BC5824"/>
    <w:rsid w:val="19406B43"/>
    <w:rsid w:val="19B80381"/>
    <w:rsid w:val="19E105C8"/>
    <w:rsid w:val="1A062596"/>
    <w:rsid w:val="1ABC757E"/>
    <w:rsid w:val="1B340CBE"/>
    <w:rsid w:val="1B422B54"/>
    <w:rsid w:val="1B8151F1"/>
    <w:rsid w:val="1B9D002C"/>
    <w:rsid w:val="1BB13D28"/>
    <w:rsid w:val="1BCF0D96"/>
    <w:rsid w:val="1C1B73F4"/>
    <w:rsid w:val="1C940F54"/>
    <w:rsid w:val="1CCB5AB9"/>
    <w:rsid w:val="1CE21609"/>
    <w:rsid w:val="1CE974F2"/>
    <w:rsid w:val="1D1327C1"/>
    <w:rsid w:val="1D413844"/>
    <w:rsid w:val="1D434E54"/>
    <w:rsid w:val="1D73345A"/>
    <w:rsid w:val="1D8255CF"/>
    <w:rsid w:val="1DE008F5"/>
    <w:rsid w:val="1DE135BD"/>
    <w:rsid w:val="1DE4451C"/>
    <w:rsid w:val="1E0572E4"/>
    <w:rsid w:val="1E1862E1"/>
    <w:rsid w:val="1E3C09E6"/>
    <w:rsid w:val="1E51078E"/>
    <w:rsid w:val="1E860908"/>
    <w:rsid w:val="1EA23DFC"/>
    <w:rsid w:val="1EFB51AE"/>
    <w:rsid w:val="1F016D75"/>
    <w:rsid w:val="1FD33F87"/>
    <w:rsid w:val="1FDB291B"/>
    <w:rsid w:val="1FFB05D5"/>
    <w:rsid w:val="20166850"/>
    <w:rsid w:val="20230F6D"/>
    <w:rsid w:val="2099122F"/>
    <w:rsid w:val="20BB2F53"/>
    <w:rsid w:val="20F85F7A"/>
    <w:rsid w:val="20F86589"/>
    <w:rsid w:val="21042B4C"/>
    <w:rsid w:val="210E2DA2"/>
    <w:rsid w:val="216F6FDD"/>
    <w:rsid w:val="2199723C"/>
    <w:rsid w:val="21C760A6"/>
    <w:rsid w:val="21C83B7A"/>
    <w:rsid w:val="21CD4054"/>
    <w:rsid w:val="21DE1BB8"/>
    <w:rsid w:val="21E15295"/>
    <w:rsid w:val="224D407F"/>
    <w:rsid w:val="226D64CF"/>
    <w:rsid w:val="22D23BD0"/>
    <w:rsid w:val="23231BC0"/>
    <w:rsid w:val="23324EC0"/>
    <w:rsid w:val="235C04C9"/>
    <w:rsid w:val="235F406A"/>
    <w:rsid w:val="2360502C"/>
    <w:rsid w:val="23A777BF"/>
    <w:rsid w:val="242C16EC"/>
    <w:rsid w:val="24980440"/>
    <w:rsid w:val="253A672A"/>
    <w:rsid w:val="25627E42"/>
    <w:rsid w:val="25707780"/>
    <w:rsid w:val="2583691A"/>
    <w:rsid w:val="259049AF"/>
    <w:rsid w:val="25C96113"/>
    <w:rsid w:val="26190E48"/>
    <w:rsid w:val="2639768F"/>
    <w:rsid w:val="26511383"/>
    <w:rsid w:val="266F0A68"/>
    <w:rsid w:val="267E514F"/>
    <w:rsid w:val="26BD249B"/>
    <w:rsid w:val="26D044DE"/>
    <w:rsid w:val="26D0702D"/>
    <w:rsid w:val="26D27249"/>
    <w:rsid w:val="26D5578C"/>
    <w:rsid w:val="26E1123A"/>
    <w:rsid w:val="273575D9"/>
    <w:rsid w:val="273D2496"/>
    <w:rsid w:val="276B0FC6"/>
    <w:rsid w:val="27843941"/>
    <w:rsid w:val="278A0FAF"/>
    <w:rsid w:val="27983FEE"/>
    <w:rsid w:val="279D63A8"/>
    <w:rsid w:val="27AC5CEC"/>
    <w:rsid w:val="27DC212D"/>
    <w:rsid w:val="27E9484A"/>
    <w:rsid w:val="28156F1E"/>
    <w:rsid w:val="281E5572"/>
    <w:rsid w:val="28357A8F"/>
    <w:rsid w:val="285F643D"/>
    <w:rsid w:val="28B947C8"/>
    <w:rsid w:val="28C8506A"/>
    <w:rsid w:val="292C1818"/>
    <w:rsid w:val="294213D2"/>
    <w:rsid w:val="2968267C"/>
    <w:rsid w:val="297B3BC8"/>
    <w:rsid w:val="29EA6657"/>
    <w:rsid w:val="29EE5D35"/>
    <w:rsid w:val="2A4346E5"/>
    <w:rsid w:val="2A866380"/>
    <w:rsid w:val="2AC74B8A"/>
    <w:rsid w:val="2AFB3B01"/>
    <w:rsid w:val="2B1B4A5A"/>
    <w:rsid w:val="2B391645"/>
    <w:rsid w:val="2BA44FCF"/>
    <w:rsid w:val="2BBF5FEE"/>
    <w:rsid w:val="2BED26EA"/>
    <w:rsid w:val="2BF92E4C"/>
    <w:rsid w:val="2C02412C"/>
    <w:rsid w:val="2C565F26"/>
    <w:rsid w:val="2C5B55EB"/>
    <w:rsid w:val="2C9F6664"/>
    <w:rsid w:val="2CAB0320"/>
    <w:rsid w:val="2CE84DB9"/>
    <w:rsid w:val="2CF0667B"/>
    <w:rsid w:val="2D43243E"/>
    <w:rsid w:val="2D590C84"/>
    <w:rsid w:val="2D6706EB"/>
    <w:rsid w:val="2D6A0061"/>
    <w:rsid w:val="2D7129F0"/>
    <w:rsid w:val="2D852B0F"/>
    <w:rsid w:val="2DD4283B"/>
    <w:rsid w:val="2DFF277A"/>
    <w:rsid w:val="2E261ADB"/>
    <w:rsid w:val="2E4938B9"/>
    <w:rsid w:val="2E8B0409"/>
    <w:rsid w:val="2E9279E9"/>
    <w:rsid w:val="2EAA4D1B"/>
    <w:rsid w:val="2ECD6C74"/>
    <w:rsid w:val="2F1138AF"/>
    <w:rsid w:val="2F5514EF"/>
    <w:rsid w:val="2F8D1F5F"/>
    <w:rsid w:val="2FE1596B"/>
    <w:rsid w:val="301461DC"/>
    <w:rsid w:val="302B680E"/>
    <w:rsid w:val="30334B55"/>
    <w:rsid w:val="30586A11"/>
    <w:rsid w:val="30601421"/>
    <w:rsid w:val="30723EC4"/>
    <w:rsid w:val="30AD07DB"/>
    <w:rsid w:val="30E9291E"/>
    <w:rsid w:val="31321F29"/>
    <w:rsid w:val="31403713"/>
    <w:rsid w:val="316C5004"/>
    <w:rsid w:val="31B045AD"/>
    <w:rsid w:val="31D75713"/>
    <w:rsid w:val="31DA3940"/>
    <w:rsid w:val="3231391E"/>
    <w:rsid w:val="323E5792"/>
    <w:rsid w:val="325B00F2"/>
    <w:rsid w:val="32756072"/>
    <w:rsid w:val="329A1850"/>
    <w:rsid w:val="32CB2E07"/>
    <w:rsid w:val="33572FB0"/>
    <w:rsid w:val="336230DC"/>
    <w:rsid w:val="336E7982"/>
    <w:rsid w:val="33977D9C"/>
    <w:rsid w:val="33E15662"/>
    <w:rsid w:val="340541A5"/>
    <w:rsid w:val="340B05C3"/>
    <w:rsid w:val="34123199"/>
    <w:rsid w:val="34417B49"/>
    <w:rsid w:val="34425A0E"/>
    <w:rsid w:val="345C0152"/>
    <w:rsid w:val="34744B4D"/>
    <w:rsid w:val="34BD4190"/>
    <w:rsid w:val="34D348F2"/>
    <w:rsid w:val="352F5715"/>
    <w:rsid w:val="35BA2275"/>
    <w:rsid w:val="35D54660"/>
    <w:rsid w:val="35D71253"/>
    <w:rsid w:val="36344A39"/>
    <w:rsid w:val="366E6677"/>
    <w:rsid w:val="367626A4"/>
    <w:rsid w:val="36E96615"/>
    <w:rsid w:val="37173B33"/>
    <w:rsid w:val="37190CCB"/>
    <w:rsid w:val="373D289B"/>
    <w:rsid w:val="37747743"/>
    <w:rsid w:val="377D0B0B"/>
    <w:rsid w:val="3786158D"/>
    <w:rsid w:val="37EC407D"/>
    <w:rsid w:val="380B72AB"/>
    <w:rsid w:val="383C32D2"/>
    <w:rsid w:val="386D5D40"/>
    <w:rsid w:val="388760E5"/>
    <w:rsid w:val="392D6FD1"/>
    <w:rsid w:val="393B38EF"/>
    <w:rsid w:val="396D238A"/>
    <w:rsid w:val="3995038E"/>
    <w:rsid w:val="39971251"/>
    <w:rsid w:val="39B20F40"/>
    <w:rsid w:val="39B822CE"/>
    <w:rsid w:val="3A414456"/>
    <w:rsid w:val="3A614714"/>
    <w:rsid w:val="3A887EF3"/>
    <w:rsid w:val="3A9248CD"/>
    <w:rsid w:val="3AF67D56"/>
    <w:rsid w:val="3B7B1805"/>
    <w:rsid w:val="3B8763FC"/>
    <w:rsid w:val="3B8A3C35"/>
    <w:rsid w:val="3B8B4234"/>
    <w:rsid w:val="3BB52F69"/>
    <w:rsid w:val="3BBC6816"/>
    <w:rsid w:val="3BDA4BF9"/>
    <w:rsid w:val="3BF71E8E"/>
    <w:rsid w:val="3C2B68BB"/>
    <w:rsid w:val="3CC81535"/>
    <w:rsid w:val="3CF44695"/>
    <w:rsid w:val="3D430101"/>
    <w:rsid w:val="3D545E19"/>
    <w:rsid w:val="3D6A38DF"/>
    <w:rsid w:val="3D7C0021"/>
    <w:rsid w:val="3DC56D68"/>
    <w:rsid w:val="3E2015BF"/>
    <w:rsid w:val="3E3F3CA1"/>
    <w:rsid w:val="3E810F84"/>
    <w:rsid w:val="3EC44E35"/>
    <w:rsid w:val="3ED069D1"/>
    <w:rsid w:val="3EFA291A"/>
    <w:rsid w:val="3F2E08F1"/>
    <w:rsid w:val="3F634A8A"/>
    <w:rsid w:val="3FC86A0C"/>
    <w:rsid w:val="3FDF05B5"/>
    <w:rsid w:val="400206B2"/>
    <w:rsid w:val="402D0B06"/>
    <w:rsid w:val="40621D75"/>
    <w:rsid w:val="40EA55B0"/>
    <w:rsid w:val="40F27073"/>
    <w:rsid w:val="41366BBF"/>
    <w:rsid w:val="413C37E5"/>
    <w:rsid w:val="416C231C"/>
    <w:rsid w:val="41A154D1"/>
    <w:rsid w:val="41DE569A"/>
    <w:rsid w:val="41E9571B"/>
    <w:rsid w:val="420C2AEB"/>
    <w:rsid w:val="42142CD5"/>
    <w:rsid w:val="426254CD"/>
    <w:rsid w:val="4283791D"/>
    <w:rsid w:val="428611BC"/>
    <w:rsid w:val="42CF1434"/>
    <w:rsid w:val="42D53EF1"/>
    <w:rsid w:val="42DF3919"/>
    <w:rsid w:val="432A7D99"/>
    <w:rsid w:val="43370708"/>
    <w:rsid w:val="435C6399"/>
    <w:rsid w:val="435E3EE6"/>
    <w:rsid w:val="43654EE1"/>
    <w:rsid w:val="43914D28"/>
    <w:rsid w:val="43974BC7"/>
    <w:rsid w:val="43B03E7E"/>
    <w:rsid w:val="43C6247C"/>
    <w:rsid w:val="43D539FE"/>
    <w:rsid w:val="43FC25F1"/>
    <w:rsid w:val="440B56EF"/>
    <w:rsid w:val="442517E5"/>
    <w:rsid w:val="44466E54"/>
    <w:rsid w:val="444B2B32"/>
    <w:rsid w:val="45140D01"/>
    <w:rsid w:val="451611E1"/>
    <w:rsid w:val="45921630"/>
    <w:rsid w:val="45A608A5"/>
    <w:rsid w:val="45A81449"/>
    <w:rsid w:val="46154555"/>
    <w:rsid w:val="4615631F"/>
    <w:rsid w:val="464A3A20"/>
    <w:rsid w:val="46530D8D"/>
    <w:rsid w:val="469A25DB"/>
    <w:rsid w:val="46DD3374"/>
    <w:rsid w:val="46F92EAD"/>
    <w:rsid w:val="470E2E81"/>
    <w:rsid w:val="4723522B"/>
    <w:rsid w:val="472745EF"/>
    <w:rsid w:val="47406C6A"/>
    <w:rsid w:val="47590191"/>
    <w:rsid w:val="47ED6B09"/>
    <w:rsid w:val="47EF33DB"/>
    <w:rsid w:val="47FE17F4"/>
    <w:rsid w:val="47FE35A2"/>
    <w:rsid w:val="48074B4D"/>
    <w:rsid w:val="481903DC"/>
    <w:rsid w:val="48474F49"/>
    <w:rsid w:val="485D29BF"/>
    <w:rsid w:val="489F0D3B"/>
    <w:rsid w:val="48DD765B"/>
    <w:rsid w:val="48E44E8E"/>
    <w:rsid w:val="49093A50"/>
    <w:rsid w:val="49155047"/>
    <w:rsid w:val="494B2855"/>
    <w:rsid w:val="4961375F"/>
    <w:rsid w:val="4A101FB4"/>
    <w:rsid w:val="4A2D63C1"/>
    <w:rsid w:val="4A341672"/>
    <w:rsid w:val="4A726EB9"/>
    <w:rsid w:val="4A7F5A50"/>
    <w:rsid w:val="4AA4494E"/>
    <w:rsid w:val="4AB4263E"/>
    <w:rsid w:val="4AEC627C"/>
    <w:rsid w:val="4B0C247A"/>
    <w:rsid w:val="4B2B2900"/>
    <w:rsid w:val="4B5856BF"/>
    <w:rsid w:val="4B86753E"/>
    <w:rsid w:val="4C1D748B"/>
    <w:rsid w:val="4C540945"/>
    <w:rsid w:val="4C8155F0"/>
    <w:rsid w:val="4C831D7C"/>
    <w:rsid w:val="4CC1650F"/>
    <w:rsid w:val="4CC65498"/>
    <w:rsid w:val="4CE46AA1"/>
    <w:rsid w:val="4D1A0AB1"/>
    <w:rsid w:val="4DA76080"/>
    <w:rsid w:val="4DAA5E94"/>
    <w:rsid w:val="4DCC2C80"/>
    <w:rsid w:val="4DFE60AA"/>
    <w:rsid w:val="4E105DDD"/>
    <w:rsid w:val="4E1E499E"/>
    <w:rsid w:val="4E263853"/>
    <w:rsid w:val="4E404AB8"/>
    <w:rsid w:val="4E45711A"/>
    <w:rsid w:val="4E5C7274"/>
    <w:rsid w:val="4E796078"/>
    <w:rsid w:val="4E7E41D8"/>
    <w:rsid w:val="4E9B5FEF"/>
    <w:rsid w:val="4EFA0F67"/>
    <w:rsid w:val="4EFF47FF"/>
    <w:rsid w:val="4F7F7C25"/>
    <w:rsid w:val="4FA179CC"/>
    <w:rsid w:val="4FA930E5"/>
    <w:rsid w:val="4FD53792"/>
    <w:rsid w:val="4FF05766"/>
    <w:rsid w:val="4FF43C08"/>
    <w:rsid w:val="50086392"/>
    <w:rsid w:val="50144132"/>
    <w:rsid w:val="50151DD1"/>
    <w:rsid w:val="5058366F"/>
    <w:rsid w:val="50591CBD"/>
    <w:rsid w:val="50852AB2"/>
    <w:rsid w:val="50865DB4"/>
    <w:rsid w:val="508825A3"/>
    <w:rsid w:val="50A642E7"/>
    <w:rsid w:val="50BE4216"/>
    <w:rsid w:val="50CD5008"/>
    <w:rsid w:val="50DA64B7"/>
    <w:rsid w:val="50E41866"/>
    <w:rsid w:val="50E861C2"/>
    <w:rsid w:val="50E9281F"/>
    <w:rsid w:val="50F814D6"/>
    <w:rsid w:val="50FE4613"/>
    <w:rsid w:val="51002139"/>
    <w:rsid w:val="514E7BF7"/>
    <w:rsid w:val="515B73C4"/>
    <w:rsid w:val="515B794B"/>
    <w:rsid w:val="51853924"/>
    <w:rsid w:val="51984A67"/>
    <w:rsid w:val="51BA49DE"/>
    <w:rsid w:val="52090AEC"/>
    <w:rsid w:val="520B5A2B"/>
    <w:rsid w:val="52340DCC"/>
    <w:rsid w:val="52CC53ED"/>
    <w:rsid w:val="52E001AF"/>
    <w:rsid w:val="53590C16"/>
    <w:rsid w:val="539A122F"/>
    <w:rsid w:val="53DC426D"/>
    <w:rsid w:val="53DD2C05"/>
    <w:rsid w:val="54322F51"/>
    <w:rsid w:val="5465618E"/>
    <w:rsid w:val="54817A35"/>
    <w:rsid w:val="548D6E92"/>
    <w:rsid w:val="54952768"/>
    <w:rsid w:val="54CD78D3"/>
    <w:rsid w:val="55173EF5"/>
    <w:rsid w:val="552F77ED"/>
    <w:rsid w:val="55371775"/>
    <w:rsid w:val="55651104"/>
    <w:rsid w:val="55A32FF3"/>
    <w:rsid w:val="55CC7D95"/>
    <w:rsid w:val="55F00C8E"/>
    <w:rsid w:val="5621502B"/>
    <w:rsid w:val="562B4FF8"/>
    <w:rsid w:val="562F095F"/>
    <w:rsid w:val="56444F70"/>
    <w:rsid w:val="56500E25"/>
    <w:rsid w:val="56531715"/>
    <w:rsid w:val="566F7C1E"/>
    <w:rsid w:val="57655A52"/>
    <w:rsid w:val="57AC4DC9"/>
    <w:rsid w:val="57CC0FC7"/>
    <w:rsid w:val="57D97C59"/>
    <w:rsid w:val="583C5053"/>
    <w:rsid w:val="583F79EB"/>
    <w:rsid w:val="58756314"/>
    <w:rsid w:val="587A6211"/>
    <w:rsid w:val="58D42829"/>
    <w:rsid w:val="58DF4D1D"/>
    <w:rsid w:val="58E60059"/>
    <w:rsid w:val="59167BA1"/>
    <w:rsid w:val="596A7545"/>
    <w:rsid w:val="59AF6DF2"/>
    <w:rsid w:val="59BA46C8"/>
    <w:rsid w:val="59BF6AD5"/>
    <w:rsid w:val="59D40607"/>
    <w:rsid w:val="59E24AD2"/>
    <w:rsid w:val="5A3846D9"/>
    <w:rsid w:val="5AA61FA3"/>
    <w:rsid w:val="5AD107D6"/>
    <w:rsid w:val="5B2064BE"/>
    <w:rsid w:val="5B413A7A"/>
    <w:rsid w:val="5B603EFE"/>
    <w:rsid w:val="5B943228"/>
    <w:rsid w:val="5BC8419B"/>
    <w:rsid w:val="5BFB19C1"/>
    <w:rsid w:val="5BFE7BBD"/>
    <w:rsid w:val="5C17370D"/>
    <w:rsid w:val="5C5A4C58"/>
    <w:rsid w:val="5C82434A"/>
    <w:rsid w:val="5C972C81"/>
    <w:rsid w:val="5CAA56EB"/>
    <w:rsid w:val="5CD22236"/>
    <w:rsid w:val="5CF436A6"/>
    <w:rsid w:val="5D02548B"/>
    <w:rsid w:val="5D2939D8"/>
    <w:rsid w:val="5D446E7B"/>
    <w:rsid w:val="5D5C103F"/>
    <w:rsid w:val="5D6879E4"/>
    <w:rsid w:val="5D9245E2"/>
    <w:rsid w:val="5DA34D88"/>
    <w:rsid w:val="5DB63638"/>
    <w:rsid w:val="5DE127A5"/>
    <w:rsid w:val="5E081FD9"/>
    <w:rsid w:val="5E0B3912"/>
    <w:rsid w:val="5E4A533B"/>
    <w:rsid w:val="5EAA1503"/>
    <w:rsid w:val="5EBF066E"/>
    <w:rsid w:val="5ED3570C"/>
    <w:rsid w:val="5F384931"/>
    <w:rsid w:val="5F3B6A32"/>
    <w:rsid w:val="5F520B89"/>
    <w:rsid w:val="5F58732E"/>
    <w:rsid w:val="5FB33167"/>
    <w:rsid w:val="5FFB4EC9"/>
    <w:rsid w:val="60874F01"/>
    <w:rsid w:val="6089214B"/>
    <w:rsid w:val="60934D78"/>
    <w:rsid w:val="60A056E7"/>
    <w:rsid w:val="60B576A8"/>
    <w:rsid w:val="60CC028A"/>
    <w:rsid w:val="60D3786A"/>
    <w:rsid w:val="614B38A4"/>
    <w:rsid w:val="61644A53"/>
    <w:rsid w:val="61C225E4"/>
    <w:rsid w:val="61C947C9"/>
    <w:rsid w:val="61CE04D5"/>
    <w:rsid w:val="62051CA5"/>
    <w:rsid w:val="62817D30"/>
    <w:rsid w:val="62856942"/>
    <w:rsid w:val="62F56482"/>
    <w:rsid w:val="63051831"/>
    <w:rsid w:val="632E6B3D"/>
    <w:rsid w:val="633E241E"/>
    <w:rsid w:val="6343411C"/>
    <w:rsid w:val="63442359"/>
    <w:rsid w:val="63E17088"/>
    <w:rsid w:val="64357EF4"/>
    <w:rsid w:val="643E149E"/>
    <w:rsid w:val="64A55876"/>
    <w:rsid w:val="64A92D88"/>
    <w:rsid w:val="64E57B6C"/>
    <w:rsid w:val="64FB051F"/>
    <w:rsid w:val="65046244"/>
    <w:rsid w:val="652026FD"/>
    <w:rsid w:val="653001A2"/>
    <w:rsid w:val="6545060B"/>
    <w:rsid w:val="658302B0"/>
    <w:rsid w:val="65991AC5"/>
    <w:rsid w:val="65A05841"/>
    <w:rsid w:val="65E861D2"/>
    <w:rsid w:val="65F57F33"/>
    <w:rsid w:val="65F8567D"/>
    <w:rsid w:val="66046FD7"/>
    <w:rsid w:val="660E6C4E"/>
    <w:rsid w:val="66216982"/>
    <w:rsid w:val="662F2DF2"/>
    <w:rsid w:val="66A93221"/>
    <w:rsid w:val="66E1083E"/>
    <w:rsid w:val="66E62061"/>
    <w:rsid w:val="66E82410"/>
    <w:rsid w:val="66F95B50"/>
    <w:rsid w:val="670544F5"/>
    <w:rsid w:val="671464E6"/>
    <w:rsid w:val="67177D85"/>
    <w:rsid w:val="672332BA"/>
    <w:rsid w:val="672F25CB"/>
    <w:rsid w:val="67572EC7"/>
    <w:rsid w:val="67810DE3"/>
    <w:rsid w:val="67993132"/>
    <w:rsid w:val="67B36622"/>
    <w:rsid w:val="681A7B2C"/>
    <w:rsid w:val="681C26D8"/>
    <w:rsid w:val="684602BC"/>
    <w:rsid w:val="68633281"/>
    <w:rsid w:val="693D1D24"/>
    <w:rsid w:val="694E06CF"/>
    <w:rsid w:val="695A5291"/>
    <w:rsid w:val="696E4640"/>
    <w:rsid w:val="69A85C06"/>
    <w:rsid w:val="6ABC3B4F"/>
    <w:rsid w:val="6AC8590F"/>
    <w:rsid w:val="6B2A277C"/>
    <w:rsid w:val="6BD30294"/>
    <w:rsid w:val="6BE15898"/>
    <w:rsid w:val="6BE97D97"/>
    <w:rsid w:val="6C0E5BFA"/>
    <w:rsid w:val="6C2C2F14"/>
    <w:rsid w:val="6C537AB1"/>
    <w:rsid w:val="6C5C6499"/>
    <w:rsid w:val="6C8C7873"/>
    <w:rsid w:val="6D044B35"/>
    <w:rsid w:val="6D107750"/>
    <w:rsid w:val="6D7148BC"/>
    <w:rsid w:val="6DB56DE2"/>
    <w:rsid w:val="6DFD09D8"/>
    <w:rsid w:val="6E234B57"/>
    <w:rsid w:val="6E593B37"/>
    <w:rsid w:val="6E763D00"/>
    <w:rsid w:val="6E776109"/>
    <w:rsid w:val="6F011A46"/>
    <w:rsid w:val="6F2E3600"/>
    <w:rsid w:val="6F352D82"/>
    <w:rsid w:val="6F433E0D"/>
    <w:rsid w:val="6F490CF7"/>
    <w:rsid w:val="6F5E40CF"/>
    <w:rsid w:val="6F775864"/>
    <w:rsid w:val="6F860B8D"/>
    <w:rsid w:val="6F935C45"/>
    <w:rsid w:val="6FB30672"/>
    <w:rsid w:val="6FB605CC"/>
    <w:rsid w:val="6FE25A5E"/>
    <w:rsid w:val="6FF15617"/>
    <w:rsid w:val="6FF27D27"/>
    <w:rsid w:val="6FF9096F"/>
    <w:rsid w:val="70312EE4"/>
    <w:rsid w:val="707D6EAA"/>
    <w:rsid w:val="708446DD"/>
    <w:rsid w:val="709A7EEE"/>
    <w:rsid w:val="70C87D23"/>
    <w:rsid w:val="70F25F17"/>
    <w:rsid w:val="71070FD6"/>
    <w:rsid w:val="71227BFC"/>
    <w:rsid w:val="714D0D63"/>
    <w:rsid w:val="715B02C2"/>
    <w:rsid w:val="71863061"/>
    <w:rsid w:val="71DB657E"/>
    <w:rsid w:val="720F27CE"/>
    <w:rsid w:val="722E2B52"/>
    <w:rsid w:val="7258372B"/>
    <w:rsid w:val="72987FCC"/>
    <w:rsid w:val="72C53089"/>
    <w:rsid w:val="73125FD0"/>
    <w:rsid w:val="735A34D3"/>
    <w:rsid w:val="73893DB8"/>
    <w:rsid w:val="73A3131E"/>
    <w:rsid w:val="73AD522B"/>
    <w:rsid w:val="73E86D31"/>
    <w:rsid w:val="743C653C"/>
    <w:rsid w:val="7480205F"/>
    <w:rsid w:val="74AB25CF"/>
    <w:rsid w:val="74AF5AA0"/>
    <w:rsid w:val="74BC7B74"/>
    <w:rsid w:val="74C84C15"/>
    <w:rsid w:val="75100383"/>
    <w:rsid w:val="75395FF8"/>
    <w:rsid w:val="755F3023"/>
    <w:rsid w:val="756859DD"/>
    <w:rsid w:val="757F1917"/>
    <w:rsid w:val="75A14139"/>
    <w:rsid w:val="75BA46FD"/>
    <w:rsid w:val="765953B3"/>
    <w:rsid w:val="767E29CC"/>
    <w:rsid w:val="768D26EA"/>
    <w:rsid w:val="76B64EC4"/>
    <w:rsid w:val="76D170E4"/>
    <w:rsid w:val="76F37EC6"/>
    <w:rsid w:val="773A62F7"/>
    <w:rsid w:val="77A103E0"/>
    <w:rsid w:val="77AD1BAA"/>
    <w:rsid w:val="7820387C"/>
    <w:rsid w:val="78462278"/>
    <w:rsid w:val="78546F25"/>
    <w:rsid w:val="785A0682"/>
    <w:rsid w:val="786B1CDE"/>
    <w:rsid w:val="78A42BAC"/>
    <w:rsid w:val="78B6564F"/>
    <w:rsid w:val="78F65A4C"/>
    <w:rsid w:val="79172B8D"/>
    <w:rsid w:val="79535A94"/>
    <w:rsid w:val="79BC34DA"/>
    <w:rsid w:val="79CD435B"/>
    <w:rsid w:val="7A2E4BE6"/>
    <w:rsid w:val="7A560E98"/>
    <w:rsid w:val="7A8D0A8F"/>
    <w:rsid w:val="7A9C2623"/>
    <w:rsid w:val="7AFA7EAF"/>
    <w:rsid w:val="7B5B428C"/>
    <w:rsid w:val="7B5E221C"/>
    <w:rsid w:val="7B8C3246"/>
    <w:rsid w:val="7BA40714"/>
    <w:rsid w:val="7BA43E85"/>
    <w:rsid w:val="7BA93249"/>
    <w:rsid w:val="7BBC5B9A"/>
    <w:rsid w:val="7BF25B99"/>
    <w:rsid w:val="7BFB59C6"/>
    <w:rsid w:val="7C3F3BAE"/>
    <w:rsid w:val="7C4E4498"/>
    <w:rsid w:val="7C8C376F"/>
    <w:rsid w:val="7C923897"/>
    <w:rsid w:val="7C945CA8"/>
    <w:rsid w:val="7CAF2AE1"/>
    <w:rsid w:val="7CED53A8"/>
    <w:rsid w:val="7D1666BD"/>
    <w:rsid w:val="7D4A0A5C"/>
    <w:rsid w:val="7D770ACE"/>
    <w:rsid w:val="7DA0067C"/>
    <w:rsid w:val="7DA22646"/>
    <w:rsid w:val="7E066883"/>
    <w:rsid w:val="7E3C03A5"/>
    <w:rsid w:val="7E6D4A02"/>
    <w:rsid w:val="7E8920E9"/>
    <w:rsid w:val="7EA111FA"/>
    <w:rsid w:val="7EAD12A3"/>
    <w:rsid w:val="7EC363D0"/>
    <w:rsid w:val="7ED700CE"/>
    <w:rsid w:val="7EF173E1"/>
    <w:rsid w:val="7F052E8D"/>
    <w:rsid w:val="7F0F5AB9"/>
    <w:rsid w:val="7F475253"/>
    <w:rsid w:val="7FA25D00"/>
    <w:rsid w:val="7FB126CD"/>
    <w:rsid w:val="7FBA3C77"/>
    <w:rsid w:val="7FCE19DA"/>
    <w:rsid w:val="7FD85EAB"/>
    <w:rsid w:val="7FEE1B73"/>
    <w:rsid w:val="7FFE3B8D"/>
    <w:rsid w:val="7FFF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4"/>
    <w:basedOn w:val="1"/>
    <w:next w:val="1"/>
    <w:unhideWhenUsed/>
    <w:qFormat/>
    <w:uiPriority w:val="0"/>
    <w:pPr>
      <w:keepNext/>
      <w:keepLines/>
      <w:spacing w:line="360" w:lineRule="auto"/>
      <w:outlineLvl w:val="3"/>
    </w:pPr>
    <w:rPr>
      <w:rFonts w:ascii="Arial" w:hAnsi="Arial"/>
      <w:b/>
      <w:sz w:val="30"/>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43"/>
    <w:qFormat/>
    <w:uiPriority w:val="0"/>
    <w:pPr>
      <w:jc w:val="left"/>
    </w:pPr>
  </w:style>
  <w:style w:type="paragraph" w:styleId="7">
    <w:name w:val="Body Text"/>
    <w:basedOn w:val="1"/>
    <w:link w:val="28"/>
    <w:semiHidden/>
    <w:unhideWhenUsed/>
    <w:qFormat/>
    <w:uiPriority w:val="99"/>
    <w:pPr>
      <w:spacing w:after="120"/>
    </w:p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next w:val="4"/>
    <w:link w:val="42"/>
    <w:qFormat/>
    <w:uiPriority w:val="0"/>
    <w:rPr>
      <w:rFonts w:ascii="宋体" w:hAnsi="宋体" w:cs="Courier New"/>
      <w:szCs w:val="21"/>
    </w:rPr>
  </w:style>
  <w:style w:type="paragraph" w:styleId="10">
    <w:name w:val="Balloon Text"/>
    <w:basedOn w:val="1"/>
    <w:link w:val="37"/>
    <w:semiHidden/>
    <w:unhideWhenUsed/>
    <w:qFormat/>
    <w:uiPriority w:val="99"/>
    <w:rPr>
      <w:sz w:val="18"/>
      <w:szCs w:val="18"/>
    </w:rPr>
  </w:style>
  <w:style w:type="paragraph" w:styleId="11">
    <w:name w:val="footer"/>
    <w:basedOn w:val="1"/>
    <w:link w:val="30"/>
    <w:qFormat/>
    <w:uiPriority w:val="0"/>
    <w:pPr>
      <w:tabs>
        <w:tab w:val="center" w:pos="4153"/>
        <w:tab w:val="right" w:pos="8306"/>
      </w:tabs>
      <w:snapToGrid w:val="0"/>
      <w:jc w:val="left"/>
    </w:pPr>
    <w:rPr>
      <w:sz w:val="18"/>
      <w:szCs w:val="18"/>
    </w:rPr>
  </w:style>
  <w:style w:type="paragraph" w:styleId="12">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14">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Title"/>
    <w:basedOn w:val="1"/>
    <w:next w:val="1"/>
    <w:link w:val="31"/>
    <w:qFormat/>
    <w:uiPriority w:val="0"/>
    <w:pPr>
      <w:spacing w:before="240" w:after="60"/>
      <w:jc w:val="center"/>
      <w:outlineLvl w:val="0"/>
    </w:pPr>
    <w:rPr>
      <w:rFonts w:ascii="Arial" w:hAnsi="Arial"/>
      <w:b/>
      <w:bCs/>
      <w:sz w:val="32"/>
      <w:szCs w:val="32"/>
    </w:rPr>
  </w:style>
  <w:style w:type="paragraph" w:styleId="17">
    <w:name w:val="annotation subject"/>
    <w:basedOn w:val="6"/>
    <w:next w:val="6"/>
    <w:link w:val="44"/>
    <w:semiHidden/>
    <w:unhideWhenUsed/>
    <w:qFormat/>
    <w:uiPriority w:val="99"/>
    <w:rPr>
      <w:b/>
      <w:bCs/>
    </w:rPr>
  </w:style>
  <w:style w:type="paragraph" w:styleId="18">
    <w:name w:val="Body Text First Indent"/>
    <w:basedOn w:val="7"/>
    <w:link w:val="29"/>
    <w:qFormat/>
    <w:uiPriority w:val="0"/>
    <w:pPr>
      <w:spacing w:after="0" w:line="380" w:lineRule="exact"/>
      <w:ind w:firstLine="420" w:firstLineChars="100"/>
    </w:pPr>
    <w:rPr>
      <w:sz w:val="24"/>
    </w:rPr>
  </w:style>
  <w:style w:type="paragraph" w:styleId="19">
    <w:name w:val="Body Text First Indent 2"/>
    <w:basedOn w:val="8"/>
    <w:qFormat/>
    <w:uiPriority w:val="0"/>
    <w:pPr>
      <w:spacing w:after="120"/>
      <w:ind w:left="420" w:leftChars="200"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annotation reference"/>
    <w:basedOn w:val="22"/>
    <w:semiHidden/>
    <w:unhideWhenUsed/>
    <w:qFormat/>
    <w:uiPriority w:val="99"/>
    <w:rPr>
      <w:sz w:val="21"/>
      <w:szCs w:val="21"/>
    </w:rPr>
  </w:style>
  <w:style w:type="character" w:customStyle="1" w:styleId="25">
    <w:name w:val="标题 1 Char"/>
    <w:basedOn w:val="22"/>
    <w:link w:val="2"/>
    <w:qFormat/>
    <w:uiPriority w:val="0"/>
    <w:rPr>
      <w:rFonts w:ascii="Times New Roman" w:hAnsi="Times New Roman" w:eastAsia="宋体" w:cs="Times New Roman"/>
      <w:b/>
      <w:bCs/>
      <w:kern w:val="44"/>
      <w:sz w:val="44"/>
      <w:szCs w:val="44"/>
    </w:rPr>
  </w:style>
  <w:style w:type="paragraph" w:customStyle="1" w:styleId="26">
    <w:name w:val="表格文字"/>
    <w:basedOn w:val="1"/>
    <w:qFormat/>
    <w:uiPriority w:val="0"/>
    <w:pPr>
      <w:spacing w:before="25" w:after="25"/>
      <w:jc w:val="left"/>
    </w:pPr>
    <w:rPr>
      <w:rFonts w:ascii="Calibri" w:hAnsi="Calibri"/>
      <w:bCs/>
      <w:spacing w:val="10"/>
      <w:sz w:val="24"/>
      <w:szCs w:val="22"/>
    </w:rPr>
  </w:style>
  <w:style w:type="character" w:customStyle="1" w:styleId="27">
    <w:name w:val="标题 2 Char"/>
    <w:basedOn w:val="22"/>
    <w:link w:val="3"/>
    <w:qFormat/>
    <w:uiPriority w:val="0"/>
    <w:rPr>
      <w:rFonts w:ascii="Arial" w:hAnsi="Arial" w:eastAsia="黑体" w:cs="Times New Roman"/>
      <w:b/>
      <w:bCs/>
      <w:kern w:val="0"/>
      <w:sz w:val="32"/>
      <w:szCs w:val="32"/>
    </w:rPr>
  </w:style>
  <w:style w:type="character" w:customStyle="1" w:styleId="28">
    <w:name w:val="正文文本 Char"/>
    <w:basedOn w:val="22"/>
    <w:link w:val="7"/>
    <w:semiHidden/>
    <w:qFormat/>
    <w:uiPriority w:val="99"/>
    <w:rPr>
      <w:rFonts w:ascii="Times New Roman" w:hAnsi="Times New Roman" w:eastAsia="宋体" w:cs="Times New Roman"/>
      <w:szCs w:val="24"/>
    </w:rPr>
  </w:style>
  <w:style w:type="character" w:customStyle="1" w:styleId="29">
    <w:name w:val="正文首行缩进 Char"/>
    <w:basedOn w:val="28"/>
    <w:link w:val="18"/>
    <w:qFormat/>
    <w:uiPriority w:val="0"/>
    <w:rPr>
      <w:rFonts w:ascii="Times New Roman" w:hAnsi="Times New Roman" w:eastAsia="宋体" w:cs="Times New Roman"/>
      <w:sz w:val="24"/>
      <w:szCs w:val="24"/>
    </w:rPr>
  </w:style>
  <w:style w:type="character" w:customStyle="1" w:styleId="30">
    <w:name w:val="页脚 Char"/>
    <w:basedOn w:val="22"/>
    <w:link w:val="11"/>
    <w:qFormat/>
    <w:uiPriority w:val="0"/>
    <w:rPr>
      <w:rFonts w:ascii="Times New Roman" w:hAnsi="Times New Roman" w:eastAsia="宋体" w:cs="Times New Roman"/>
      <w:sz w:val="18"/>
      <w:szCs w:val="18"/>
    </w:rPr>
  </w:style>
  <w:style w:type="character" w:customStyle="1" w:styleId="31">
    <w:name w:val="标题 Char"/>
    <w:basedOn w:val="22"/>
    <w:link w:val="16"/>
    <w:qFormat/>
    <w:uiPriority w:val="0"/>
    <w:rPr>
      <w:rFonts w:ascii="Arial" w:hAnsi="Arial" w:eastAsia="宋体" w:cs="Times New Roman"/>
      <w:b/>
      <w:bCs/>
      <w:sz w:val="32"/>
      <w:szCs w:val="32"/>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表格"/>
    <w:basedOn w:val="1"/>
    <w:qFormat/>
    <w:uiPriority w:val="0"/>
    <w:pPr>
      <w:spacing w:line="400" w:lineRule="exact"/>
    </w:pPr>
    <w:rPr>
      <w:sz w:val="24"/>
    </w:rPr>
  </w:style>
  <w:style w:type="character" w:customStyle="1" w:styleId="34">
    <w:name w:val="NormalCharacter"/>
    <w:qFormat/>
    <w:uiPriority w:val="0"/>
  </w:style>
  <w:style w:type="paragraph" w:customStyle="1" w:styleId="35">
    <w:name w:val="BodyText"/>
    <w:basedOn w:val="1"/>
    <w:qFormat/>
    <w:uiPriority w:val="0"/>
    <w:pPr>
      <w:spacing w:line="380" w:lineRule="exact"/>
    </w:pPr>
    <w:rPr>
      <w:sz w:val="24"/>
    </w:rPr>
  </w:style>
  <w:style w:type="paragraph" w:customStyle="1" w:styleId="36">
    <w:name w:val="Table Paragraph"/>
    <w:basedOn w:val="1"/>
    <w:qFormat/>
    <w:uiPriority w:val="1"/>
    <w:rPr>
      <w:rFonts w:ascii="宋体" w:hAnsi="宋体" w:cs="宋体"/>
      <w:lang w:val="zh-CN" w:bidi="zh-CN"/>
    </w:rPr>
  </w:style>
  <w:style w:type="character" w:customStyle="1" w:styleId="37">
    <w:name w:val="批注框文本 Char"/>
    <w:basedOn w:val="22"/>
    <w:link w:val="10"/>
    <w:semiHidden/>
    <w:qFormat/>
    <w:uiPriority w:val="99"/>
    <w:rPr>
      <w:rFonts w:ascii="Times New Roman" w:hAnsi="Times New Roman" w:eastAsia="宋体" w:cs="Times New Roman"/>
      <w:sz w:val="18"/>
      <w:szCs w:val="18"/>
    </w:rPr>
  </w:style>
  <w:style w:type="character" w:customStyle="1" w:styleId="38">
    <w:name w:val="页眉 Char"/>
    <w:basedOn w:val="22"/>
    <w:link w:val="12"/>
    <w:qFormat/>
    <w:uiPriority w:val="99"/>
    <w:rPr>
      <w:rFonts w:ascii="Times New Roman" w:hAnsi="Times New Roman" w:eastAsia="宋体" w:cs="Times New Roman"/>
      <w:sz w:val="18"/>
      <w:szCs w:val="18"/>
    </w:rPr>
  </w:style>
  <w:style w:type="character" w:customStyle="1" w:styleId="39">
    <w:name w:val="font91"/>
    <w:basedOn w:val="22"/>
    <w:qFormat/>
    <w:uiPriority w:val="0"/>
    <w:rPr>
      <w:rFonts w:hint="eastAsia" w:ascii="宋体" w:hAnsi="宋体" w:eastAsia="宋体" w:cs="宋体"/>
      <w:color w:val="000000"/>
      <w:sz w:val="21"/>
      <w:szCs w:val="21"/>
      <w:u w:val="none"/>
    </w:rPr>
  </w:style>
  <w:style w:type="character" w:customStyle="1" w:styleId="40">
    <w:name w:val="font21"/>
    <w:basedOn w:val="22"/>
    <w:qFormat/>
    <w:uiPriority w:val="0"/>
    <w:rPr>
      <w:rFonts w:hint="eastAsia" w:ascii="宋体" w:hAnsi="宋体" w:eastAsia="宋体" w:cs="宋体"/>
      <w:color w:val="000000"/>
      <w:sz w:val="28"/>
      <w:szCs w:val="28"/>
      <w:u w:val="none"/>
    </w:rPr>
  </w:style>
  <w:style w:type="paragraph" w:customStyle="1" w:styleId="41">
    <w:name w:val="p15"/>
    <w:basedOn w:val="1"/>
    <w:qFormat/>
    <w:uiPriority w:val="0"/>
    <w:pPr>
      <w:widowControl/>
    </w:pPr>
    <w:rPr>
      <w:rFonts w:ascii="宋体" w:hAnsi="宋体" w:cs="宋体"/>
      <w:kern w:val="0"/>
      <w:szCs w:val="21"/>
    </w:rPr>
  </w:style>
  <w:style w:type="character" w:customStyle="1" w:styleId="42">
    <w:name w:val="纯文本 Char"/>
    <w:basedOn w:val="22"/>
    <w:link w:val="9"/>
    <w:qFormat/>
    <w:uiPriority w:val="0"/>
    <w:rPr>
      <w:rFonts w:ascii="宋体" w:hAnsi="宋体" w:cs="Courier New"/>
      <w:kern w:val="2"/>
      <w:sz w:val="21"/>
      <w:szCs w:val="21"/>
    </w:rPr>
  </w:style>
  <w:style w:type="character" w:customStyle="1" w:styleId="43">
    <w:name w:val="批注文字 Char"/>
    <w:basedOn w:val="22"/>
    <w:link w:val="6"/>
    <w:qFormat/>
    <w:uiPriority w:val="0"/>
    <w:rPr>
      <w:kern w:val="2"/>
      <w:sz w:val="21"/>
      <w:szCs w:val="24"/>
    </w:rPr>
  </w:style>
  <w:style w:type="character" w:customStyle="1" w:styleId="44">
    <w:name w:val="批注主题 Char"/>
    <w:basedOn w:val="43"/>
    <w:link w:val="17"/>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B4BF9-5FC4-48E9-982C-0D4981872FBE}">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24</Pages>
  <Words>23632</Words>
  <Characters>26721</Characters>
  <Lines>191</Lines>
  <Paragraphs>53</Paragraphs>
  <TotalTime>0</TotalTime>
  <ScaleCrop>false</ScaleCrop>
  <LinksUpToDate>false</LinksUpToDate>
  <CharactersWithSpaces>26866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2025-04-25T10:54:00Z</dcterms:created>
  <dc:creator>Administrator</dc:creator>
  <cp:lastModifiedBy>keep up</cp:lastModifiedBy>
  <cp:lastPrinted>2025-05-01T12:33:00Z</cp:lastPrinted>
  <dcterms:modified xsi:type="dcterms:W3CDTF">2025-05-09T08:08:36Z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9ABF2226426F4E588E89ABBFCC8B8169_13</vt:lpwstr>
  </property>
  <property fmtid="{D5CDD505-2E9C-101B-9397-08002B2CF9AE}" pid="4" name="KSOTemplateDocerSaveRecord">
    <vt:lpwstr>eyJoZGlkIjoiMzEwNTM5NzYwMDRjMzkwZTVkZjY2ODkwMGIxNGU0OTUiLCJ1c2VySWQiOiIyODk4MjcyNzYifQ==</vt:lpwstr>
  </property>
</Properties>
</file>