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B5153">
      <w:pPr>
        <w:jc w:val="left"/>
        <w:rPr>
          <w:rFonts w:hint="eastAsia" w:ascii="宋体" w:hAnsi="宋体"/>
          <w:sz w:val="28"/>
          <w:szCs w:val="28"/>
        </w:rPr>
      </w:pPr>
      <w:r>
        <w:rPr>
          <w:rFonts w:hint="eastAsia" w:ascii="宋体" w:hAnsi="宋体"/>
          <w:sz w:val="28"/>
          <w:szCs w:val="28"/>
        </w:rPr>
        <w:t>附件</w:t>
      </w:r>
      <w:r>
        <w:rPr>
          <w:rFonts w:ascii="宋体" w:hAnsi="宋体"/>
          <w:sz w:val="28"/>
          <w:szCs w:val="28"/>
        </w:rPr>
        <w:t>1</w:t>
      </w:r>
      <w:r>
        <w:rPr>
          <w:rFonts w:hint="eastAsia" w:ascii="宋体" w:hAnsi="宋体"/>
          <w:sz w:val="28"/>
          <w:szCs w:val="28"/>
        </w:rPr>
        <w:t>：</w:t>
      </w:r>
    </w:p>
    <w:p w14:paraId="5647795B">
      <w:pPr>
        <w:pStyle w:val="6"/>
        <w:widowControl/>
        <w:spacing w:beforeAutospacing="0" w:afterAutospacing="0" w:line="420" w:lineRule="atLeast"/>
        <w:jc w:val="center"/>
        <w:rPr>
          <w:rFonts w:hint="eastAsia" w:ascii="宋体" w:hAnsi="宋体"/>
          <w:b/>
          <w:sz w:val="36"/>
          <w:szCs w:val="36"/>
        </w:rPr>
      </w:pPr>
      <w:bookmarkStart w:id="3" w:name="_GoBack"/>
      <w:r>
        <w:rPr>
          <w:rFonts w:hint="eastAsia" w:ascii="宋体" w:hAnsi="宋体"/>
          <w:b/>
          <w:sz w:val="36"/>
          <w:szCs w:val="36"/>
        </w:rPr>
        <w:t>广西财经学院武鸣校区学生宿舍提升工程项目工程监理服务项目</w:t>
      </w:r>
      <w:bookmarkEnd w:id="3"/>
      <w:r>
        <w:rPr>
          <w:rFonts w:hint="eastAsia" w:ascii="宋体" w:hAnsi="宋体"/>
          <w:b/>
          <w:sz w:val="36"/>
          <w:szCs w:val="36"/>
        </w:rPr>
        <w:t>询价采购报价单</w:t>
      </w: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0"/>
        <w:gridCol w:w="7992"/>
      </w:tblGrid>
      <w:tr w14:paraId="25C3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44" w:type="pct"/>
            <w:vAlign w:val="center"/>
          </w:tcPr>
          <w:p w14:paraId="4A725552">
            <w:pPr>
              <w:jc w:val="center"/>
              <w:rPr>
                <w:rFonts w:hint="eastAsia" w:ascii="宋体" w:hAnsi="宋体"/>
                <w:sz w:val="28"/>
                <w:szCs w:val="36"/>
              </w:rPr>
            </w:pPr>
            <w:r>
              <w:rPr>
                <w:rFonts w:ascii="宋体" w:hAnsi="宋体"/>
                <w:b/>
                <w:sz w:val="28"/>
                <w:szCs w:val="36"/>
              </w:rPr>
              <w:t>项目名称</w:t>
            </w:r>
          </w:p>
        </w:tc>
        <w:tc>
          <w:tcPr>
            <w:tcW w:w="4055" w:type="pct"/>
            <w:vAlign w:val="center"/>
          </w:tcPr>
          <w:p w14:paraId="6C16F1B8">
            <w:pPr>
              <w:jc w:val="center"/>
              <w:rPr>
                <w:rFonts w:hint="eastAsia" w:ascii="宋体" w:hAnsi="宋体"/>
                <w:b/>
                <w:sz w:val="28"/>
                <w:szCs w:val="36"/>
              </w:rPr>
            </w:pPr>
            <w:r>
              <w:rPr>
                <w:rFonts w:ascii="宋体" w:hAnsi="宋体"/>
                <w:b/>
                <w:sz w:val="28"/>
                <w:szCs w:val="36"/>
              </w:rPr>
              <w:t>项目规模及服务内容</w:t>
            </w:r>
          </w:p>
        </w:tc>
      </w:tr>
      <w:tr w14:paraId="1B3BD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44" w:type="pct"/>
            <w:vAlign w:val="center"/>
          </w:tcPr>
          <w:p w14:paraId="45BB20F1">
            <w:pPr>
              <w:spacing w:line="560" w:lineRule="exact"/>
              <w:rPr>
                <w:rFonts w:hint="eastAsia" w:ascii="宋体" w:hAnsi="宋体"/>
                <w:b/>
                <w:sz w:val="28"/>
                <w:szCs w:val="36"/>
              </w:rPr>
            </w:pPr>
            <w:r>
              <w:rPr>
                <w:rFonts w:hint="eastAsia" w:ascii="仿宋_GB2312" w:hAnsi="仿宋_GB2312" w:eastAsia="仿宋_GB2312" w:cs="仿宋_GB2312"/>
                <w:sz w:val="24"/>
              </w:rPr>
              <w:t>广西财经学院武鸣校区学生宿舍提升工程项目工程监理服务项目</w:t>
            </w:r>
          </w:p>
        </w:tc>
        <w:tc>
          <w:tcPr>
            <w:tcW w:w="4055" w:type="pct"/>
            <w:vAlign w:val="center"/>
          </w:tcPr>
          <w:p w14:paraId="56620F6B">
            <w:pPr>
              <w:keepNext w:val="0"/>
              <w:keepLines w:val="0"/>
              <w:pageBreakBefore w:val="0"/>
              <w:kinsoku/>
              <w:overflowPunct/>
              <w:topLinePunct w:val="0"/>
              <w:autoSpaceDE/>
              <w:autoSpaceDN/>
              <w:bidi w:val="0"/>
              <w:adjustRightInd/>
              <w:snapToGrid/>
              <w:spacing w:line="240" w:lineRule="auto"/>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（一）建设地点：</w:t>
            </w:r>
          </w:p>
          <w:p w14:paraId="54A861DB">
            <w:pPr>
              <w:keepNext w:val="0"/>
              <w:keepLines w:val="0"/>
              <w:pageBreakBefore w:val="0"/>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南宁市武鸣区红岭大道636号，广西财经学院武鸣校区。</w:t>
            </w:r>
          </w:p>
          <w:p w14:paraId="4840028C">
            <w:pPr>
              <w:keepNext w:val="0"/>
              <w:keepLines w:val="0"/>
              <w:pageBreakBefore w:val="0"/>
              <w:kinsoku/>
              <w:overflowPunct/>
              <w:topLinePunct w:val="0"/>
              <w:autoSpaceDE/>
              <w:autoSpaceDN/>
              <w:bidi w:val="0"/>
              <w:adjustRightInd/>
              <w:snapToGrid/>
              <w:spacing w:line="240" w:lineRule="auto"/>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（二）建设规模：</w:t>
            </w:r>
          </w:p>
          <w:p w14:paraId="60C8C470">
            <w:pPr>
              <w:keepNext w:val="0"/>
              <w:keepLines w:val="0"/>
              <w:pageBreakBefore w:val="0"/>
              <w:widowControl/>
              <w:kinsoku/>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bCs/>
                <w:sz w:val="24"/>
                <w:szCs w:val="24"/>
                <w:lang w:eastAsia="zh-CN"/>
              </w:rPr>
            </w:pPr>
            <w:r>
              <w:rPr>
                <w:rFonts w:hint="eastAsia" w:ascii="仿宋" w:hAnsi="仿宋" w:eastAsia="仿宋" w:cs="仿宋"/>
                <w:bCs/>
                <w:sz w:val="24"/>
                <w:szCs w:val="24"/>
              </w:rPr>
              <w:t>拟对广西财经学院武鸣校区东苑1至东苑5共5栋学生宿舍进行装修提升，主要有：各栋二至六层共60间综合服务用房按学生宿舍标准进行装修提升并增设卫生间，改造面积约1744平方米（其中增设卫生间面积约395平方米）；各栋一层共13间无障碍宿舍调整供电回路增加插座等，改造为标准六人间宿舍，改造面积约523平方米；2-5栋一层51间功能房、活动室按学生宿舍标准进行装修提升，另有8 间功能房间改造为公共盥洗间和淋浴间，2间功能房间改造为医务室，改造面积约1600平方米；以及其余零星改造，详见设计图纸及工程量清单。主要建设内容包括建筑工程、装饰工程、给排水工程、电气（含弱电）工程、暖通工程等。</w:t>
            </w:r>
          </w:p>
          <w:p w14:paraId="228ABB2F">
            <w:pPr>
              <w:keepNext w:val="0"/>
              <w:keepLines w:val="0"/>
              <w:pageBreakBefore w:val="0"/>
              <w:widowControl/>
              <w:kinsoku/>
              <w:overflowPunct/>
              <w:topLinePunct w:val="0"/>
              <w:autoSpaceDE/>
              <w:autoSpaceDN/>
              <w:bidi w:val="0"/>
              <w:adjustRightInd/>
              <w:snapToGrid/>
              <w:spacing w:line="240" w:lineRule="auto"/>
              <w:ind w:firstLine="482" w:firstLineChars="200"/>
              <w:jc w:val="left"/>
              <w:textAlignment w:val="auto"/>
              <w:rPr>
                <w:rFonts w:hint="eastAsia" w:ascii="仿宋" w:hAnsi="仿宋" w:eastAsia="仿宋" w:cs="仿宋"/>
                <w:b/>
                <w:sz w:val="24"/>
                <w:szCs w:val="24"/>
              </w:rPr>
            </w:pPr>
            <w:r>
              <w:rPr>
                <w:rFonts w:hint="eastAsia" w:ascii="仿宋" w:hAnsi="仿宋" w:eastAsia="仿宋" w:cs="仿宋"/>
                <w:b/>
                <w:sz w:val="24"/>
                <w:szCs w:val="24"/>
              </w:rPr>
              <w:t>（三）采购内容：</w:t>
            </w:r>
          </w:p>
          <w:p w14:paraId="285CC2C8">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firstLineChars="200"/>
              <w:jc w:val="both"/>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自发出成交通知书之日起至广西财经学院武鸣校区学生宿舍提升工程缺陷责任期满为止的全过程监理服务。</w:t>
            </w:r>
          </w:p>
          <w:p w14:paraId="77904615">
            <w:pPr>
              <w:keepNext w:val="0"/>
              <w:keepLines w:val="0"/>
              <w:pageBreakBefore w:val="0"/>
              <w:widowControl/>
              <w:kinsoku/>
              <w:overflowPunct/>
              <w:topLinePunct w:val="0"/>
              <w:autoSpaceDE/>
              <w:autoSpaceDN/>
              <w:bidi w:val="0"/>
              <w:adjustRightInd/>
              <w:snapToGrid/>
              <w:spacing w:line="240" w:lineRule="auto"/>
              <w:ind w:firstLine="482" w:firstLineChars="200"/>
              <w:jc w:val="left"/>
              <w:textAlignment w:val="auto"/>
              <w:rPr>
                <w:rFonts w:hint="eastAsia" w:ascii="仿宋" w:hAnsi="仿宋" w:eastAsia="仿宋" w:cs="仿宋"/>
                <w:b/>
                <w:sz w:val="24"/>
                <w:szCs w:val="24"/>
              </w:rPr>
            </w:pPr>
            <w:r>
              <w:rPr>
                <w:rFonts w:hint="eastAsia" w:ascii="仿宋" w:hAnsi="仿宋" w:eastAsia="仿宋" w:cs="仿宋"/>
                <w:b/>
                <w:sz w:val="24"/>
                <w:szCs w:val="24"/>
              </w:rPr>
              <w:t>（四）上限控制价：</w:t>
            </w:r>
          </w:p>
          <w:p w14:paraId="3CBE6EA7">
            <w:pPr>
              <w:pStyle w:val="6"/>
              <w:keepNext w:val="0"/>
              <w:keepLines w:val="0"/>
              <w:pageBreakBefore w:val="0"/>
              <w:widowControl/>
              <w:kinsoku/>
              <w:wordWrap w:val="0"/>
              <w:overflowPunct/>
              <w:topLinePunct w:val="0"/>
              <w:autoSpaceDE/>
              <w:autoSpaceDN/>
              <w:bidi w:val="0"/>
              <w:adjustRightInd/>
              <w:snapToGrid/>
              <w:spacing w:beforeAutospacing="0" w:afterAutospacing="0" w:line="240" w:lineRule="auto"/>
              <w:ind w:firstLine="480" w:firstLineChars="200"/>
              <w:jc w:val="both"/>
              <w:textAlignment w:val="auto"/>
              <w:rPr>
                <w:rFonts w:hint="eastAsia" w:ascii="仿宋" w:hAnsi="仿宋" w:eastAsia="仿宋" w:cs="仿宋"/>
                <w:bCs/>
                <w:kern w:val="2"/>
                <w:sz w:val="24"/>
                <w:szCs w:val="24"/>
              </w:rPr>
            </w:pPr>
            <w:r>
              <w:rPr>
                <w:rFonts w:hint="eastAsia" w:ascii="仿宋" w:hAnsi="仿宋" w:eastAsia="仿宋" w:cs="仿宋"/>
                <w:bCs/>
                <w:kern w:val="2"/>
                <w:sz w:val="24"/>
                <w:szCs w:val="24"/>
              </w:rPr>
              <w:t>人民币（大写）肆万陆仟叁佰元整，（小写）¥46300.00元。</w:t>
            </w:r>
          </w:p>
          <w:p w14:paraId="2B0408BB">
            <w:pPr>
              <w:keepNext w:val="0"/>
              <w:keepLines w:val="0"/>
              <w:pageBreakBefore w:val="0"/>
              <w:widowControl/>
              <w:kinsoku/>
              <w:overflowPunct/>
              <w:topLinePunct w:val="0"/>
              <w:autoSpaceDE/>
              <w:autoSpaceDN/>
              <w:bidi w:val="0"/>
              <w:adjustRightInd/>
              <w:snapToGrid/>
              <w:spacing w:line="240" w:lineRule="auto"/>
              <w:ind w:firstLine="482" w:firstLineChars="200"/>
              <w:jc w:val="left"/>
              <w:textAlignment w:val="auto"/>
              <w:rPr>
                <w:rFonts w:hint="eastAsia" w:ascii="仿宋" w:hAnsi="仿宋" w:eastAsia="仿宋" w:cs="仿宋"/>
                <w:b/>
                <w:sz w:val="24"/>
                <w:szCs w:val="24"/>
              </w:rPr>
            </w:pPr>
            <w:r>
              <w:rPr>
                <w:rFonts w:hint="eastAsia" w:ascii="仿宋" w:hAnsi="仿宋" w:eastAsia="仿宋" w:cs="仿宋"/>
                <w:b/>
                <w:sz w:val="24"/>
                <w:szCs w:val="24"/>
              </w:rPr>
              <w:t>（五）服务周期：</w:t>
            </w:r>
          </w:p>
          <w:p w14:paraId="30F94156">
            <w:pPr>
              <w:keepNext w:val="0"/>
              <w:keepLines w:val="0"/>
              <w:pageBreakBefore w:val="0"/>
              <w:widowControl/>
              <w:kinsoku/>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bCs/>
                <w:kern w:val="2"/>
                <w:sz w:val="24"/>
                <w:szCs w:val="24"/>
              </w:rPr>
            </w:pPr>
            <w:r>
              <w:rPr>
                <w:rFonts w:hint="eastAsia" w:ascii="仿宋" w:hAnsi="仿宋" w:eastAsia="仿宋" w:cs="仿宋"/>
                <w:bCs/>
                <w:kern w:val="2"/>
                <w:sz w:val="24"/>
                <w:szCs w:val="24"/>
              </w:rPr>
              <w:t>自成交通知书发出之日起至本工程缺陷责任期满之日止。</w:t>
            </w:r>
          </w:p>
          <w:p w14:paraId="637689A2">
            <w:pPr>
              <w:keepNext w:val="0"/>
              <w:keepLines w:val="0"/>
              <w:pageBreakBefore w:val="0"/>
              <w:widowControl/>
              <w:kinsoku/>
              <w:overflowPunct/>
              <w:topLinePunct w:val="0"/>
              <w:autoSpaceDE/>
              <w:autoSpaceDN/>
              <w:bidi w:val="0"/>
              <w:adjustRightInd/>
              <w:snapToGrid/>
              <w:spacing w:line="240" w:lineRule="auto"/>
              <w:ind w:firstLine="482" w:firstLineChars="200"/>
              <w:jc w:val="left"/>
              <w:textAlignment w:val="auto"/>
              <w:rPr>
                <w:rFonts w:hint="eastAsia" w:ascii="仿宋" w:hAnsi="仿宋" w:eastAsia="仿宋" w:cs="仿宋"/>
                <w:b/>
                <w:sz w:val="24"/>
                <w:szCs w:val="24"/>
              </w:rPr>
            </w:pPr>
            <w:r>
              <w:rPr>
                <w:rFonts w:hint="eastAsia" w:ascii="仿宋" w:hAnsi="仿宋" w:eastAsia="仿宋" w:cs="仿宋"/>
                <w:b/>
                <w:sz w:val="24"/>
                <w:szCs w:val="24"/>
              </w:rPr>
              <w:t>（六）监理范围：</w:t>
            </w:r>
          </w:p>
          <w:p w14:paraId="2100CFAD">
            <w:pPr>
              <w:keepNext w:val="0"/>
              <w:keepLines w:val="0"/>
              <w:pageBreakBefore w:val="0"/>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本项目的全部施工范围，以合同、设计图纸（含期间设计变更）及工程量清单所包含的全部详细施工内容为准。</w:t>
            </w:r>
          </w:p>
          <w:p w14:paraId="1B6F5B12">
            <w:pPr>
              <w:keepNext w:val="0"/>
              <w:keepLines w:val="0"/>
              <w:pageBreakBefore w:val="0"/>
              <w:kinsoku/>
              <w:overflowPunct/>
              <w:topLinePunct w:val="0"/>
              <w:autoSpaceDE/>
              <w:autoSpaceDN/>
              <w:bidi w:val="0"/>
              <w:adjustRightInd/>
              <w:snapToGrid/>
              <w:spacing w:line="240" w:lineRule="auto"/>
              <w:ind w:firstLine="482" w:firstLineChars="200"/>
              <w:textAlignment w:val="auto"/>
              <w:rPr>
                <w:rFonts w:hint="eastAsia" w:ascii="仿宋" w:hAnsi="仿宋" w:eastAsia="仿宋" w:cs="仿宋"/>
                <w:b/>
                <w:sz w:val="24"/>
                <w:szCs w:val="24"/>
              </w:rPr>
            </w:pPr>
            <w:r>
              <w:rPr>
                <w:rFonts w:ascii="仿宋" w:hAnsi="仿宋" w:eastAsia="仿宋" w:cs="仿宋"/>
                <w:b/>
                <w:sz w:val="24"/>
                <w:szCs w:val="24"/>
              </w:rPr>
              <w:t>（</w:t>
            </w:r>
            <w:r>
              <w:rPr>
                <w:rFonts w:hint="eastAsia" w:ascii="仿宋" w:hAnsi="仿宋" w:eastAsia="仿宋" w:cs="仿宋"/>
                <w:b/>
                <w:sz w:val="24"/>
                <w:szCs w:val="24"/>
              </w:rPr>
              <w:t>七</w:t>
            </w:r>
            <w:r>
              <w:rPr>
                <w:rFonts w:ascii="仿宋" w:hAnsi="仿宋" w:eastAsia="仿宋" w:cs="仿宋"/>
                <w:b/>
                <w:sz w:val="24"/>
                <w:szCs w:val="24"/>
              </w:rPr>
              <w:t>）</w:t>
            </w:r>
            <w:r>
              <w:rPr>
                <w:rFonts w:hint="eastAsia" w:ascii="仿宋" w:hAnsi="仿宋" w:eastAsia="仿宋" w:cs="仿宋"/>
                <w:b/>
                <w:sz w:val="24"/>
                <w:szCs w:val="24"/>
              </w:rPr>
              <w:t>监理服务内容</w:t>
            </w:r>
            <w:r>
              <w:rPr>
                <w:rFonts w:ascii="仿宋" w:hAnsi="仿宋" w:eastAsia="仿宋" w:cs="仿宋"/>
                <w:b/>
                <w:sz w:val="24"/>
                <w:szCs w:val="24"/>
              </w:rPr>
              <w:t>：</w:t>
            </w:r>
          </w:p>
          <w:p w14:paraId="04D38E0B">
            <w:pPr>
              <w:keepNext w:val="0"/>
              <w:keepLines w:val="0"/>
              <w:pageBreakBefore w:val="0"/>
              <w:widowControl/>
              <w:kinsoku/>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bCs/>
                <w:kern w:val="2"/>
                <w:sz w:val="24"/>
                <w:szCs w:val="24"/>
              </w:rPr>
            </w:pPr>
            <w:r>
              <w:rPr>
                <w:rFonts w:hint="eastAsia" w:ascii="仿宋" w:hAnsi="仿宋" w:eastAsia="仿宋" w:cs="仿宋"/>
                <w:bCs/>
                <w:kern w:val="2"/>
                <w:sz w:val="24"/>
                <w:szCs w:val="24"/>
              </w:rPr>
              <w:t>广西财经学院武鸣校区学生宿舍提升工程项目施工阶段和保修阶段的监理服务。</w:t>
            </w:r>
          </w:p>
          <w:p w14:paraId="420E3DCF">
            <w:pPr>
              <w:keepNext w:val="0"/>
              <w:keepLines w:val="0"/>
              <w:pageBreakBefore w:val="0"/>
              <w:widowControl/>
              <w:kinsoku/>
              <w:overflowPunct/>
              <w:topLinePunct w:val="0"/>
              <w:autoSpaceDE/>
              <w:autoSpaceDN/>
              <w:bidi w:val="0"/>
              <w:adjustRightInd/>
              <w:snapToGrid/>
              <w:spacing w:line="240" w:lineRule="auto"/>
              <w:ind w:firstLine="482" w:firstLineChars="200"/>
              <w:jc w:val="left"/>
              <w:textAlignment w:val="auto"/>
              <w:rPr>
                <w:rFonts w:hint="eastAsia" w:ascii="仿宋" w:hAnsi="仿宋" w:eastAsia="仿宋" w:cs="仿宋"/>
                <w:b/>
                <w:sz w:val="24"/>
                <w:szCs w:val="24"/>
              </w:rPr>
            </w:pPr>
            <w:r>
              <w:rPr>
                <w:rFonts w:ascii="仿宋" w:hAnsi="仿宋" w:eastAsia="仿宋" w:cs="仿宋"/>
                <w:b/>
                <w:sz w:val="24"/>
                <w:szCs w:val="24"/>
              </w:rPr>
              <w:t>（</w:t>
            </w:r>
            <w:r>
              <w:rPr>
                <w:rFonts w:hint="eastAsia" w:ascii="仿宋" w:hAnsi="仿宋" w:eastAsia="仿宋" w:cs="仿宋"/>
                <w:b/>
                <w:sz w:val="24"/>
                <w:szCs w:val="24"/>
              </w:rPr>
              <w:t>八</w:t>
            </w:r>
            <w:r>
              <w:rPr>
                <w:rFonts w:ascii="仿宋" w:hAnsi="仿宋" w:eastAsia="仿宋" w:cs="仿宋"/>
                <w:b/>
                <w:sz w:val="24"/>
                <w:szCs w:val="24"/>
              </w:rPr>
              <w:t>）</w:t>
            </w:r>
            <w:r>
              <w:rPr>
                <w:rFonts w:hint="eastAsia" w:ascii="仿宋" w:hAnsi="仿宋" w:eastAsia="仿宋" w:cs="仿宋"/>
                <w:b/>
                <w:sz w:val="24"/>
                <w:szCs w:val="24"/>
              </w:rPr>
              <w:t>质量要求</w:t>
            </w:r>
            <w:r>
              <w:rPr>
                <w:rFonts w:ascii="仿宋" w:hAnsi="仿宋" w:eastAsia="仿宋" w:cs="仿宋"/>
                <w:b/>
                <w:sz w:val="24"/>
                <w:szCs w:val="24"/>
              </w:rPr>
              <w:t>：</w:t>
            </w:r>
          </w:p>
          <w:p w14:paraId="14FA15C4">
            <w:pPr>
              <w:keepNext w:val="0"/>
              <w:keepLines w:val="0"/>
              <w:pageBreakBefore w:val="0"/>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kern w:val="2"/>
                <w:sz w:val="24"/>
                <w:szCs w:val="24"/>
              </w:rPr>
            </w:pPr>
            <w:r>
              <w:rPr>
                <w:rFonts w:hint="eastAsia" w:ascii="仿宋" w:hAnsi="仿宋" w:eastAsia="仿宋" w:cs="仿宋"/>
                <w:bCs/>
                <w:kern w:val="2"/>
                <w:sz w:val="24"/>
                <w:szCs w:val="24"/>
              </w:rPr>
              <w:t>符合国家相关规范、要求合格标准。</w:t>
            </w:r>
          </w:p>
          <w:p w14:paraId="779EADA7">
            <w:pPr>
              <w:keepNext w:val="0"/>
              <w:keepLines w:val="0"/>
              <w:pageBreakBefore w:val="0"/>
              <w:kinsoku/>
              <w:overflowPunct/>
              <w:topLinePunct w:val="0"/>
              <w:autoSpaceDE/>
              <w:autoSpaceDN/>
              <w:bidi w:val="0"/>
              <w:adjustRightInd/>
              <w:snapToGrid/>
              <w:spacing w:line="240" w:lineRule="auto"/>
              <w:ind w:firstLine="482" w:firstLineChars="200"/>
              <w:textAlignment w:val="auto"/>
              <w:rPr>
                <w:rFonts w:hint="eastAsia" w:ascii="仿宋" w:hAnsi="仿宋" w:eastAsia="仿宋" w:cs="仿宋"/>
                <w:b/>
                <w:sz w:val="24"/>
                <w:szCs w:val="24"/>
              </w:rPr>
            </w:pPr>
            <w:r>
              <w:rPr>
                <w:rFonts w:ascii="仿宋" w:hAnsi="仿宋" w:eastAsia="仿宋" w:cs="仿宋"/>
                <w:b/>
                <w:sz w:val="24"/>
                <w:szCs w:val="24"/>
              </w:rPr>
              <w:t>（</w:t>
            </w:r>
            <w:r>
              <w:rPr>
                <w:rFonts w:hint="eastAsia" w:ascii="仿宋" w:hAnsi="仿宋" w:eastAsia="仿宋" w:cs="仿宋"/>
                <w:b/>
                <w:sz w:val="24"/>
                <w:szCs w:val="24"/>
              </w:rPr>
              <w:t>九</w:t>
            </w:r>
            <w:r>
              <w:rPr>
                <w:rFonts w:ascii="仿宋" w:hAnsi="仿宋" w:eastAsia="仿宋" w:cs="仿宋"/>
                <w:b/>
                <w:sz w:val="24"/>
                <w:szCs w:val="24"/>
              </w:rPr>
              <w:t>）</w:t>
            </w:r>
            <w:r>
              <w:rPr>
                <w:rFonts w:hint="eastAsia" w:ascii="仿宋" w:hAnsi="仿宋" w:eastAsia="仿宋" w:cs="仿宋"/>
                <w:b/>
                <w:sz w:val="24"/>
                <w:szCs w:val="24"/>
              </w:rPr>
              <w:t>其他要求</w:t>
            </w:r>
            <w:r>
              <w:rPr>
                <w:rFonts w:ascii="仿宋" w:hAnsi="仿宋" w:eastAsia="仿宋" w:cs="仿宋"/>
                <w:b/>
                <w:sz w:val="24"/>
                <w:szCs w:val="24"/>
              </w:rPr>
              <w:t>：</w:t>
            </w:r>
          </w:p>
          <w:p w14:paraId="3C323407">
            <w:pPr>
              <w:keepNext w:val="0"/>
              <w:keepLines w:val="0"/>
              <w:pageBreakBefore w:val="0"/>
              <w:widowControl/>
              <w:kinsoku/>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1.自行组织现场踏勘及调研工作，完成相关基础资料收集。2.服务周期内，因国家及地方有关政策、行业规范及标准变化引起的修改，修改补充所产生的费用由成交供应商承担。</w:t>
            </w:r>
          </w:p>
          <w:p w14:paraId="131D1502">
            <w:pPr>
              <w:keepNext w:val="0"/>
              <w:keepLines w:val="0"/>
              <w:pageBreakBefore w:val="0"/>
              <w:widowControl/>
              <w:kinsoku/>
              <w:overflowPunct/>
              <w:topLinePunct w:val="0"/>
              <w:autoSpaceDE/>
              <w:autoSpaceDN/>
              <w:bidi w:val="0"/>
              <w:adjustRightInd/>
              <w:snapToGrid/>
              <w:spacing w:line="240" w:lineRule="auto"/>
              <w:ind w:firstLine="482" w:firstLineChars="200"/>
              <w:jc w:val="left"/>
              <w:textAlignment w:val="auto"/>
              <w:rPr>
                <w:rFonts w:hint="eastAsia" w:ascii="仿宋" w:hAnsi="仿宋" w:eastAsia="仿宋" w:cs="仿宋"/>
                <w:b/>
                <w:sz w:val="24"/>
                <w:szCs w:val="24"/>
              </w:rPr>
            </w:pPr>
            <w:r>
              <w:rPr>
                <w:rFonts w:hint="eastAsia" w:ascii="仿宋" w:hAnsi="仿宋" w:eastAsia="仿宋" w:cs="仿宋"/>
                <w:b/>
                <w:sz w:val="24"/>
                <w:szCs w:val="24"/>
              </w:rPr>
              <w:t>（</w:t>
            </w:r>
            <w:r>
              <w:rPr>
                <w:rFonts w:hint="eastAsia" w:ascii="仿宋" w:hAnsi="仿宋" w:eastAsia="仿宋" w:cs="仿宋"/>
                <w:b/>
                <w:sz w:val="24"/>
                <w:szCs w:val="24"/>
                <w:lang w:eastAsia="zh-CN"/>
              </w:rPr>
              <w:t>十</w:t>
            </w:r>
            <w:r>
              <w:rPr>
                <w:rFonts w:hint="eastAsia" w:ascii="仿宋" w:hAnsi="仿宋" w:eastAsia="仿宋" w:cs="仿宋"/>
                <w:b/>
                <w:sz w:val="24"/>
                <w:szCs w:val="24"/>
              </w:rPr>
              <w:t>）采购方式</w:t>
            </w:r>
          </w:p>
          <w:p w14:paraId="04D40862">
            <w:pPr>
              <w:keepNext w:val="0"/>
              <w:keepLines w:val="0"/>
              <w:pageBreakBefore w:val="0"/>
              <w:widowControl/>
              <w:kinsoku/>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 询价采购</w:t>
            </w:r>
          </w:p>
          <w:p w14:paraId="67F9DAFD">
            <w:pPr>
              <w:keepNext w:val="0"/>
              <w:keepLines w:val="0"/>
              <w:pageBreakBefore w:val="0"/>
              <w:widowControl/>
              <w:kinsoku/>
              <w:overflowPunct/>
              <w:topLinePunct w:val="0"/>
              <w:autoSpaceDE/>
              <w:autoSpaceDN/>
              <w:bidi w:val="0"/>
              <w:adjustRightInd/>
              <w:snapToGrid/>
              <w:spacing w:line="240" w:lineRule="auto"/>
              <w:ind w:firstLine="482" w:firstLineChars="200"/>
              <w:jc w:val="left"/>
              <w:textAlignment w:val="auto"/>
              <w:rPr>
                <w:rFonts w:hint="eastAsia" w:ascii="仿宋" w:hAnsi="仿宋" w:eastAsia="仿宋" w:cs="仿宋"/>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eastAsia="zh-CN"/>
              </w:rPr>
              <w:t>一</w:t>
            </w:r>
            <w:r>
              <w:rPr>
                <w:rFonts w:hint="eastAsia" w:ascii="仿宋" w:hAnsi="仿宋" w:eastAsia="仿宋" w:cs="仿宋"/>
                <w:b/>
                <w:sz w:val="24"/>
                <w:szCs w:val="24"/>
              </w:rPr>
              <w:t>）供应商资格要求</w:t>
            </w:r>
          </w:p>
          <w:p w14:paraId="69653623">
            <w:pPr>
              <w:keepNext w:val="0"/>
              <w:keepLines w:val="0"/>
              <w:pageBreakBefore w:val="0"/>
              <w:widowControl/>
              <w:kinsoku/>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（一）国内注册（指按国家有关规定要求注册的）经营本次采购服务的供应商。</w:t>
            </w:r>
          </w:p>
          <w:p w14:paraId="782AB3B8">
            <w:pPr>
              <w:keepNext w:val="0"/>
              <w:keepLines w:val="0"/>
              <w:pageBreakBefore w:val="0"/>
              <w:widowControl/>
              <w:kinsoku/>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（二）供应商负责人为同一人或者存在直接控股、管理关系的不同供应商，不得参加同一合同项下的采购活动。</w:t>
            </w:r>
          </w:p>
          <w:p w14:paraId="56AADDD9">
            <w:pPr>
              <w:keepNext w:val="0"/>
              <w:keepLines w:val="0"/>
              <w:pageBreakBefore w:val="0"/>
              <w:widowControl/>
              <w:kinsoku/>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（三）供应商具备房屋建筑工程监理乙级(含)及以上或工程监理综合资质。</w:t>
            </w:r>
          </w:p>
          <w:p w14:paraId="254881FD">
            <w:pPr>
              <w:keepNext w:val="0"/>
              <w:keepLines w:val="0"/>
              <w:pageBreakBefore w:val="0"/>
              <w:widowControl/>
              <w:kinsoku/>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（四）参加本采购活动前三年内在经营活动中没有重大违法记录和不良信用记录。</w:t>
            </w:r>
          </w:p>
          <w:p w14:paraId="69D2FC3F">
            <w:pPr>
              <w:keepNext w:val="0"/>
              <w:keepLines w:val="0"/>
              <w:pageBreakBefore w:val="0"/>
              <w:widowControl/>
              <w:kinsoku/>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（五）本项目不接受联合体报价。</w:t>
            </w:r>
          </w:p>
          <w:p w14:paraId="15243BE9">
            <w:pPr>
              <w:keepNext w:val="0"/>
              <w:keepLines w:val="0"/>
              <w:pageBreakBefore w:val="0"/>
              <w:widowControl/>
              <w:kinsoku/>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（六）供应商与广西财经学院没有发生过经济纠纷或违约记录。</w:t>
            </w:r>
          </w:p>
          <w:p w14:paraId="1B9F95A6">
            <w:pPr>
              <w:keepNext w:val="0"/>
              <w:keepLines w:val="0"/>
              <w:pageBreakBefore w:val="0"/>
              <w:widowControl/>
              <w:kinsoku/>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（七）若供应商在本校有三个以上（含三个）在建工程或未完成竣工验收项目的，不得参与本次采购活动。</w:t>
            </w:r>
          </w:p>
          <w:p w14:paraId="4AA6B330">
            <w:pPr>
              <w:keepNext w:val="0"/>
              <w:keepLines w:val="0"/>
              <w:pageBreakBefore w:val="0"/>
              <w:widowControl/>
              <w:kinsoku/>
              <w:overflowPunct/>
              <w:topLinePunct w:val="0"/>
              <w:autoSpaceDE/>
              <w:autoSpaceDN/>
              <w:bidi w:val="0"/>
              <w:adjustRightInd/>
              <w:snapToGrid/>
              <w:spacing w:line="240" w:lineRule="auto"/>
              <w:ind w:firstLine="482" w:firstLineChars="200"/>
              <w:jc w:val="left"/>
              <w:textAlignment w:val="auto"/>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eastAsia="zh-CN"/>
              </w:rPr>
              <w:t>二</w:t>
            </w:r>
            <w:r>
              <w:rPr>
                <w:rFonts w:hint="eastAsia" w:ascii="仿宋" w:hAnsi="仿宋" w:eastAsia="仿宋" w:cs="仿宋"/>
                <w:b/>
                <w:sz w:val="24"/>
                <w:szCs w:val="24"/>
              </w:rPr>
              <w:t>）采购需求响应</w:t>
            </w:r>
          </w:p>
          <w:p w14:paraId="6EC07F17">
            <w:pPr>
              <w:keepNext w:val="0"/>
              <w:keepLines w:val="0"/>
              <w:pageBreakBefore w:val="0"/>
              <w:widowControl/>
              <w:kinsoku/>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 供应商需按如下要求对拟投入本项目人员作出实质性响应，并提交响应、偏离情况说明表（详见附件2），否则视为无效报价：</w:t>
            </w:r>
          </w:p>
          <w:p w14:paraId="3A625E83">
            <w:pPr>
              <w:keepNext w:val="0"/>
              <w:keepLines w:val="0"/>
              <w:pageBreakBefore w:val="0"/>
              <w:widowControl/>
              <w:kinsoku/>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一）工程监理负责人（项目总监理工程师）资格要求：须具备房屋建筑工程专业国家注册监理工程师执业资格，并已办理广西建筑业企业诚信信息库入库手续且处于有效状态【不接受存在以下任一种情形的项目：（1）在广西行政区域外有担任项目总监的在监项目；（2）在广西全区范围内已经担任项目总监和（或）已列为第一中标候选人项目总监的工程个数达到3个的】。</w:t>
            </w:r>
          </w:p>
          <w:p w14:paraId="2E1BDB4A">
            <w:pPr>
              <w:keepNext w:val="0"/>
              <w:keepLines w:val="0"/>
              <w:pageBreakBefore w:val="0"/>
              <w:widowControl/>
              <w:kinsoku/>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（二）其他人员要求：监理员不少于2人。</w:t>
            </w:r>
          </w:p>
          <w:p w14:paraId="6B5D734D">
            <w:pPr>
              <w:keepNext w:val="0"/>
              <w:keepLines w:val="0"/>
              <w:pageBreakBefore w:val="0"/>
              <w:widowControl/>
              <w:kinsoku/>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（三）以上拟投入人员不得重复。</w:t>
            </w:r>
          </w:p>
          <w:p w14:paraId="6786D9D0">
            <w:pPr>
              <w:keepNext w:val="0"/>
              <w:keepLines w:val="0"/>
              <w:pageBreakBefore w:val="0"/>
              <w:widowControl/>
              <w:kinsoku/>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（四）供应商需提供拟投入的项目负责人在报价截止日期前1个月（即2026年4月或5月）在本单位的社保缴纳证明。</w:t>
            </w:r>
          </w:p>
          <w:p w14:paraId="660E67E0">
            <w:pPr>
              <w:keepNext w:val="0"/>
              <w:keepLines w:val="0"/>
              <w:pageBreakBefore w:val="0"/>
              <w:widowControl/>
              <w:kinsoku/>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（五）以上拟投入人员不得随意更换，否则视为违约，业主有权终止合同，由此产生一切后果和责任由供应商承担。</w:t>
            </w:r>
          </w:p>
          <w:p w14:paraId="03FEF7F9">
            <w:pPr>
              <w:keepNext w:val="0"/>
              <w:keepLines w:val="0"/>
              <w:pageBreakBefore w:val="0"/>
              <w:widowControl/>
              <w:kinsoku/>
              <w:overflowPunct/>
              <w:topLinePunct w:val="0"/>
              <w:autoSpaceDE/>
              <w:autoSpaceDN/>
              <w:bidi w:val="0"/>
              <w:adjustRightInd/>
              <w:snapToGrid/>
              <w:spacing w:line="240" w:lineRule="auto"/>
              <w:ind w:firstLine="482" w:firstLineChars="200"/>
              <w:jc w:val="left"/>
              <w:textAlignment w:val="auto"/>
              <w:rPr>
                <w:rFonts w:hint="eastAsia" w:ascii="仿宋" w:hAnsi="仿宋" w:eastAsia="仿宋" w:cs="仿宋"/>
                <w:b/>
                <w:sz w:val="24"/>
                <w:szCs w:val="24"/>
              </w:rPr>
            </w:pPr>
            <w:r>
              <w:rPr>
                <w:rFonts w:hint="eastAsia" w:ascii="仿宋" w:hAnsi="仿宋" w:eastAsia="仿宋" w:cs="仿宋"/>
                <w:b/>
                <w:sz w:val="24"/>
                <w:szCs w:val="24"/>
              </w:rPr>
              <w:t>（十</w:t>
            </w:r>
            <w:r>
              <w:rPr>
                <w:rFonts w:hint="eastAsia" w:ascii="仿宋" w:hAnsi="仿宋" w:eastAsia="仿宋" w:cs="仿宋"/>
                <w:b/>
                <w:sz w:val="24"/>
                <w:szCs w:val="24"/>
                <w:lang w:eastAsia="zh-CN"/>
              </w:rPr>
              <w:t>三</w:t>
            </w:r>
            <w:r>
              <w:rPr>
                <w:rFonts w:hint="eastAsia" w:ascii="仿宋" w:hAnsi="仿宋" w:eastAsia="仿宋" w:cs="仿宋"/>
                <w:b/>
                <w:sz w:val="24"/>
                <w:szCs w:val="24"/>
              </w:rPr>
              <w:t>）报价要求</w:t>
            </w:r>
          </w:p>
          <w:p w14:paraId="44A4F4B8">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总价报价，报价不能超过本项目上限控制价。</w:t>
            </w:r>
          </w:p>
          <w:p w14:paraId="011DCBFF">
            <w:pPr>
              <w:keepNext w:val="0"/>
              <w:keepLines w:val="0"/>
              <w:pageBreakBefore w:val="0"/>
              <w:widowControl/>
              <w:kinsoku/>
              <w:overflowPunct/>
              <w:topLinePunct w:val="0"/>
              <w:autoSpaceDE/>
              <w:autoSpaceDN/>
              <w:bidi w:val="0"/>
              <w:adjustRightInd/>
              <w:snapToGrid/>
              <w:spacing w:line="240" w:lineRule="auto"/>
              <w:ind w:firstLine="482" w:firstLineChars="200"/>
              <w:jc w:val="left"/>
              <w:textAlignment w:val="auto"/>
              <w:rPr>
                <w:rFonts w:hint="eastAsia" w:ascii="仿宋" w:hAnsi="仿宋" w:eastAsia="仿宋" w:cs="仿宋"/>
                <w:b/>
                <w:sz w:val="24"/>
                <w:szCs w:val="24"/>
              </w:rPr>
            </w:pPr>
            <w:r>
              <w:rPr>
                <w:rFonts w:hint="eastAsia" w:ascii="仿宋" w:hAnsi="仿宋" w:eastAsia="仿宋" w:cs="仿宋"/>
                <w:b/>
                <w:sz w:val="24"/>
                <w:szCs w:val="24"/>
              </w:rPr>
              <w:t>（十</w:t>
            </w:r>
            <w:r>
              <w:rPr>
                <w:rFonts w:hint="eastAsia" w:ascii="仿宋" w:hAnsi="仿宋" w:eastAsia="仿宋" w:cs="仿宋"/>
                <w:b/>
                <w:sz w:val="24"/>
                <w:szCs w:val="24"/>
                <w:lang w:eastAsia="zh-CN"/>
              </w:rPr>
              <w:t>四</w:t>
            </w:r>
            <w:r>
              <w:rPr>
                <w:rFonts w:hint="eastAsia" w:ascii="仿宋" w:hAnsi="仿宋" w:eastAsia="仿宋" w:cs="仿宋"/>
                <w:b/>
                <w:sz w:val="24"/>
                <w:szCs w:val="24"/>
              </w:rPr>
              <w:t>）付款方式</w:t>
            </w:r>
          </w:p>
          <w:p w14:paraId="4713E1BA">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（一）本项目不设预付款。</w:t>
            </w:r>
          </w:p>
          <w:p w14:paraId="412F35EC">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（二）项目竣工验收完成后，监理单位提供所有监理项目完整合格监理资料并完成相关资料移交后，支付监理服务费至合同总价的90%。</w:t>
            </w:r>
          </w:p>
          <w:p w14:paraId="6186F2C4">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（三）工程缺陷责任期满且提交所有完整资料(含施工结算资料)，支付监理服务费至合同总价的100%（包含已支付）。</w:t>
            </w:r>
          </w:p>
          <w:p w14:paraId="4B5E3C02">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每次请款申请经业主审核通过后，自收到成交供应商增值税专用发票之日起10个工作日内支付。</w:t>
            </w:r>
          </w:p>
          <w:p w14:paraId="4E9BE167">
            <w:pPr>
              <w:keepNext w:val="0"/>
              <w:keepLines w:val="0"/>
              <w:pageBreakBefore w:val="0"/>
              <w:numPr>
                <w:ilvl w:val="255"/>
                <w:numId w:val="0"/>
              </w:numPr>
              <w:kinsoku/>
              <w:overflowPunct/>
              <w:topLinePunct w:val="0"/>
              <w:autoSpaceDE/>
              <w:autoSpaceDN/>
              <w:bidi w:val="0"/>
              <w:adjustRightInd/>
              <w:snapToGrid/>
              <w:spacing w:line="240" w:lineRule="auto"/>
              <w:ind w:firstLine="482" w:firstLineChars="200"/>
              <w:textAlignment w:val="auto"/>
              <w:rPr>
                <w:rFonts w:hint="eastAsia" w:ascii="仿宋" w:hAnsi="仿宋" w:eastAsia="仿宋" w:cs="仿宋"/>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eastAsia="zh-CN"/>
              </w:rPr>
              <w:t>五</w:t>
            </w:r>
            <w:r>
              <w:rPr>
                <w:rFonts w:hint="eastAsia" w:ascii="仿宋" w:hAnsi="仿宋" w:eastAsia="仿宋" w:cs="仿宋"/>
                <w:b/>
                <w:sz w:val="24"/>
                <w:szCs w:val="24"/>
              </w:rPr>
              <w:t>）承包方式</w:t>
            </w:r>
          </w:p>
          <w:p w14:paraId="1A34D9D3">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总价包干（报价包括但不限于完成本项目所需的各项成本、人工费、材料费、管理费、专家评审费、开办费、税金及场地费、利润等所有费用）。</w:t>
            </w:r>
          </w:p>
          <w:p w14:paraId="36FC5D88">
            <w:pPr>
              <w:keepNext w:val="0"/>
              <w:keepLines w:val="0"/>
              <w:pageBreakBefore w:val="0"/>
              <w:numPr>
                <w:ilvl w:val="255"/>
                <w:numId w:val="0"/>
              </w:numPr>
              <w:kinsoku/>
              <w:overflowPunct/>
              <w:topLinePunct w:val="0"/>
              <w:autoSpaceDE/>
              <w:autoSpaceDN/>
              <w:bidi w:val="0"/>
              <w:adjustRightInd/>
              <w:snapToGrid/>
              <w:spacing w:line="240" w:lineRule="auto"/>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（十</w:t>
            </w:r>
            <w:r>
              <w:rPr>
                <w:rFonts w:hint="eastAsia" w:ascii="仿宋" w:hAnsi="仿宋" w:eastAsia="仿宋" w:cs="仿宋"/>
                <w:b/>
                <w:sz w:val="24"/>
                <w:szCs w:val="24"/>
                <w:lang w:eastAsia="zh-CN"/>
              </w:rPr>
              <w:t>六</w:t>
            </w:r>
            <w:r>
              <w:rPr>
                <w:rFonts w:hint="eastAsia" w:ascii="仿宋" w:hAnsi="仿宋" w:eastAsia="仿宋" w:cs="仿宋"/>
                <w:b/>
                <w:sz w:val="24"/>
                <w:szCs w:val="24"/>
              </w:rPr>
              <w:t>）履约保证金</w:t>
            </w:r>
          </w:p>
          <w:p w14:paraId="1E511EA4">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（一）成交供应商自收到成交通知书之日起14日历天内按成交金额的5%提交履约保证金（如为中小企业，则履约保证金比例为2%），否则将取消其成交资格。</w:t>
            </w:r>
          </w:p>
          <w:p w14:paraId="2CA3683F">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（二）履约保证金的形式：银行转账等非现金方式。</w:t>
            </w:r>
          </w:p>
          <w:p w14:paraId="7D72A3E1">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三）履约保证金的有效期必须涵盖上述工程竣工验收合格并对验收发现的问题完成整改后且供应商完善竣工资料手续的时间段。如果供应商无法获得一份不带具体截止日期的担保，履约担保中应当有“变更工程竣工日期的，保证期间按照变更后的竣工日期做相应调整”或类似约定的条款。</w:t>
            </w:r>
          </w:p>
          <w:p w14:paraId="25DF6927">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四）上述工程竣工验收合格且提交完整合格监理资料并完成相关资料移交后30天内退还给供应商（无息）。业主不承担成交供应商与履约保证金有关的任何利息或其他类似的费用或者收益，成交供应商在合同期限内不能履行合同义务或违约的，履约保证金不予退还。</w:t>
            </w:r>
          </w:p>
          <w:p w14:paraId="399D821C">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（五）履约保证金指定账户：</w:t>
            </w:r>
          </w:p>
          <w:p w14:paraId="10B76C6C">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开户名称：广西财经学院</w:t>
            </w:r>
          </w:p>
          <w:p w14:paraId="488A4F27">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开户银行：中国银行南宁明秀西路支行</w:t>
            </w:r>
          </w:p>
          <w:p w14:paraId="74668C7E">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银行账号：611957485481</w:t>
            </w:r>
          </w:p>
          <w:p w14:paraId="33DC3908">
            <w:pPr>
              <w:keepNext w:val="0"/>
              <w:keepLines w:val="0"/>
              <w:pageBreakBefore w:val="0"/>
              <w:numPr>
                <w:ilvl w:val="255"/>
                <w:numId w:val="0"/>
              </w:numPr>
              <w:kinsoku/>
              <w:overflowPunct/>
              <w:topLinePunct w:val="0"/>
              <w:autoSpaceDE/>
              <w:autoSpaceDN/>
              <w:bidi w:val="0"/>
              <w:adjustRightInd/>
              <w:snapToGrid/>
              <w:spacing w:line="240" w:lineRule="auto"/>
              <w:ind w:firstLine="482" w:firstLineChars="200"/>
              <w:textAlignment w:val="auto"/>
              <w:rPr>
                <w:rFonts w:hint="eastAsia" w:ascii="仿宋" w:hAnsi="仿宋" w:eastAsia="仿宋" w:cs="仿宋"/>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eastAsia="zh-CN"/>
              </w:rPr>
              <w:t>七</w:t>
            </w:r>
            <w:r>
              <w:rPr>
                <w:rFonts w:hint="eastAsia" w:ascii="仿宋" w:hAnsi="仿宋" w:eastAsia="仿宋" w:cs="仿宋"/>
                <w:b/>
                <w:sz w:val="24"/>
                <w:szCs w:val="24"/>
              </w:rPr>
              <w:t>）责任与义务</w:t>
            </w:r>
          </w:p>
          <w:p w14:paraId="13F78541">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（一）项目总监理工程师每月在岗不少于15天，每缺岗一天，扣除罚金人民币300元/天。在岗天数均按8小时/天计。</w:t>
            </w:r>
          </w:p>
          <w:p w14:paraId="5AAE2AF6">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（二）因主要监理人员不称职，业主要求调换而未及时调换的，视为供应商违约，必须向业主缴纳罚金人民币2000元/人•次。</w:t>
            </w:r>
          </w:p>
          <w:p w14:paraId="730C596A">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（三）未经业主书面同意，供应商擅自更换项目总监理工程师的视为违约，需缴纳违约金人民币3000元/人•次。</w:t>
            </w:r>
          </w:p>
          <w:p w14:paraId="0D4F6D20">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rPr>
            </w:pPr>
            <w:r>
              <w:rPr>
                <w:rFonts w:hint="eastAsia" w:ascii="仿宋" w:hAnsi="仿宋" w:eastAsia="仿宋" w:cs="仿宋"/>
                <w:bCs/>
                <w:sz w:val="24"/>
                <w:szCs w:val="24"/>
              </w:rPr>
              <w:t>（四）如在工程实施期间，因国家政策变化、政府对工程的计划调整或不可抗力等非业主原因造成工程停建的，则成交供应商必须接受终止服务并积极配合业主做好善后工作，按已实际完成的监理服务内容和相关约定结清监理报酬。</w:t>
            </w:r>
          </w:p>
        </w:tc>
      </w:tr>
      <w:tr w14:paraId="15F1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5000" w:type="pct"/>
            <w:gridSpan w:val="2"/>
          </w:tcPr>
          <w:p w14:paraId="3E796752">
            <w:pPr>
              <w:rPr>
                <w:rFonts w:hint="eastAsia" w:ascii="宋体" w:hAnsi="宋体"/>
                <w:b/>
                <w:sz w:val="24"/>
                <w:szCs w:val="32"/>
              </w:rPr>
            </w:pPr>
          </w:p>
          <w:p w14:paraId="1FCDE801">
            <w:pPr>
              <w:rPr>
                <w:rFonts w:hint="eastAsia" w:ascii="宋体" w:hAnsi="宋体"/>
                <w:b/>
                <w:sz w:val="24"/>
                <w:szCs w:val="32"/>
              </w:rPr>
            </w:pPr>
            <w:r>
              <w:rPr>
                <w:rFonts w:hint="eastAsia" w:ascii="宋体" w:hAnsi="宋体"/>
                <w:b/>
                <w:sz w:val="24"/>
                <w:szCs w:val="32"/>
              </w:rPr>
              <w:t>包干价：</w:t>
            </w:r>
            <w:r>
              <w:rPr>
                <w:rFonts w:ascii="宋体" w:hAnsi="宋体"/>
                <w:b/>
                <w:sz w:val="24"/>
                <w:szCs w:val="32"/>
              </w:rPr>
              <w:t>人民币（大写）</w:t>
            </w:r>
            <w:r>
              <w:rPr>
                <w:rFonts w:hint="eastAsia" w:ascii="宋体" w:hAnsi="宋体"/>
                <w:b/>
                <w:sz w:val="24"/>
                <w:szCs w:val="32"/>
              </w:rPr>
              <w:t>：</w:t>
            </w:r>
            <w:r>
              <w:rPr>
                <w:rFonts w:hint="eastAsia" w:ascii="宋体" w:hAnsi="宋体"/>
                <w:b/>
                <w:sz w:val="24"/>
                <w:szCs w:val="32"/>
                <w:u w:val="single"/>
              </w:rPr>
              <w:t xml:space="preserve">       </w:t>
            </w:r>
            <w:r>
              <w:rPr>
                <w:rFonts w:ascii="宋体" w:hAnsi="宋体"/>
                <w:b/>
                <w:sz w:val="24"/>
                <w:szCs w:val="32"/>
                <w:u w:val="single"/>
              </w:rPr>
              <w:t xml:space="preserve">  </w:t>
            </w:r>
            <w:r>
              <w:rPr>
                <w:rFonts w:hint="eastAsia" w:ascii="宋体" w:hAnsi="宋体"/>
                <w:b/>
                <w:sz w:val="24"/>
                <w:szCs w:val="32"/>
                <w:u w:val="single"/>
              </w:rPr>
              <w:t xml:space="preserve">  </w:t>
            </w:r>
            <w:r>
              <w:rPr>
                <w:rFonts w:hint="eastAsia" w:ascii="宋体" w:hAnsi="宋体"/>
                <w:b/>
                <w:sz w:val="24"/>
                <w:szCs w:val="32"/>
              </w:rPr>
              <w:t>（小写）:</w:t>
            </w:r>
            <w:r>
              <w:rPr>
                <w:rFonts w:hint="eastAsia" w:ascii="宋体" w:hAnsi="宋体"/>
                <w:b/>
                <w:sz w:val="24"/>
                <w:szCs w:val="32"/>
                <w:u w:val="single"/>
              </w:rPr>
              <w:t xml:space="preserve">         </w:t>
            </w:r>
            <w:r>
              <w:rPr>
                <w:rFonts w:ascii="宋体" w:hAnsi="宋体"/>
                <w:b/>
                <w:sz w:val="24"/>
                <w:szCs w:val="32"/>
                <w:u w:val="single"/>
              </w:rPr>
              <w:t xml:space="preserve">   </w:t>
            </w:r>
            <w:r>
              <w:rPr>
                <w:rFonts w:hint="eastAsia" w:ascii="宋体" w:hAnsi="宋体"/>
                <w:b/>
                <w:sz w:val="24"/>
                <w:szCs w:val="32"/>
                <w:u w:val="single"/>
              </w:rPr>
              <w:t xml:space="preserve"> </w:t>
            </w:r>
          </w:p>
          <w:p w14:paraId="7AC7CEEC">
            <w:pPr>
              <w:rPr>
                <w:rFonts w:hint="eastAsia" w:ascii="宋体" w:hAnsi="宋体"/>
                <w:b/>
                <w:sz w:val="24"/>
                <w:szCs w:val="32"/>
                <w:u w:val="single"/>
              </w:rPr>
            </w:pPr>
          </w:p>
        </w:tc>
      </w:tr>
      <w:tr w14:paraId="6B666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5000" w:type="pct"/>
            <w:gridSpan w:val="2"/>
          </w:tcPr>
          <w:p w14:paraId="0234A722">
            <w:pPr>
              <w:numPr>
                <w:ilvl w:val="255"/>
                <w:numId w:val="0"/>
              </w:numPr>
              <w:rPr>
                <w:rFonts w:hint="eastAsia" w:ascii="宋体" w:hAnsi="宋体"/>
                <w:bCs/>
                <w:sz w:val="24"/>
              </w:rPr>
            </w:pPr>
            <w:r>
              <w:rPr>
                <w:rFonts w:hint="eastAsia" w:ascii="宋体" w:hAnsi="宋体"/>
                <w:bCs/>
                <w:sz w:val="24"/>
              </w:rPr>
              <w:t>备注：</w:t>
            </w:r>
          </w:p>
          <w:p w14:paraId="388166EF">
            <w:pPr>
              <w:numPr>
                <w:ilvl w:val="0"/>
                <w:numId w:val="1"/>
              </w:numPr>
              <w:rPr>
                <w:rFonts w:hint="eastAsia" w:ascii="宋体" w:hAnsi="宋体"/>
                <w:bCs/>
                <w:sz w:val="24"/>
              </w:rPr>
            </w:pPr>
            <w:r>
              <w:rPr>
                <w:rFonts w:hint="eastAsia" w:ascii="宋体" w:hAnsi="宋体"/>
                <w:bCs/>
                <w:sz w:val="24"/>
              </w:rPr>
              <w:t>报价人对服务内容已经完全知晓，本次报价包括但不限于完成本项目所需的各项成本、人工费、材料费、管理费、专家评审费、开办费、税金及场地费、利润等所有费用。</w:t>
            </w:r>
          </w:p>
          <w:p w14:paraId="2D064D51">
            <w:pPr>
              <w:numPr>
                <w:ilvl w:val="0"/>
                <w:numId w:val="1"/>
              </w:numPr>
              <w:rPr>
                <w:rFonts w:hint="eastAsia" w:ascii="宋体" w:hAnsi="宋体"/>
                <w:bCs/>
                <w:sz w:val="24"/>
              </w:rPr>
            </w:pPr>
            <w:r>
              <w:rPr>
                <w:rFonts w:hint="eastAsia" w:ascii="宋体" w:hAnsi="宋体"/>
                <w:bCs/>
                <w:sz w:val="24"/>
              </w:rPr>
              <w:t>本次报价为包干报价，期间不做任何价格调整。</w:t>
            </w:r>
          </w:p>
        </w:tc>
      </w:tr>
    </w:tbl>
    <w:p w14:paraId="47886569">
      <w:pPr>
        <w:rPr>
          <w:rFonts w:hint="eastAsia" w:ascii="宋体" w:hAnsi="宋体"/>
          <w:b/>
          <w:sz w:val="28"/>
          <w:szCs w:val="36"/>
        </w:rPr>
      </w:pPr>
      <w:r>
        <w:rPr>
          <w:rFonts w:hint="eastAsia" w:ascii="宋体" w:hAnsi="宋体"/>
          <w:b/>
          <w:sz w:val="28"/>
          <w:szCs w:val="36"/>
        </w:rPr>
        <w:t xml:space="preserve">法定代表人（或委托代理人）签字：            </w:t>
      </w:r>
    </w:p>
    <w:p w14:paraId="18C6B9B7">
      <w:pPr>
        <w:rPr>
          <w:rFonts w:hint="eastAsia" w:ascii="宋体" w:hAnsi="宋体"/>
          <w:b/>
          <w:sz w:val="28"/>
          <w:szCs w:val="36"/>
        </w:rPr>
      </w:pPr>
    </w:p>
    <w:p w14:paraId="2299691C">
      <w:pPr>
        <w:rPr>
          <w:rFonts w:hint="eastAsia" w:ascii="宋体" w:hAnsi="宋体"/>
          <w:b/>
          <w:sz w:val="28"/>
          <w:szCs w:val="36"/>
        </w:rPr>
      </w:pPr>
      <w:r>
        <w:rPr>
          <w:rFonts w:hint="eastAsia" w:ascii="宋体" w:hAnsi="宋体"/>
          <w:b/>
          <w:sz w:val="28"/>
          <w:szCs w:val="36"/>
        </w:rPr>
        <w:t>单位名称（</w:t>
      </w:r>
      <w:r>
        <w:rPr>
          <w:rFonts w:ascii="宋体" w:hAnsi="宋体"/>
          <w:b/>
          <w:sz w:val="28"/>
          <w:szCs w:val="36"/>
        </w:rPr>
        <w:t>盖</w:t>
      </w:r>
      <w:r>
        <w:rPr>
          <w:rFonts w:hint="eastAsia" w:ascii="宋体" w:hAnsi="宋体"/>
          <w:b/>
          <w:sz w:val="28"/>
          <w:szCs w:val="36"/>
        </w:rPr>
        <w:t>章）：</w:t>
      </w:r>
    </w:p>
    <w:p w14:paraId="708BA3D6">
      <w:pPr>
        <w:rPr>
          <w:rFonts w:hint="eastAsia" w:ascii="宋体" w:hAnsi="宋体"/>
          <w:b/>
          <w:sz w:val="28"/>
          <w:szCs w:val="36"/>
        </w:rPr>
      </w:pPr>
    </w:p>
    <w:p w14:paraId="01D441DB">
      <w:pPr>
        <w:jc w:val="left"/>
        <w:rPr>
          <w:rFonts w:hint="eastAsia" w:ascii="宋体" w:hAnsi="宋体"/>
          <w:b/>
          <w:sz w:val="28"/>
          <w:szCs w:val="36"/>
        </w:rPr>
      </w:pPr>
      <w:r>
        <w:rPr>
          <w:rFonts w:hint="eastAsia" w:ascii="宋体" w:hAnsi="宋体"/>
          <w:b/>
          <w:sz w:val="28"/>
          <w:szCs w:val="36"/>
        </w:rPr>
        <w:t>联系人及电话：</w:t>
      </w:r>
    </w:p>
    <w:p w14:paraId="2EC8739F">
      <w:pPr>
        <w:jc w:val="left"/>
        <w:rPr>
          <w:rFonts w:hint="eastAsia" w:ascii="宋体" w:hAnsi="宋体"/>
          <w:b/>
          <w:sz w:val="28"/>
          <w:szCs w:val="36"/>
        </w:rPr>
      </w:pPr>
    </w:p>
    <w:p w14:paraId="068B7D32">
      <w:pPr>
        <w:jc w:val="left"/>
      </w:pPr>
      <w:r>
        <w:rPr>
          <w:rFonts w:ascii="宋体" w:hAnsi="宋体"/>
          <w:b/>
          <w:sz w:val="28"/>
          <w:szCs w:val="36"/>
        </w:rPr>
        <w:t>日期：</w:t>
      </w:r>
      <w:bookmarkStart w:id="0" w:name="_Toc254970729"/>
      <w:bookmarkEnd w:id="0"/>
      <w:bookmarkStart w:id="1" w:name="_Toc254970732"/>
      <w:bookmarkEnd w:id="1"/>
      <w:bookmarkStart w:id="2" w:name="_Toc173211904"/>
      <w:bookmarkEnd w:id="2"/>
    </w:p>
    <w:sectPr>
      <w:pgSz w:w="11906" w:h="16838"/>
      <w:pgMar w:top="1134" w:right="1134" w:bottom="1134" w:left="1134"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B22B99"/>
    <w:multiLevelType w:val="singleLevel"/>
    <w:tmpl w:val="5AB22B9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CB1"/>
    <w:rsid w:val="000359DC"/>
    <w:rsid w:val="004251C9"/>
    <w:rsid w:val="004E770F"/>
    <w:rsid w:val="0065091F"/>
    <w:rsid w:val="00A06985"/>
    <w:rsid w:val="00C24C44"/>
    <w:rsid w:val="00CA64E8"/>
    <w:rsid w:val="00D909BE"/>
    <w:rsid w:val="00DE3CB1"/>
    <w:rsid w:val="00E332F8"/>
    <w:rsid w:val="00E35F32"/>
    <w:rsid w:val="044E3E0A"/>
    <w:rsid w:val="067E7145"/>
    <w:rsid w:val="09D45935"/>
    <w:rsid w:val="0A4B01E4"/>
    <w:rsid w:val="0AC10F38"/>
    <w:rsid w:val="0FDA6D75"/>
    <w:rsid w:val="135C2A18"/>
    <w:rsid w:val="173815B6"/>
    <w:rsid w:val="17657E11"/>
    <w:rsid w:val="184243B2"/>
    <w:rsid w:val="191C401F"/>
    <w:rsid w:val="1C0C56BC"/>
    <w:rsid w:val="1C9B42D4"/>
    <w:rsid w:val="1CEF742A"/>
    <w:rsid w:val="1EBB6528"/>
    <w:rsid w:val="1EE46634"/>
    <w:rsid w:val="222C71A7"/>
    <w:rsid w:val="25C119DF"/>
    <w:rsid w:val="25C36217"/>
    <w:rsid w:val="25F171B1"/>
    <w:rsid w:val="28E75A13"/>
    <w:rsid w:val="2EF13811"/>
    <w:rsid w:val="32456B21"/>
    <w:rsid w:val="390818C6"/>
    <w:rsid w:val="3AFE7B03"/>
    <w:rsid w:val="3F3A089F"/>
    <w:rsid w:val="3F791767"/>
    <w:rsid w:val="40B14CDF"/>
    <w:rsid w:val="40E74CF2"/>
    <w:rsid w:val="417A37DF"/>
    <w:rsid w:val="43C46774"/>
    <w:rsid w:val="43CE2C49"/>
    <w:rsid w:val="47816B62"/>
    <w:rsid w:val="49FD67BC"/>
    <w:rsid w:val="4AE7513B"/>
    <w:rsid w:val="4B1024D9"/>
    <w:rsid w:val="4DB83818"/>
    <w:rsid w:val="4DCE31F6"/>
    <w:rsid w:val="50B47E13"/>
    <w:rsid w:val="51AE7077"/>
    <w:rsid w:val="552A2393"/>
    <w:rsid w:val="575B3FCB"/>
    <w:rsid w:val="57BB18D1"/>
    <w:rsid w:val="5A8318F9"/>
    <w:rsid w:val="5B3143BB"/>
    <w:rsid w:val="5C2F0E19"/>
    <w:rsid w:val="5CC91C79"/>
    <w:rsid w:val="5D5C7F59"/>
    <w:rsid w:val="5E153A5E"/>
    <w:rsid w:val="5E1E4AEE"/>
    <w:rsid w:val="5FC20152"/>
    <w:rsid w:val="5FFF268C"/>
    <w:rsid w:val="61B56FEA"/>
    <w:rsid w:val="644B6723"/>
    <w:rsid w:val="65231C0C"/>
    <w:rsid w:val="65744A4C"/>
    <w:rsid w:val="69513A22"/>
    <w:rsid w:val="6B5576A6"/>
    <w:rsid w:val="6E5056F0"/>
    <w:rsid w:val="6FC75B1F"/>
    <w:rsid w:val="718906D9"/>
    <w:rsid w:val="71F02BFB"/>
    <w:rsid w:val="74551138"/>
    <w:rsid w:val="75955CEA"/>
    <w:rsid w:val="77112A42"/>
    <w:rsid w:val="777F5BFE"/>
    <w:rsid w:val="7A5A39E8"/>
    <w:rsid w:val="7C2914F4"/>
    <w:rsid w:val="7C4C3713"/>
    <w:rsid w:val="7C8C343C"/>
    <w:rsid w:val="7D7F4C76"/>
    <w:rsid w:val="7E3961FC"/>
    <w:rsid w:val="7EFA268B"/>
    <w:rsid w:val="7F626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360" w:lineRule="auto"/>
      <w:jc w:val="left"/>
      <w:outlineLvl w:val="1"/>
    </w:pPr>
    <w:rPr>
      <w:rFonts w:eastAsia="宋体" w:asciiTheme="majorHAnsi" w:hAnsiTheme="majorHAnsi" w:cstheme="majorBidi"/>
      <w:b/>
      <w:bCs/>
      <w:sz w:val="36"/>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paragraph" w:customStyle="1" w:styleId="10">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1">
    <w:name w:val="页眉 字符"/>
    <w:basedOn w:val="8"/>
    <w:link w:val="5"/>
    <w:qFormat/>
    <w:uiPriority w:val="0"/>
    <w:rPr>
      <w:rFonts w:asciiTheme="minorHAnsi" w:hAnsiTheme="minorHAnsi" w:eastAsiaTheme="minorEastAsia" w:cstheme="minorBidi"/>
      <w:kern w:val="2"/>
      <w:sz w:val="18"/>
      <w:szCs w:val="18"/>
    </w:rPr>
  </w:style>
  <w:style w:type="character" w:customStyle="1" w:styleId="12">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89c1ef46-edc5-4042-a8aa-9582482428fb</errorID>
      <errorWord>大</errorWord>
      <group>L1_Word</group>
      <groupName>字词问题</groupName>
      <ability>L2_Typo</ability>
      <abilityName>字词错误</abilityName>
      <candidateList>
        <item>大学</item>
      </candidateList>
      <explain/>
      <paraID>790CFCD4</paraID>
      <start>26</start>
      <end>27</end>
      <status>unmodified</status>
      <modifiedWord/>
      <trackRevisions>false</trackRevisions>
    </reviewItem>
    <reviewItem>
      <errorID>a827bd88-2c26-48d4-898b-c0b70e7e373e</errorID>
      <errorWord>:</errorWord>
      <group>L1_Format</group>
      <groupName>格式问题</groupName>
      <ability>L2_HalfPunc_CN</ability>
      <abilityName>全半角检查</abilityName>
      <candidateList>
        <item>：</item>
      </candidateList>
      <explain>文本全半角错误。</explain>
      <paraID>1FCDE801</paraID>
      <start>27</start>
      <end>28</end>
      <status>unmodified</status>
      <modifiedWord/>
      <trackRevisions>false</trackRevisions>
    </reviewItem>
    <reviewItem>
      <errorID>b60fd319-202d-4d46-b069-9ee6f4dd5322</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2D064D51</paraID>
      <start>10</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381c57f9-87e2-44d4-b10d-0c3a4698c2ba}">
  <ds:schemaRefs/>
</ds:datastoreItem>
</file>

<file path=docProps/app.xml><?xml version="1.0" encoding="utf-8"?>
<Properties xmlns="http://schemas.openxmlformats.org/officeDocument/2006/extended-properties" xmlns:vt="http://schemas.openxmlformats.org/officeDocument/2006/docPropsVTypes">
  <Template>Normal</Template>
  <Pages>3</Pages>
  <Words>2196</Words>
  <Characters>2238</Characters>
  <Lines>37</Lines>
  <Paragraphs>40</Paragraphs>
  <TotalTime>0</TotalTime>
  <ScaleCrop>false</ScaleCrop>
  <LinksUpToDate>false</LinksUpToDate>
  <CharactersWithSpaces>2276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2025-09-21T09:48:00Z</dcterms:created>
  <dc:creator>Admin</dc:creator>
  <cp:lastModifiedBy>红雨</cp:lastModifiedBy>
  <dcterms:modified xsi:type="dcterms:W3CDTF">2026-06-25T09:32:53Z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eyJoZGlkIjoiMDU2YTYzZTdmMmFjNGYyNTExMjE0OWJkMzc5MWY2ZjEiLCJ1c2VySWQiOiI3OTc0OTg4NTEifQ==</vt:lpwstr>
  </property>
  <property fmtid="{D5CDD505-2E9C-101B-9397-08002B2CF9AE}" pid="4" name="ICV">
    <vt:lpwstr>CE5A9FC7FC6F4322BACC099DDE9B290B_13</vt:lpwstr>
  </property>
</Properties>
</file>