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01A519">
      <w:pPr>
        <w:spacing w:line="900" w:lineRule="exact"/>
        <w:jc w:val="left"/>
        <w:rPr>
          <w:rFonts w:hint="eastAsia" w:ascii="方正小标宋简体" w:hAnsi="黑体" w:eastAsia="方正小标宋简体"/>
          <w:bCs/>
          <w:color w:val="000000" w:themeColor="text1"/>
          <w:sz w:val="44"/>
          <w:szCs w:val="44"/>
          <w14:textFill>
            <w14:solidFill>
              <w14:schemeClr w14:val="tx1"/>
            </w14:solidFill>
          </w14:textFill>
        </w:rPr>
      </w:pPr>
    </w:p>
    <w:p w14:paraId="01A243DB">
      <w:pPr>
        <w:spacing w:line="900" w:lineRule="exact"/>
        <w:jc w:val="left"/>
        <w:rPr>
          <w:rFonts w:hint="eastAsia" w:ascii="方正小标宋简体" w:hAnsi="黑体" w:eastAsia="方正小标宋简体"/>
          <w:bCs/>
          <w:color w:val="000000" w:themeColor="text1"/>
          <w:sz w:val="44"/>
          <w:szCs w:val="44"/>
          <w14:textFill>
            <w14:solidFill>
              <w14:schemeClr w14:val="tx1"/>
            </w14:solidFill>
          </w14:textFill>
        </w:rPr>
      </w:pPr>
    </w:p>
    <w:p w14:paraId="5BE385BE">
      <w:pPr>
        <w:spacing w:line="900" w:lineRule="exact"/>
        <w:jc w:val="center"/>
        <w:rPr>
          <w:rFonts w:hint="eastAsia" w:ascii="方正小标宋简体" w:hAnsi="黑体" w:eastAsia="方正小标宋简体"/>
          <w:bCs/>
          <w:color w:val="000000" w:themeColor="text1"/>
          <w:sz w:val="44"/>
          <w:szCs w:val="44"/>
          <w14:textFill>
            <w14:solidFill>
              <w14:schemeClr w14:val="tx1"/>
            </w14:solidFill>
          </w14:textFill>
        </w:rPr>
      </w:pPr>
      <w:r>
        <w:rPr>
          <w:rFonts w:hint="eastAsia" w:ascii="方正小标宋简体" w:hAnsi="黑体" w:eastAsia="方正小标宋简体"/>
          <w:bCs/>
          <w:color w:val="000000" w:themeColor="text1"/>
          <w:sz w:val="44"/>
          <w:szCs w:val="44"/>
          <w14:textFill>
            <w14:solidFill>
              <w14:schemeClr w14:val="tx1"/>
            </w14:solidFill>
          </w14:textFill>
        </w:rPr>
        <w:t>《职业规划与就业创业》《管理沟通》</w:t>
      </w:r>
    </w:p>
    <w:p w14:paraId="2085B392">
      <w:pPr>
        <w:spacing w:line="900" w:lineRule="exact"/>
        <w:jc w:val="center"/>
        <w:rPr>
          <w:rFonts w:ascii="方正小标宋简体" w:hAnsi="黑体" w:eastAsia="方正小标宋简体"/>
          <w:bCs/>
          <w:color w:val="000000" w:themeColor="text1"/>
          <w:sz w:val="44"/>
          <w:szCs w:val="44"/>
          <w14:textFill>
            <w14:solidFill>
              <w14:schemeClr w14:val="tx1"/>
            </w14:solidFill>
          </w14:textFill>
        </w:rPr>
      </w:pPr>
      <w:r>
        <w:rPr>
          <w:rFonts w:hint="eastAsia" w:ascii="方正小标宋简体" w:hAnsi="黑体" w:eastAsia="方正小标宋简体"/>
          <w:bCs/>
          <w:color w:val="000000" w:themeColor="text1"/>
          <w:sz w:val="44"/>
          <w:szCs w:val="44"/>
          <w14:textFill>
            <w14:solidFill>
              <w14:schemeClr w14:val="tx1"/>
            </w14:solidFill>
          </w14:textFill>
        </w:rPr>
        <w:t>等两门</w:t>
      </w:r>
      <w:r>
        <w:rPr>
          <w:rFonts w:hint="eastAsia" w:ascii="方正小标宋简体" w:hAnsi="黑体" w:eastAsia="方正小标宋简体"/>
          <w:bCs/>
          <w:color w:val="000000" w:themeColor="text1"/>
          <w:sz w:val="44"/>
          <w:szCs w:val="44"/>
          <w:lang w:val="en-US" w:eastAsia="zh-CN"/>
          <w14:textFill>
            <w14:solidFill>
              <w14:schemeClr w14:val="tx1"/>
            </w14:solidFill>
          </w14:textFill>
        </w:rPr>
        <w:t>智慧课程</w:t>
      </w:r>
      <w:r>
        <w:rPr>
          <w:rFonts w:hint="eastAsia" w:ascii="方正小标宋简体" w:hAnsi="黑体" w:eastAsia="方正小标宋简体"/>
          <w:bCs/>
          <w:color w:val="000000" w:themeColor="text1"/>
          <w:sz w:val="44"/>
          <w:szCs w:val="44"/>
          <w14:textFill>
            <w14:solidFill>
              <w14:schemeClr w14:val="tx1"/>
            </w14:solidFill>
          </w14:textFill>
        </w:rPr>
        <w:t>建设服务项目采购合同</w:t>
      </w:r>
    </w:p>
    <w:p w14:paraId="40E68D60">
      <w:pPr>
        <w:spacing w:line="900" w:lineRule="exact"/>
        <w:jc w:val="center"/>
        <w:rPr>
          <w:rFonts w:hint="eastAsia" w:ascii="方正小标宋简体" w:hAnsi="黑体" w:eastAsia="方正小标宋简体"/>
          <w:bCs/>
          <w:color w:val="000000" w:themeColor="text1"/>
          <w:sz w:val="44"/>
          <w:szCs w:val="44"/>
          <w14:textFill>
            <w14:solidFill>
              <w14:schemeClr w14:val="tx1"/>
            </w14:solidFill>
          </w14:textFill>
        </w:rPr>
      </w:pPr>
    </w:p>
    <w:p w14:paraId="2D13ECE9">
      <w:pPr>
        <w:spacing w:line="900" w:lineRule="exact"/>
        <w:jc w:val="center"/>
        <w:rPr>
          <w:rFonts w:hint="eastAsia" w:ascii="方正小标宋简体" w:hAnsi="黑体" w:eastAsia="方正小标宋简体"/>
          <w:bCs/>
          <w:color w:val="000000" w:themeColor="text1"/>
          <w:sz w:val="44"/>
          <w:szCs w:val="44"/>
          <w14:textFill>
            <w14:solidFill>
              <w14:schemeClr w14:val="tx1"/>
            </w14:solidFill>
          </w14:textFill>
        </w:rPr>
      </w:pPr>
    </w:p>
    <w:p w14:paraId="6C394D36">
      <w:pPr>
        <w:spacing w:line="900" w:lineRule="exact"/>
        <w:jc w:val="center"/>
        <w:rPr>
          <w:rFonts w:hint="eastAsia" w:ascii="方正小标宋简体" w:hAnsi="黑体" w:eastAsia="方正小标宋简体"/>
          <w:bCs/>
          <w:color w:val="000000" w:themeColor="text1"/>
          <w:sz w:val="44"/>
          <w:szCs w:val="44"/>
          <w14:textFill>
            <w14:solidFill>
              <w14:schemeClr w14:val="tx1"/>
            </w14:solidFill>
          </w14:textFill>
        </w:rPr>
      </w:pPr>
    </w:p>
    <w:p w14:paraId="24BBD064">
      <w:pPr>
        <w:rPr>
          <w:rFonts w:ascii="方正小标宋简体" w:hAnsi="黑体" w:eastAsia="方正小标宋简体"/>
          <w:bCs/>
          <w:color w:val="000000" w:themeColor="text1"/>
          <w:sz w:val="24"/>
          <w14:textFill>
            <w14:solidFill>
              <w14:schemeClr w14:val="tx1"/>
            </w14:solidFill>
          </w14:textFill>
        </w:rPr>
      </w:pPr>
    </w:p>
    <w:p w14:paraId="47285449">
      <w:pPr>
        <w:rPr>
          <w:rFonts w:ascii="宋体" w:hAnsi="宋体"/>
          <w:color w:val="000000" w:themeColor="text1"/>
          <w:sz w:val="18"/>
          <w:szCs w:val="20"/>
          <w14:textFill>
            <w14:solidFill>
              <w14:schemeClr w14:val="tx1"/>
            </w14:solidFill>
          </w14:textFill>
        </w:rPr>
      </w:pPr>
    </w:p>
    <w:p w14:paraId="436160D1">
      <w:pPr>
        <w:spacing w:line="900" w:lineRule="exact"/>
        <w:ind w:left="3651" w:leftChars="945" w:hanging="1667" w:hangingChars="521"/>
        <w:rPr>
          <w:rFonts w:ascii="仿宋_GB2312" w:hAnsi="宋体" w:eastAsia="仿宋_GB2312"/>
          <w:color w:val="000000" w:themeColor="text1"/>
          <w:kern w:val="0"/>
          <w:sz w:val="32"/>
          <w:szCs w:val="32"/>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项目名称：</w:t>
      </w:r>
      <w:r>
        <w:rPr>
          <w:rFonts w:hint="eastAsia" w:ascii="仿宋_GB2312" w:eastAsia="仿宋_GB2312" w:cs="华文仿宋" w:hAnsiTheme="minorEastAsia"/>
          <w:color w:val="000000" w:themeColor="text1"/>
          <w:sz w:val="32"/>
          <w:szCs w:val="32"/>
          <w:u w:val="single"/>
          <w14:textFill>
            <w14:solidFill>
              <w14:schemeClr w14:val="tx1"/>
            </w14:solidFill>
          </w14:textFill>
        </w:rPr>
        <w:t xml:space="preserve">《职业规划与就业创业》《管理沟通》等两门智慧课程建设服务               </w:t>
      </w:r>
    </w:p>
    <w:p w14:paraId="4C53AA99">
      <w:pPr>
        <w:spacing w:line="900" w:lineRule="exact"/>
        <w:ind w:left="3014" w:leftChars="945" w:hanging="1030" w:hangingChars="322"/>
        <w:rPr>
          <w:rFonts w:ascii="仿宋_GB2312" w:hAnsi="宋体" w:eastAsia="仿宋_GB2312"/>
          <w:color w:val="000000" w:themeColor="text1"/>
          <w:kern w:val="0"/>
          <w:sz w:val="32"/>
          <w:szCs w:val="32"/>
          <w:u w:val="single"/>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甲    方：</w:t>
      </w:r>
      <w:r>
        <w:rPr>
          <w:rFonts w:hint="eastAsia" w:ascii="仿宋_GB2312" w:hAnsi="宋体" w:eastAsia="仿宋_GB2312"/>
          <w:color w:val="000000" w:themeColor="text1"/>
          <w:kern w:val="0"/>
          <w:sz w:val="32"/>
          <w:szCs w:val="32"/>
          <w:u w:val="single"/>
          <w14:textFill>
            <w14:solidFill>
              <w14:schemeClr w14:val="tx1"/>
            </w14:solidFill>
          </w14:textFill>
        </w:rPr>
        <w:t xml:space="preserve">    </w:t>
      </w:r>
      <w:r>
        <w:rPr>
          <w:rFonts w:hint="eastAsia" w:ascii="仿宋_GB2312" w:hAnsi="宋体" w:eastAsia="仿宋_GB2312"/>
          <w:color w:val="000000" w:themeColor="text1"/>
          <w:kern w:val="0"/>
          <w:sz w:val="32"/>
          <w:szCs w:val="32"/>
          <w:u w:val="single"/>
          <w:lang w:val="en-US" w:eastAsia="zh-CN"/>
          <w14:textFill>
            <w14:solidFill>
              <w14:schemeClr w14:val="tx1"/>
            </w14:solidFill>
          </w14:textFill>
        </w:rPr>
        <w:t xml:space="preserve">  </w:t>
      </w:r>
      <w:r>
        <w:rPr>
          <w:rFonts w:hint="eastAsia" w:ascii="仿宋_GB2312" w:hAnsi="宋体" w:eastAsia="仿宋_GB2312"/>
          <w:color w:val="000000" w:themeColor="text1"/>
          <w:kern w:val="0"/>
          <w:sz w:val="32"/>
          <w:szCs w:val="32"/>
          <w:u w:val="single"/>
          <w14:textFill>
            <w14:solidFill>
              <w14:schemeClr w14:val="tx1"/>
            </w14:solidFill>
          </w14:textFill>
        </w:rPr>
        <w:t xml:space="preserve"> 广西财经学院 </w:t>
      </w:r>
      <w:r>
        <w:rPr>
          <w:rFonts w:hint="eastAsia" w:ascii="仿宋_GB2312" w:hAnsi="宋体" w:eastAsia="仿宋_GB2312"/>
          <w:color w:val="000000" w:themeColor="text1"/>
          <w:kern w:val="0"/>
          <w:sz w:val="32"/>
          <w:szCs w:val="32"/>
          <w:u w:val="single"/>
          <w:lang w:val="en-US" w:eastAsia="zh-CN"/>
          <w14:textFill>
            <w14:solidFill>
              <w14:schemeClr w14:val="tx1"/>
            </w14:solidFill>
          </w14:textFill>
        </w:rPr>
        <w:t xml:space="preserve">  </w:t>
      </w:r>
      <w:r>
        <w:rPr>
          <w:rFonts w:hint="eastAsia" w:ascii="仿宋_GB2312" w:hAnsi="宋体" w:eastAsia="仿宋_GB2312"/>
          <w:color w:val="000000" w:themeColor="text1"/>
          <w:kern w:val="0"/>
          <w:sz w:val="32"/>
          <w:szCs w:val="32"/>
          <w:u w:val="single"/>
          <w14:textFill>
            <w14:solidFill>
              <w14:schemeClr w14:val="tx1"/>
            </w14:solidFill>
          </w14:textFill>
        </w:rPr>
        <w:t xml:space="preserve">    </w:t>
      </w:r>
    </w:p>
    <w:p w14:paraId="4704CA28">
      <w:pPr>
        <w:spacing w:line="900" w:lineRule="exact"/>
        <w:ind w:left="3014" w:leftChars="945" w:hanging="1030" w:hangingChars="322"/>
        <w:rPr>
          <w:rFonts w:ascii="仿宋_GB2312" w:hAnsi="宋体" w:eastAsia="仿宋_GB2312"/>
          <w:color w:val="000000" w:themeColor="text1"/>
          <w:kern w:val="0"/>
          <w:sz w:val="32"/>
          <w:szCs w:val="32"/>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乙    方：</w:t>
      </w:r>
      <w:r>
        <w:rPr>
          <w:rFonts w:hint="eastAsia" w:ascii="仿宋_GB2312" w:eastAsia="仿宋_GB2312" w:cs="华文仿宋" w:hAnsiTheme="minorEastAsia"/>
          <w:color w:val="000000" w:themeColor="text1"/>
          <w:sz w:val="32"/>
          <w:szCs w:val="32"/>
          <w:u w:val="single"/>
          <w14:textFill>
            <w14:solidFill>
              <w14:schemeClr w14:val="tx1"/>
            </w14:solidFill>
          </w14:textFill>
        </w:rPr>
        <w:t xml:space="preserve">  </w:t>
      </w:r>
      <w:r>
        <w:rPr>
          <w:rFonts w:hint="eastAsia" w:ascii="仿宋_GB2312" w:eastAsia="仿宋_GB2312" w:cs="华文仿宋" w:hAnsiTheme="minorEastAsia"/>
          <w:color w:val="000000" w:themeColor="text1"/>
          <w:sz w:val="32"/>
          <w:szCs w:val="32"/>
          <w:u w:val="single"/>
          <w:lang w:val="en-US" w:eastAsia="zh-CN"/>
          <w14:textFill>
            <w14:solidFill>
              <w14:schemeClr w14:val="tx1"/>
            </w14:solidFill>
          </w14:textFill>
        </w:rPr>
        <w:t xml:space="preserve">  </w:t>
      </w:r>
      <w:r>
        <w:rPr>
          <w:rFonts w:hint="eastAsia" w:ascii="仿宋_GB2312" w:eastAsia="仿宋_GB2312" w:cs="华文仿宋" w:hAnsiTheme="minorEastAsia"/>
          <w:color w:val="000000" w:themeColor="text1"/>
          <w:sz w:val="32"/>
          <w:szCs w:val="32"/>
          <w:u w:val="single"/>
          <w14:textFill>
            <w14:solidFill>
              <w14:schemeClr w14:val="tx1"/>
            </w14:solidFill>
          </w14:textFill>
        </w:rPr>
        <w:t xml:space="preserve"> </w:t>
      </w:r>
      <w:r>
        <w:rPr>
          <w:rFonts w:hint="eastAsia" w:ascii="仿宋_GB2312" w:eastAsia="仿宋_GB2312" w:cs="华文仿宋" w:hAnsiTheme="minorEastAsia"/>
          <w:color w:val="000000" w:themeColor="text1"/>
          <w:sz w:val="32"/>
          <w:szCs w:val="32"/>
          <w:u w:val="single"/>
          <w:lang w:val="en-US" w:eastAsia="zh-CN"/>
          <w14:textFill>
            <w14:solidFill>
              <w14:schemeClr w14:val="tx1"/>
            </w14:solidFill>
          </w14:textFill>
        </w:rPr>
        <w:t xml:space="preserve"> </w:t>
      </w:r>
      <w:r>
        <w:rPr>
          <w:rFonts w:hint="eastAsia" w:ascii="仿宋_GB2312" w:eastAsia="仿宋_GB2312" w:cs="华文仿宋" w:hAnsiTheme="minorEastAsia"/>
          <w:color w:val="000000" w:themeColor="text1"/>
          <w:sz w:val="32"/>
          <w:szCs w:val="32"/>
          <w:u w:val="single"/>
          <w14:textFill>
            <w14:solidFill>
              <w14:schemeClr w14:val="tx1"/>
            </w14:solidFill>
          </w14:textFill>
        </w:rPr>
        <w:t xml:space="preserve">                    </w:t>
      </w:r>
    </w:p>
    <w:p w14:paraId="10A2EB12">
      <w:pPr>
        <w:tabs>
          <w:tab w:val="left" w:pos="5490"/>
        </w:tabs>
        <w:spacing w:line="900" w:lineRule="exact"/>
        <w:ind w:left="3014" w:leftChars="945" w:hanging="1030" w:hangingChars="322"/>
        <w:rPr>
          <w:rFonts w:ascii="仿宋_GB2312" w:hAnsi="宋体" w:eastAsia="仿宋_GB2312"/>
          <w:color w:val="000000" w:themeColor="text1"/>
          <w:kern w:val="0"/>
          <w:sz w:val="32"/>
          <w:szCs w:val="32"/>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合同编号：</w:t>
      </w:r>
      <w:r>
        <w:rPr>
          <w:rFonts w:hint="eastAsia" w:ascii="仿宋_GB2312" w:eastAsia="仿宋_GB2312" w:cs="华文仿宋" w:hAnsiTheme="minorEastAsia"/>
          <w:color w:val="000000" w:themeColor="text1"/>
          <w:sz w:val="32"/>
          <w:szCs w:val="32"/>
          <w:u w:val="single"/>
          <w14:textFill>
            <w14:solidFill>
              <w14:schemeClr w14:val="tx1"/>
            </w14:solidFill>
          </w14:textFill>
        </w:rPr>
        <w:t xml:space="preserve">      </w:t>
      </w:r>
      <w:r>
        <w:rPr>
          <w:rFonts w:hint="eastAsia" w:ascii="仿宋_GB2312" w:eastAsia="仿宋_GB2312" w:cs="华文仿宋" w:hAnsiTheme="minorEastAsia"/>
          <w:color w:val="000000" w:themeColor="text1"/>
          <w:sz w:val="32"/>
          <w:szCs w:val="32"/>
          <w:u w:val="single"/>
          <w:lang w:val="en-US" w:eastAsia="zh-CN"/>
          <w14:textFill>
            <w14:solidFill>
              <w14:schemeClr w14:val="tx1"/>
            </w14:solidFill>
          </w14:textFill>
        </w:rPr>
        <w:t xml:space="preserve">   </w:t>
      </w:r>
      <w:r>
        <w:rPr>
          <w:rFonts w:hint="eastAsia" w:ascii="仿宋_GB2312" w:eastAsia="仿宋_GB2312" w:cs="华文仿宋" w:hAnsiTheme="minorEastAsia"/>
          <w:color w:val="000000" w:themeColor="text1"/>
          <w:sz w:val="32"/>
          <w:szCs w:val="32"/>
          <w:u w:val="single"/>
          <w14:textFill>
            <w14:solidFill>
              <w14:schemeClr w14:val="tx1"/>
            </w14:solidFill>
          </w14:textFill>
        </w:rPr>
        <w:t xml:space="preserve">                 </w:t>
      </w:r>
    </w:p>
    <w:p w14:paraId="7DAC70BE">
      <w:pPr>
        <w:tabs>
          <w:tab w:val="left" w:pos="5490"/>
        </w:tabs>
        <w:spacing w:line="900" w:lineRule="exact"/>
        <w:ind w:left="3014" w:leftChars="945" w:hanging="1030" w:hangingChars="322"/>
        <w:rPr>
          <w:rFonts w:ascii="仿宋_GB2312" w:hAnsi="宋体" w:eastAsia="仿宋_GB2312"/>
          <w:color w:val="000000" w:themeColor="text1"/>
          <w:kern w:val="0"/>
          <w:sz w:val="32"/>
          <w:szCs w:val="32"/>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签订日期：</w:t>
      </w:r>
      <w:r>
        <w:rPr>
          <w:rFonts w:hint="eastAsia" w:ascii="仿宋_GB2312" w:hAnsi="宋体" w:eastAsia="仿宋_GB2312"/>
          <w:color w:val="000000" w:themeColor="text1"/>
          <w:kern w:val="0"/>
          <w:sz w:val="32"/>
          <w:szCs w:val="32"/>
          <w:u w:val="single"/>
          <w14:textFill>
            <w14:solidFill>
              <w14:schemeClr w14:val="tx1"/>
            </w14:solidFill>
          </w14:textFill>
        </w:rPr>
        <w:t xml:space="preserve">  </w:t>
      </w:r>
      <w:r>
        <w:rPr>
          <w:rFonts w:hint="eastAsia" w:ascii="仿宋_GB2312" w:hAnsi="宋体" w:eastAsia="仿宋_GB2312"/>
          <w:color w:val="000000" w:themeColor="text1"/>
          <w:kern w:val="0"/>
          <w:sz w:val="32"/>
          <w:szCs w:val="32"/>
          <w:u w:val="single"/>
          <w:lang w:val="en-US" w:eastAsia="zh-CN"/>
          <w14:textFill>
            <w14:solidFill>
              <w14:schemeClr w14:val="tx1"/>
            </w14:solidFill>
          </w14:textFill>
        </w:rPr>
        <w:t xml:space="preserve">  </w:t>
      </w:r>
      <w:r>
        <w:rPr>
          <w:rFonts w:hint="eastAsia" w:ascii="仿宋_GB2312" w:hAnsi="宋体" w:eastAsia="仿宋_GB2312"/>
          <w:color w:val="000000" w:themeColor="text1"/>
          <w:kern w:val="0"/>
          <w:sz w:val="32"/>
          <w:szCs w:val="32"/>
          <w:u w:val="single"/>
          <w14:textFill>
            <w14:solidFill>
              <w14:schemeClr w14:val="tx1"/>
            </w14:solidFill>
          </w14:textFill>
        </w:rPr>
        <w:t xml:space="preserve">  年   </w:t>
      </w:r>
      <w:r>
        <w:rPr>
          <w:rFonts w:hint="eastAsia" w:ascii="仿宋_GB2312" w:hAnsi="宋体" w:eastAsia="仿宋_GB2312"/>
          <w:color w:val="000000" w:themeColor="text1"/>
          <w:kern w:val="0"/>
          <w:sz w:val="32"/>
          <w:szCs w:val="32"/>
          <w:u w:val="single"/>
          <w:lang w:val="en-US" w:eastAsia="zh-CN"/>
          <w14:textFill>
            <w14:solidFill>
              <w14:schemeClr w14:val="tx1"/>
            </w14:solidFill>
          </w14:textFill>
        </w:rPr>
        <w:t xml:space="preserve"> </w:t>
      </w:r>
      <w:r>
        <w:rPr>
          <w:rFonts w:hint="eastAsia" w:ascii="仿宋_GB2312" w:hAnsi="宋体" w:eastAsia="仿宋_GB2312"/>
          <w:color w:val="000000" w:themeColor="text1"/>
          <w:kern w:val="0"/>
          <w:sz w:val="32"/>
          <w:szCs w:val="32"/>
          <w:u w:val="single"/>
          <w14:textFill>
            <w14:solidFill>
              <w14:schemeClr w14:val="tx1"/>
            </w14:solidFill>
          </w14:textFill>
        </w:rPr>
        <w:t xml:space="preserve">   月     </w:t>
      </w:r>
      <w:r>
        <w:rPr>
          <w:rFonts w:hint="eastAsia" w:ascii="仿宋_GB2312" w:hAnsi="宋体" w:eastAsia="仿宋_GB2312"/>
          <w:color w:val="000000" w:themeColor="text1"/>
          <w:kern w:val="0"/>
          <w:sz w:val="32"/>
          <w:szCs w:val="32"/>
          <w:u w:val="single"/>
          <w:lang w:val="en-US" w:eastAsia="zh-CN"/>
          <w14:textFill>
            <w14:solidFill>
              <w14:schemeClr w14:val="tx1"/>
            </w14:solidFill>
          </w14:textFill>
        </w:rPr>
        <w:t xml:space="preserve"> </w:t>
      </w:r>
      <w:r>
        <w:rPr>
          <w:rFonts w:hint="eastAsia" w:ascii="仿宋_GB2312" w:hAnsi="宋体" w:eastAsia="仿宋_GB2312"/>
          <w:color w:val="000000" w:themeColor="text1"/>
          <w:kern w:val="0"/>
          <w:sz w:val="32"/>
          <w:szCs w:val="32"/>
          <w:u w:val="single"/>
          <w14:textFill>
            <w14:solidFill>
              <w14:schemeClr w14:val="tx1"/>
            </w14:solidFill>
          </w14:textFill>
        </w:rPr>
        <w:t xml:space="preserve">日 </w:t>
      </w:r>
    </w:p>
    <w:p w14:paraId="0FF78FD4">
      <w:pPr>
        <w:tabs>
          <w:tab w:val="left" w:pos="5490"/>
        </w:tabs>
        <w:spacing w:line="900" w:lineRule="exact"/>
        <w:ind w:left="3014" w:leftChars="945" w:hanging="1030" w:hangingChars="322"/>
        <w:rPr>
          <w:rFonts w:ascii="宋体" w:hAnsi="宋体"/>
          <w:color w:val="000000" w:themeColor="text1"/>
          <w:kern w:val="0"/>
          <w:sz w:val="30"/>
          <w:szCs w:val="30"/>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签订地点：</w:t>
      </w:r>
      <w:r>
        <w:rPr>
          <w:rFonts w:hint="eastAsia" w:ascii="仿宋_GB2312" w:eastAsia="仿宋_GB2312" w:cs="华文仿宋" w:hAnsiTheme="minorEastAsia"/>
          <w:color w:val="000000" w:themeColor="text1"/>
          <w:sz w:val="32"/>
          <w:szCs w:val="32"/>
          <w:u w:val="single"/>
          <w14:textFill>
            <w14:solidFill>
              <w14:schemeClr w14:val="tx1"/>
            </w14:solidFill>
          </w14:textFill>
        </w:rPr>
        <w:t xml:space="preserve">  </w:t>
      </w:r>
      <w:r>
        <w:rPr>
          <w:rFonts w:hint="eastAsia" w:ascii="仿宋_GB2312" w:eastAsia="仿宋_GB2312" w:cs="华文仿宋" w:hAnsiTheme="minorEastAsia"/>
          <w:color w:val="000000" w:themeColor="text1"/>
          <w:sz w:val="32"/>
          <w:szCs w:val="32"/>
          <w:u w:val="single"/>
          <w:lang w:val="en-US" w:eastAsia="zh-CN"/>
          <w14:textFill>
            <w14:solidFill>
              <w14:schemeClr w14:val="tx1"/>
            </w14:solidFill>
          </w14:textFill>
        </w:rPr>
        <w:t xml:space="preserve">  </w:t>
      </w:r>
      <w:r>
        <w:rPr>
          <w:rFonts w:hint="eastAsia" w:ascii="仿宋_GB2312" w:eastAsia="仿宋_GB2312" w:cs="华文仿宋" w:hAnsiTheme="minorEastAsia"/>
          <w:color w:val="000000" w:themeColor="text1"/>
          <w:sz w:val="32"/>
          <w:szCs w:val="32"/>
          <w:u w:val="single"/>
          <w14:textFill>
            <w14:solidFill>
              <w14:schemeClr w14:val="tx1"/>
            </w14:solidFill>
          </w14:textFill>
        </w:rPr>
        <w:t xml:space="preserve">   </w:t>
      </w:r>
      <w:r>
        <w:rPr>
          <w:rFonts w:hint="eastAsia" w:ascii="仿宋_GB2312" w:hAnsi="宋体" w:eastAsia="仿宋_GB2312"/>
          <w:color w:val="000000" w:themeColor="text1"/>
          <w:kern w:val="0"/>
          <w:sz w:val="32"/>
          <w:szCs w:val="32"/>
          <w:u w:val="single"/>
          <w14:textFill>
            <w14:solidFill>
              <w14:schemeClr w14:val="tx1"/>
            </w14:solidFill>
          </w14:textFill>
        </w:rPr>
        <w:t>南宁市西乡塘区</w:t>
      </w:r>
      <w:r>
        <w:rPr>
          <w:rFonts w:hint="eastAsia" w:ascii="仿宋_GB2312" w:eastAsia="仿宋_GB2312" w:cs="华文仿宋" w:hAnsiTheme="minorEastAsia"/>
          <w:color w:val="000000" w:themeColor="text1"/>
          <w:sz w:val="32"/>
          <w:szCs w:val="32"/>
          <w:u w:val="single"/>
          <w14:textFill>
            <w14:solidFill>
              <w14:schemeClr w14:val="tx1"/>
            </w14:solidFill>
          </w14:textFill>
        </w:rPr>
        <w:t xml:space="preserve"> </w:t>
      </w:r>
      <w:r>
        <w:rPr>
          <w:rFonts w:hint="eastAsia" w:ascii="仿宋_GB2312" w:eastAsia="仿宋_GB2312" w:cs="华文仿宋" w:hAnsiTheme="minorEastAsia"/>
          <w:color w:val="000000" w:themeColor="text1"/>
          <w:sz w:val="32"/>
          <w:szCs w:val="32"/>
          <w:u w:val="single"/>
          <w:lang w:val="en-US" w:eastAsia="zh-CN"/>
          <w14:textFill>
            <w14:solidFill>
              <w14:schemeClr w14:val="tx1"/>
            </w14:solidFill>
          </w14:textFill>
        </w:rPr>
        <w:t xml:space="preserve">  </w:t>
      </w:r>
      <w:r>
        <w:rPr>
          <w:rFonts w:hint="eastAsia" w:ascii="仿宋_GB2312" w:eastAsia="仿宋_GB2312" w:cs="华文仿宋" w:hAnsiTheme="minorEastAsia"/>
          <w:color w:val="000000" w:themeColor="text1"/>
          <w:sz w:val="32"/>
          <w:szCs w:val="32"/>
          <w:u w:val="single"/>
          <w14:textFill>
            <w14:solidFill>
              <w14:schemeClr w14:val="tx1"/>
            </w14:solidFill>
          </w14:textFill>
        </w:rPr>
        <w:t xml:space="preserve">  </w:t>
      </w:r>
      <w:r>
        <w:rPr>
          <w:rFonts w:ascii="宋体" w:hAnsi="宋体"/>
          <w:color w:val="000000" w:themeColor="text1"/>
          <w:kern w:val="0"/>
          <w:sz w:val="30"/>
          <w:szCs w:val="30"/>
          <w14:textFill>
            <w14:solidFill>
              <w14:schemeClr w14:val="tx1"/>
            </w14:solidFill>
          </w14:textFill>
        </w:rPr>
        <w:t xml:space="preserve"> </w:t>
      </w:r>
    </w:p>
    <w:p w14:paraId="46458F53">
      <w:pPr>
        <w:spacing w:line="900" w:lineRule="exact"/>
        <w:jc w:val="center"/>
        <w:rPr>
          <w:rFonts w:hint="eastAsia" w:ascii="方正小标宋简体" w:eastAsia="方正小标宋简体" w:cs="华文仿宋" w:hAnsiTheme="minorEastAsia"/>
          <w:color w:val="000000" w:themeColor="text1"/>
          <w:sz w:val="44"/>
          <w:szCs w:val="44"/>
          <w:u w:val="none"/>
          <w14:textFill>
            <w14:solidFill>
              <w14:schemeClr w14:val="tx1"/>
            </w14:solidFill>
          </w14:textFill>
        </w:rPr>
      </w:pPr>
      <w:r>
        <w:rPr>
          <w:rFonts w:hint="eastAsia" w:ascii="方正小标宋简体" w:eastAsia="方正小标宋简体" w:cs="华文仿宋" w:hAnsiTheme="minorEastAsia"/>
          <w:color w:val="000000" w:themeColor="text1"/>
          <w:sz w:val="44"/>
          <w:szCs w:val="44"/>
          <w:u w:val="none"/>
          <w14:textFill>
            <w14:solidFill>
              <w14:schemeClr w14:val="tx1"/>
            </w14:solidFill>
          </w14:textFill>
        </w:rPr>
        <w:t>《职业规划与就业创业》《管理沟通》</w:t>
      </w:r>
    </w:p>
    <w:p w14:paraId="30949543">
      <w:pPr>
        <w:spacing w:line="900" w:lineRule="exact"/>
        <w:jc w:val="center"/>
        <w:rPr>
          <w:rFonts w:ascii="方正小标宋简体" w:hAnsi="黑体" w:eastAsia="方正小标宋简体"/>
          <w:color w:val="000000" w:themeColor="text1"/>
          <w:kern w:val="0"/>
          <w:sz w:val="44"/>
          <w:szCs w:val="44"/>
          <w14:textFill>
            <w14:solidFill>
              <w14:schemeClr w14:val="tx1"/>
            </w14:solidFill>
          </w14:textFill>
        </w:rPr>
      </w:pPr>
      <w:r>
        <w:rPr>
          <w:rFonts w:hint="eastAsia" w:ascii="方正小标宋简体" w:eastAsia="方正小标宋简体" w:cs="华文仿宋" w:hAnsiTheme="minorEastAsia"/>
          <w:color w:val="000000" w:themeColor="text1"/>
          <w:sz w:val="44"/>
          <w:szCs w:val="44"/>
          <w:u w:val="none"/>
          <w14:textFill>
            <w14:solidFill>
              <w14:schemeClr w14:val="tx1"/>
            </w14:solidFill>
          </w14:textFill>
        </w:rPr>
        <w:t>等两门智慧课程建设服务</w:t>
      </w:r>
      <w:r>
        <w:rPr>
          <w:rFonts w:hint="eastAsia" w:ascii="方正小标宋简体" w:hAnsi="黑体" w:eastAsia="方正小标宋简体"/>
          <w:bCs/>
          <w:color w:val="000000" w:themeColor="text1"/>
          <w:sz w:val="44"/>
          <w:szCs w:val="44"/>
          <w14:textFill>
            <w14:solidFill>
              <w14:schemeClr w14:val="tx1"/>
            </w14:solidFill>
          </w14:textFill>
        </w:rPr>
        <w:t>项目采购合同</w:t>
      </w:r>
    </w:p>
    <w:p w14:paraId="5CCDB805">
      <w:pPr>
        <w:spacing w:line="240" w:lineRule="exact"/>
        <w:jc w:val="center"/>
        <w:rPr>
          <w:rFonts w:ascii="Times New Roman" w:hAnsi="Times New Roman"/>
          <w:color w:val="000000" w:themeColor="text1"/>
          <w:sz w:val="36"/>
          <w:szCs w:val="20"/>
          <w14:textFill>
            <w14:solidFill>
              <w14:schemeClr w14:val="tx1"/>
            </w14:solidFill>
          </w14:textFill>
        </w:rPr>
      </w:pPr>
    </w:p>
    <w:p w14:paraId="4EB5A5C2">
      <w:pPr>
        <w:spacing w:line="560" w:lineRule="exact"/>
        <w:ind w:right="-153" w:rightChars="-73" w:firstLine="640" w:firstLineChars="200"/>
        <w:rPr>
          <w:rFonts w:ascii="仿宋_GB2312" w:hAnsi="宋体" w:eastAsia="仿宋_GB2312"/>
          <w:color w:val="000000" w:themeColor="text1"/>
          <w:kern w:val="0"/>
          <w:sz w:val="32"/>
          <w:szCs w:val="32"/>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甲方：</w:t>
      </w:r>
      <w:r>
        <w:rPr>
          <w:rFonts w:hint="eastAsia" w:ascii="仿宋_GB2312" w:hAnsi="宋体" w:eastAsia="仿宋_GB2312"/>
          <w:color w:val="000000" w:themeColor="text1"/>
          <w:kern w:val="0"/>
          <w:sz w:val="32"/>
          <w:szCs w:val="32"/>
          <w:u w:val="single"/>
          <w14:textFill>
            <w14:solidFill>
              <w14:schemeClr w14:val="tx1"/>
            </w14:solidFill>
          </w14:textFill>
        </w:rPr>
        <w:t xml:space="preserve">     广西财经学院     </w:t>
      </w:r>
    </w:p>
    <w:p w14:paraId="4AC2103C">
      <w:pPr>
        <w:spacing w:line="560" w:lineRule="exact"/>
        <w:ind w:right="-153" w:rightChars="-73" w:firstLine="640" w:firstLineChars="200"/>
        <w:rPr>
          <w:rFonts w:ascii="仿宋_GB2312" w:hAnsi="宋体" w:eastAsia="仿宋_GB2312"/>
          <w:color w:val="000000" w:themeColor="text1"/>
          <w:kern w:val="0"/>
          <w:sz w:val="32"/>
          <w:szCs w:val="32"/>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乙方：</w:t>
      </w:r>
      <w:r>
        <w:rPr>
          <w:rFonts w:hint="eastAsia" w:ascii="仿宋_GB2312" w:eastAsia="仿宋_GB2312" w:cs="华文仿宋" w:hAnsiTheme="minorEastAsia"/>
          <w:color w:val="000000" w:themeColor="text1"/>
          <w:sz w:val="32"/>
          <w:szCs w:val="32"/>
          <w:u w:val="single"/>
          <w14:textFill>
            <w14:solidFill>
              <w14:schemeClr w14:val="tx1"/>
            </w14:solidFill>
          </w14:textFill>
        </w:rPr>
        <w:t xml:space="preserve">     </w:t>
      </w:r>
      <w:r>
        <w:rPr>
          <w:rFonts w:hint="eastAsia" w:ascii="仿宋_GB2312" w:eastAsia="仿宋_GB2312" w:cs="华文仿宋" w:hAnsiTheme="minorEastAsia"/>
          <w:color w:val="000000" w:themeColor="text1"/>
          <w:sz w:val="32"/>
          <w:szCs w:val="32"/>
          <w:u w:val="single"/>
          <w:lang w:val="en-US" w:eastAsia="zh-CN"/>
          <w14:textFill>
            <w14:solidFill>
              <w14:schemeClr w14:val="tx1"/>
            </w14:solidFill>
          </w14:textFill>
        </w:rPr>
        <w:t xml:space="preserve">          </w:t>
      </w:r>
      <w:r>
        <w:rPr>
          <w:rFonts w:hint="eastAsia" w:ascii="仿宋_GB2312" w:eastAsia="仿宋_GB2312" w:cs="华文仿宋" w:hAnsiTheme="minorEastAsia"/>
          <w:color w:val="000000" w:themeColor="text1"/>
          <w:sz w:val="32"/>
          <w:szCs w:val="32"/>
          <w:u w:val="single"/>
          <w14:textFill>
            <w14:solidFill>
              <w14:schemeClr w14:val="tx1"/>
            </w14:solidFill>
          </w14:textFill>
        </w:rPr>
        <w:t xml:space="preserve">       </w:t>
      </w:r>
    </w:p>
    <w:p w14:paraId="44813834">
      <w:pPr>
        <w:spacing w:line="560" w:lineRule="exact"/>
        <w:ind w:firstLine="640" w:firstLineChars="200"/>
        <w:rPr>
          <w:rFonts w:ascii="仿宋_GB2312" w:hAnsi="宋体" w:eastAsia="仿宋_GB2312"/>
          <w:color w:val="000000" w:themeColor="text1"/>
          <w:kern w:val="0"/>
          <w:sz w:val="32"/>
          <w:szCs w:val="32"/>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为明确双方的权利和义务，根据《中华人民共和国民法典》《中华人民共和国政府采购法》等有关的法律法规，按照采购文件规定条款和乙方的响应文件及承诺，甲乙双方本着自愿平等、诚信经营的原则，特签订本合同，以资共同遵守。</w:t>
      </w:r>
    </w:p>
    <w:p w14:paraId="556A5770">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第一条  采购标的</w:t>
      </w:r>
    </w:p>
    <w:p w14:paraId="496192C5">
      <w:pPr>
        <w:spacing w:line="560" w:lineRule="exact"/>
        <w:ind w:firstLine="640" w:firstLineChars="200"/>
        <w:rPr>
          <w:rFonts w:ascii="仿宋_GB2312" w:hAnsi="宋体" w:eastAsia="仿宋_GB2312"/>
          <w:color w:val="000000" w:themeColor="text1"/>
          <w:kern w:val="0"/>
          <w:sz w:val="32"/>
          <w:szCs w:val="32"/>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1.标的内容</w:t>
      </w:r>
    </w:p>
    <w:tbl>
      <w:tblPr>
        <w:tblStyle w:val="8"/>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3"/>
        <w:gridCol w:w="1261"/>
        <w:gridCol w:w="3494"/>
        <w:gridCol w:w="601"/>
        <w:gridCol w:w="634"/>
        <w:gridCol w:w="899"/>
        <w:gridCol w:w="982"/>
      </w:tblGrid>
      <w:tr w14:paraId="15289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493" w:type="dxa"/>
            <w:vAlign w:val="center"/>
          </w:tcPr>
          <w:p w14:paraId="43E3CEBD">
            <w:pPr>
              <w:spacing w:line="450" w:lineRule="exact"/>
              <w:rPr>
                <w:rFonts w:ascii="仿宋_GB2312" w:hAnsi="宋体" w:eastAsia="仿宋_GB2312" w:cs="仿宋"/>
                <w:color w:val="000000" w:themeColor="text1"/>
                <w:sz w:val="22"/>
                <w14:textFill>
                  <w14:solidFill>
                    <w14:schemeClr w14:val="tx1"/>
                  </w14:solidFill>
                </w14:textFill>
              </w:rPr>
            </w:pPr>
            <w:r>
              <w:rPr>
                <w:rFonts w:hint="eastAsia" w:ascii="仿宋_GB2312" w:hAnsi="宋体" w:eastAsia="仿宋_GB2312" w:cs="仿宋"/>
                <w:color w:val="000000" w:themeColor="text1"/>
                <w:sz w:val="22"/>
                <w14:textFill>
                  <w14:solidFill>
                    <w14:schemeClr w14:val="tx1"/>
                  </w14:solidFill>
                </w14:textFill>
              </w:rPr>
              <w:t>序号</w:t>
            </w:r>
          </w:p>
        </w:tc>
        <w:tc>
          <w:tcPr>
            <w:tcW w:w="1261" w:type="dxa"/>
            <w:vAlign w:val="center"/>
          </w:tcPr>
          <w:p w14:paraId="1FABA4C5">
            <w:pPr>
              <w:spacing w:line="450" w:lineRule="exact"/>
              <w:jc w:val="center"/>
              <w:rPr>
                <w:rFonts w:ascii="仿宋_GB2312" w:hAnsi="宋体" w:eastAsia="仿宋_GB2312" w:cs="仿宋"/>
                <w:color w:val="000000" w:themeColor="text1"/>
                <w:sz w:val="22"/>
                <w14:textFill>
                  <w14:solidFill>
                    <w14:schemeClr w14:val="tx1"/>
                  </w14:solidFill>
                </w14:textFill>
              </w:rPr>
            </w:pPr>
            <w:r>
              <w:rPr>
                <w:rFonts w:hint="eastAsia" w:ascii="仿宋_GB2312" w:hAnsi="宋体" w:eastAsia="仿宋_GB2312" w:cs="仿宋"/>
                <w:color w:val="000000" w:themeColor="text1"/>
                <w:sz w:val="22"/>
                <w14:textFill>
                  <w14:solidFill>
                    <w14:schemeClr w14:val="tx1"/>
                  </w14:solidFill>
                </w14:textFill>
              </w:rPr>
              <w:t>服务名称</w:t>
            </w:r>
          </w:p>
        </w:tc>
        <w:tc>
          <w:tcPr>
            <w:tcW w:w="3494" w:type="dxa"/>
            <w:vAlign w:val="center"/>
          </w:tcPr>
          <w:p w14:paraId="68037208">
            <w:pPr>
              <w:spacing w:line="450" w:lineRule="exact"/>
              <w:jc w:val="center"/>
              <w:rPr>
                <w:rFonts w:ascii="仿宋_GB2312" w:hAnsi="宋体" w:eastAsia="仿宋_GB2312" w:cs="仿宋"/>
                <w:color w:val="000000" w:themeColor="text1"/>
                <w:sz w:val="22"/>
                <w14:textFill>
                  <w14:solidFill>
                    <w14:schemeClr w14:val="tx1"/>
                  </w14:solidFill>
                </w14:textFill>
              </w:rPr>
            </w:pPr>
            <w:r>
              <w:rPr>
                <w:rFonts w:hint="eastAsia" w:ascii="仿宋_GB2312" w:hAnsi="宋体" w:eastAsia="仿宋_GB2312" w:cs="仿宋"/>
                <w:color w:val="000000" w:themeColor="text1"/>
                <w:sz w:val="22"/>
                <w14:textFill>
                  <w14:solidFill>
                    <w14:schemeClr w14:val="tx1"/>
                  </w14:solidFill>
                </w14:textFill>
              </w:rPr>
              <w:t>服务主要内容</w:t>
            </w:r>
          </w:p>
        </w:tc>
        <w:tc>
          <w:tcPr>
            <w:tcW w:w="601" w:type="dxa"/>
            <w:vAlign w:val="center"/>
          </w:tcPr>
          <w:p w14:paraId="41DC04FC">
            <w:pPr>
              <w:spacing w:line="450" w:lineRule="exact"/>
              <w:jc w:val="center"/>
              <w:rPr>
                <w:rFonts w:ascii="仿宋_GB2312" w:hAnsi="宋体" w:eastAsia="仿宋_GB2312" w:cs="仿宋"/>
                <w:color w:val="000000" w:themeColor="text1"/>
                <w:sz w:val="22"/>
                <w14:textFill>
                  <w14:solidFill>
                    <w14:schemeClr w14:val="tx1"/>
                  </w14:solidFill>
                </w14:textFill>
              </w:rPr>
            </w:pPr>
            <w:r>
              <w:rPr>
                <w:rFonts w:hint="eastAsia" w:ascii="仿宋_GB2312" w:hAnsi="宋体" w:eastAsia="仿宋_GB2312" w:cs="仿宋"/>
                <w:color w:val="000000" w:themeColor="text1"/>
                <w:sz w:val="22"/>
                <w14:textFill>
                  <w14:solidFill>
                    <w14:schemeClr w14:val="tx1"/>
                  </w14:solidFill>
                </w14:textFill>
              </w:rPr>
              <w:t>数  量</w:t>
            </w:r>
          </w:p>
        </w:tc>
        <w:tc>
          <w:tcPr>
            <w:tcW w:w="634" w:type="dxa"/>
            <w:vAlign w:val="center"/>
          </w:tcPr>
          <w:p w14:paraId="0ACD3519">
            <w:pPr>
              <w:spacing w:line="450" w:lineRule="exact"/>
              <w:jc w:val="center"/>
              <w:rPr>
                <w:rFonts w:ascii="仿宋_GB2312" w:hAnsi="宋体" w:eastAsia="仿宋_GB2312" w:cs="仿宋"/>
                <w:color w:val="000000" w:themeColor="text1"/>
                <w:sz w:val="22"/>
                <w14:textFill>
                  <w14:solidFill>
                    <w14:schemeClr w14:val="tx1"/>
                  </w14:solidFill>
                </w14:textFill>
              </w:rPr>
            </w:pPr>
            <w:r>
              <w:rPr>
                <w:rFonts w:hint="eastAsia" w:ascii="仿宋_GB2312" w:hAnsi="宋体" w:eastAsia="仿宋_GB2312" w:cs="仿宋"/>
                <w:color w:val="000000" w:themeColor="text1"/>
                <w:sz w:val="22"/>
                <w14:textFill>
                  <w14:solidFill>
                    <w14:schemeClr w14:val="tx1"/>
                  </w14:solidFill>
                </w14:textFill>
              </w:rPr>
              <w:t>单位</w:t>
            </w:r>
          </w:p>
        </w:tc>
        <w:tc>
          <w:tcPr>
            <w:tcW w:w="899" w:type="dxa"/>
            <w:vAlign w:val="center"/>
          </w:tcPr>
          <w:p w14:paraId="0370CDB2">
            <w:pPr>
              <w:spacing w:line="450" w:lineRule="exact"/>
              <w:jc w:val="center"/>
              <w:rPr>
                <w:rFonts w:ascii="仿宋_GB2312" w:hAnsi="宋体" w:eastAsia="仿宋_GB2312" w:cs="仿宋"/>
                <w:color w:val="000000" w:themeColor="text1"/>
                <w:sz w:val="22"/>
                <w14:textFill>
                  <w14:solidFill>
                    <w14:schemeClr w14:val="tx1"/>
                  </w14:solidFill>
                </w14:textFill>
              </w:rPr>
            </w:pPr>
            <w:r>
              <w:rPr>
                <w:rFonts w:hint="eastAsia" w:ascii="仿宋_GB2312" w:hAnsi="宋体" w:eastAsia="仿宋_GB2312" w:cs="仿宋"/>
                <w:color w:val="000000" w:themeColor="text1"/>
                <w:sz w:val="22"/>
                <w14:textFill>
                  <w14:solidFill>
                    <w14:schemeClr w14:val="tx1"/>
                  </w14:solidFill>
                </w14:textFill>
              </w:rPr>
              <w:t>单价</w:t>
            </w:r>
          </w:p>
          <w:p w14:paraId="4796A2BA">
            <w:pPr>
              <w:spacing w:line="450" w:lineRule="exact"/>
              <w:jc w:val="center"/>
              <w:rPr>
                <w:rFonts w:ascii="仿宋_GB2312" w:hAnsi="宋体" w:eastAsia="仿宋_GB2312" w:cs="仿宋"/>
                <w:color w:val="000000" w:themeColor="text1"/>
                <w:sz w:val="22"/>
                <w14:textFill>
                  <w14:solidFill>
                    <w14:schemeClr w14:val="tx1"/>
                  </w14:solidFill>
                </w14:textFill>
              </w:rPr>
            </w:pPr>
            <w:r>
              <w:rPr>
                <w:rFonts w:hint="eastAsia" w:ascii="仿宋_GB2312" w:hAnsi="宋体" w:eastAsia="仿宋_GB2312" w:cs="仿宋"/>
                <w:color w:val="000000" w:themeColor="text1"/>
                <w:sz w:val="22"/>
                <w14:textFill>
                  <w14:solidFill>
                    <w14:schemeClr w14:val="tx1"/>
                  </w14:solidFill>
                </w14:textFill>
              </w:rPr>
              <w:t>（元）</w:t>
            </w:r>
          </w:p>
        </w:tc>
        <w:tc>
          <w:tcPr>
            <w:tcW w:w="982" w:type="dxa"/>
            <w:vAlign w:val="center"/>
          </w:tcPr>
          <w:p w14:paraId="43FE1DF7">
            <w:pPr>
              <w:spacing w:line="450" w:lineRule="exact"/>
              <w:jc w:val="center"/>
              <w:rPr>
                <w:rFonts w:ascii="仿宋_GB2312" w:hAnsi="宋体" w:eastAsia="仿宋_GB2312" w:cs="仿宋"/>
                <w:color w:val="000000" w:themeColor="text1"/>
                <w:sz w:val="22"/>
                <w14:textFill>
                  <w14:solidFill>
                    <w14:schemeClr w14:val="tx1"/>
                  </w14:solidFill>
                </w14:textFill>
              </w:rPr>
            </w:pPr>
            <w:r>
              <w:rPr>
                <w:rFonts w:hint="eastAsia" w:ascii="仿宋_GB2312" w:hAnsi="宋体" w:eastAsia="仿宋_GB2312" w:cs="仿宋"/>
                <w:color w:val="000000" w:themeColor="text1"/>
                <w:sz w:val="22"/>
                <w14:textFill>
                  <w14:solidFill>
                    <w14:schemeClr w14:val="tx1"/>
                  </w14:solidFill>
                </w14:textFill>
              </w:rPr>
              <w:t>金额</w:t>
            </w:r>
          </w:p>
          <w:p w14:paraId="148DCA87">
            <w:pPr>
              <w:spacing w:line="450" w:lineRule="exact"/>
              <w:jc w:val="center"/>
              <w:rPr>
                <w:rFonts w:ascii="仿宋_GB2312" w:hAnsi="宋体" w:eastAsia="仿宋_GB2312" w:cs="仿宋"/>
                <w:color w:val="000000" w:themeColor="text1"/>
                <w:sz w:val="22"/>
                <w14:textFill>
                  <w14:solidFill>
                    <w14:schemeClr w14:val="tx1"/>
                  </w14:solidFill>
                </w14:textFill>
              </w:rPr>
            </w:pPr>
            <w:r>
              <w:rPr>
                <w:rFonts w:hint="eastAsia" w:ascii="仿宋_GB2312" w:hAnsi="宋体" w:eastAsia="仿宋_GB2312" w:cs="仿宋"/>
                <w:color w:val="000000" w:themeColor="text1"/>
                <w:sz w:val="22"/>
                <w14:textFill>
                  <w14:solidFill>
                    <w14:schemeClr w14:val="tx1"/>
                  </w14:solidFill>
                </w14:textFill>
              </w:rPr>
              <w:t>（元）</w:t>
            </w:r>
          </w:p>
        </w:tc>
      </w:tr>
      <w:tr w14:paraId="6C973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493" w:type="dxa"/>
            <w:vAlign w:val="center"/>
          </w:tcPr>
          <w:p w14:paraId="058A79DF">
            <w:pPr>
              <w:jc w:val="center"/>
              <w:rPr>
                <w:rFonts w:hint="eastAsia" w:ascii="仿宋" w:hAnsi="仿宋" w:eastAsia="仿宋" w:cs="仿宋"/>
                <w:color w:val="000000" w:themeColor="text1"/>
                <w:sz w:val="22"/>
                <w:lang w:val="en-US" w:eastAsia="zh-CN"/>
                <w14:textFill>
                  <w14:solidFill>
                    <w14:schemeClr w14:val="tx1"/>
                  </w14:solidFill>
                </w14:textFill>
              </w:rPr>
            </w:pPr>
            <w:r>
              <w:rPr>
                <w:rFonts w:hint="eastAsia" w:ascii="仿宋" w:hAnsi="仿宋" w:eastAsia="仿宋" w:cs="仿宋"/>
                <w:color w:val="auto"/>
                <w:sz w:val="21"/>
                <w:szCs w:val="21"/>
                <w:highlight w:val="none"/>
              </w:rPr>
              <w:t>1</w:t>
            </w:r>
          </w:p>
        </w:tc>
        <w:tc>
          <w:tcPr>
            <w:tcW w:w="1261" w:type="dxa"/>
            <w:vAlign w:val="center"/>
          </w:tcPr>
          <w:p w14:paraId="72E0BFA4">
            <w:pPr>
              <w:widowControl/>
              <w:jc w:val="center"/>
              <w:rPr>
                <w:rFonts w:hint="eastAsia" w:ascii="仿宋" w:hAnsi="仿宋" w:eastAsia="仿宋" w:cs="仿宋"/>
                <w:color w:val="auto"/>
                <w:sz w:val="22"/>
                <w:u w:val="single"/>
              </w:rPr>
            </w:pPr>
            <w:r>
              <w:rPr>
                <w:rFonts w:hint="eastAsia" w:ascii="仿宋" w:hAnsi="仿宋" w:eastAsia="仿宋" w:cs="仿宋"/>
                <w:sz w:val="21"/>
                <w:szCs w:val="21"/>
                <w:highlight w:val="none"/>
              </w:rPr>
              <w:t>《职业规划与就业创业》《管理沟通》等两门智慧课程建设服务</w:t>
            </w:r>
          </w:p>
        </w:tc>
        <w:tc>
          <w:tcPr>
            <w:tcW w:w="3494" w:type="dxa"/>
            <w:vAlign w:val="center"/>
          </w:tcPr>
          <w:p w14:paraId="788CD32B">
            <w:pPr>
              <w:widowControl/>
              <w:jc w:val="left"/>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一、建设总体要求</w:t>
            </w:r>
          </w:p>
          <w:p w14:paraId="22B62C2A">
            <w:pPr>
              <w:widowControl/>
              <w:jc w:val="left"/>
              <w:rPr>
                <w:rFonts w:hint="eastAsia" w:ascii="仿宋" w:hAnsi="仿宋" w:eastAsia="仿宋" w:cs="仿宋"/>
                <w:sz w:val="21"/>
                <w:szCs w:val="21"/>
                <w:highlight w:val="none"/>
              </w:rPr>
            </w:pPr>
            <w:r>
              <w:rPr>
                <w:rFonts w:hint="eastAsia" w:ascii="仿宋" w:hAnsi="仿宋" w:eastAsia="仿宋" w:cs="仿宋"/>
                <w:sz w:val="21"/>
                <w:szCs w:val="21"/>
                <w:highlight w:val="none"/>
              </w:rPr>
              <w:t>1.完成《管理沟通》等2门“人工智能+”课程智</w:t>
            </w:r>
            <w:r>
              <w:rPr>
                <w:rFonts w:hint="eastAsia" w:ascii="仿宋" w:hAnsi="仿宋" w:eastAsia="仿宋" w:cs="仿宋"/>
                <w:b w:val="0"/>
                <w:bCs w:val="0"/>
                <w:sz w:val="21"/>
                <w:szCs w:val="21"/>
                <w:highlight w:val="none"/>
              </w:rPr>
              <w:t>慧课</w:t>
            </w:r>
            <w:r>
              <w:rPr>
                <w:rFonts w:hint="eastAsia" w:ascii="仿宋" w:hAnsi="仿宋" w:eastAsia="仿宋" w:cs="仿宋"/>
                <w:sz w:val="21"/>
                <w:szCs w:val="21"/>
                <w:highlight w:val="none"/>
              </w:rPr>
              <w:t>程建设。在课程教学大纲基础上，完成课程知识图谱、问题图谱、目标图谱、课程思政图谱建设，完善课程知识体系；完成课程AI助教训练、AI实践任务设计，并对接通用大模型，推动人工智能技术与课程教学深度融合。</w:t>
            </w:r>
          </w:p>
          <w:p w14:paraId="70178007">
            <w:pPr>
              <w:widowControl/>
              <w:jc w:val="left"/>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二、建设内容</w:t>
            </w:r>
          </w:p>
          <w:p w14:paraId="1BF64B32">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一</w:t>
            </w:r>
            <w:r>
              <w:rPr>
                <w:rFonts w:hint="eastAsia" w:ascii="仿宋" w:hAnsi="仿宋" w:eastAsia="仿宋" w:cs="仿宋"/>
                <w:color w:val="auto"/>
                <w:sz w:val="21"/>
                <w:szCs w:val="21"/>
                <w:highlight w:val="none"/>
              </w:rPr>
              <w:t>）课程专属AI环境搭建</w:t>
            </w:r>
          </w:p>
          <w:p w14:paraId="056023A3">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1.通用大语言模型对接</w:t>
            </w:r>
          </w:p>
          <w:p w14:paraId="5A62F4CA">
            <w:pPr>
              <w:widowControl/>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根</w:t>
            </w:r>
            <w:r>
              <w:rPr>
                <w:rFonts w:hint="eastAsia" w:ascii="仿宋" w:hAnsi="仿宋" w:eastAsia="仿宋" w:cs="仿宋"/>
                <w:color w:val="auto"/>
                <w:sz w:val="21"/>
                <w:szCs w:val="21"/>
                <w:highlight w:val="none"/>
              </w:rPr>
              <w:t>据学校配置，完成指定通用大语言模型或多个通用大模型对接</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至少支持deepseek、Kimi、豆包等国产主流大模型。</w:t>
            </w:r>
          </w:p>
          <w:p w14:paraId="41EC6960">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2.课程专属AI知识库训练</w:t>
            </w:r>
          </w:p>
          <w:p w14:paraId="60796EC8">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2.1在线课程自我训练</w:t>
            </w:r>
          </w:p>
          <w:p w14:paraId="0947D46B">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2.1.1支持一键同步在线课程，对已有资源进行智能化训练。</w:t>
            </w:r>
          </w:p>
          <w:p w14:paraId="512CB0FE">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2.1.2支持增量同步在线课程，保持与课程内容的一致。</w:t>
            </w:r>
          </w:p>
          <w:p w14:paraId="606B93D6">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2.2资源上传与训练</w:t>
            </w:r>
          </w:p>
          <w:p w14:paraId="255C5292">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2.2.1课程单元内容建设，可编辑视频、文档、图片、音频、图书、公式、符号、附件、网页、动画等。</w:t>
            </w:r>
          </w:p>
          <w:p w14:paraId="06A5BA2B">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2.2.2支持导入并编辑内容。</w:t>
            </w:r>
          </w:p>
          <w:p w14:paraId="06441CCE">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2.2.3视频上传与播放支持rmvb、3gp、mpg、mpeg、mov、wmv、avi、mkv、mp4、flv、vob、f4v等高清和网络格式。</w:t>
            </w:r>
          </w:p>
          <w:p w14:paraId="6A776AB6">
            <w:pPr>
              <w:widowControl/>
              <w:jc w:val="left"/>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2.2.4支持2G以上文件上传。支持查看资源上传与训练状态，支持查看训练资源来源。支持按时间范围查看资源上传情况。</w:t>
            </w:r>
          </w:p>
          <w:p w14:paraId="16D9B331">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rPr>
              <w:t>AI 知识库管理功能</w:t>
            </w:r>
          </w:p>
          <w:p w14:paraId="62F4867B">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rPr>
              <w:t>.1支持“单位AI知识库”与“公共AI知识库”双维度管理，可按创建人、创建时间、知识库名称等条件进行精准检索与筛选；系统支持新增知识库、知识库管理及召回参数设置等核心操作，可实时统计并展示总文件数、总字符数等关键数据，支持列表与卡片两种视图切换，同时具备分页查询功能；支持在公共AI知识库订阅相关学科、专业、领域的知识库，公共知识库数量不低于2000个。</w:t>
            </w:r>
          </w:p>
          <w:p w14:paraId="306D9E49">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rPr>
              <w:t>.2系统支持新增知识库、知识库管理及召回参数设置等核心操作，可实时统计并展示总文件数、总字符数等关键数据，支持列表与卡片两种视图切换，同时具备分页查询功能，实现对知识库资源的全生命周期管理与高效调用。</w:t>
            </w:r>
          </w:p>
          <w:p w14:paraId="466FDE0C">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3.AI问答库建设</w:t>
            </w:r>
          </w:p>
          <w:p w14:paraId="00EB4FA0">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供应商建设课程问答库，涵盖常见问题、重点难点问题与拓展性问题，为教师与学生提供即时问题解决支持。同时，问答库应</w:t>
            </w:r>
            <w:r>
              <w:rPr>
                <w:rFonts w:hint="eastAsia" w:ascii="仿宋" w:hAnsi="仿宋" w:eastAsia="仿宋" w:cs="仿宋"/>
                <w:color w:val="auto"/>
                <w:sz w:val="21"/>
                <w:szCs w:val="21"/>
                <w:highlight w:val="none"/>
                <w:lang w:val="en-US" w:eastAsia="zh-CN"/>
              </w:rPr>
              <w:t>支持模糊匹配和精确匹配</w:t>
            </w:r>
            <w:r>
              <w:rPr>
                <w:rFonts w:hint="eastAsia" w:ascii="仿宋" w:hAnsi="仿宋" w:eastAsia="仿宋" w:cs="仿宋"/>
                <w:color w:val="auto"/>
                <w:sz w:val="21"/>
                <w:szCs w:val="21"/>
                <w:highlight w:val="none"/>
              </w:rPr>
              <w:t>，提升答疑效率与精准度。</w:t>
            </w:r>
          </w:p>
          <w:p w14:paraId="262E689F">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3.1需求调研与主题确定</w:t>
            </w:r>
          </w:p>
          <w:p w14:paraId="5EC77B89">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3.1.1合作沟通：供应商与课程教学团队进行深入沟通，了解各学科的教学需求、痛点及期望。</w:t>
            </w:r>
          </w:p>
          <w:p w14:paraId="7A3DD4FC">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3.1.2主题界定：根据课程设计和师生需求，明确问答库的主题范围。</w:t>
            </w:r>
          </w:p>
          <w:p w14:paraId="22A5AFB5">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3.1.3目标设定：确立问答库的使用目标，如辅助教学、自学辅导、考试复习等。</w:t>
            </w:r>
          </w:p>
          <w:p w14:paraId="38750C82">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rPr>
              <w:t>技术支持与更新维护</w:t>
            </w:r>
          </w:p>
          <w:p w14:paraId="741BA754">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rPr>
              <w:t>.1业务问答支持关联微应用，支持调用日常教学及管理所需的快捷应用（如课堂签到、知识推荐等）</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支持关联本单位的已有应用与自建应用；</w:t>
            </w:r>
          </w:p>
          <w:p w14:paraId="3405D8A3">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rPr>
              <w:t>.2支持用户手动上传文档至</w:t>
            </w:r>
            <w:r>
              <w:rPr>
                <w:rFonts w:hint="eastAsia" w:ascii="仿宋" w:hAnsi="仿宋" w:eastAsia="仿宋" w:cs="仿宋"/>
                <w:color w:val="auto"/>
                <w:sz w:val="21"/>
                <w:szCs w:val="21"/>
                <w:highlight w:val="none"/>
                <w:lang w:val="en-US" w:eastAsia="zh-CN"/>
              </w:rPr>
              <w:t>知识</w:t>
            </w:r>
            <w:r>
              <w:rPr>
                <w:rFonts w:hint="eastAsia" w:ascii="仿宋" w:hAnsi="仿宋" w:eastAsia="仿宋" w:cs="仿宋"/>
                <w:color w:val="auto"/>
                <w:sz w:val="21"/>
                <w:szCs w:val="21"/>
                <w:highlight w:val="none"/>
              </w:rPr>
              <w:t>库，上传后系统可对上传的文档进行解析，解析后可智能回答文档相关问题；</w:t>
            </w:r>
          </w:p>
          <w:p w14:paraId="7449ED81">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rPr>
              <w:t>.3支持同步校本网络教学平台已建设的网络课程资料进行智能解析，解析后可围绕课程内容进行人机问答；支持根据用户输入问题进行匹配提示；支持未知问题回复语自定义设置。</w:t>
            </w:r>
          </w:p>
          <w:p w14:paraId="35CB4DAF">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4.AI助教问答与资源推荐</w:t>
            </w:r>
          </w:p>
          <w:p w14:paraId="74E153CF">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供应商提供训练后的AI助教，可提供问答与资源推荐。</w:t>
            </w:r>
          </w:p>
          <w:p w14:paraId="49D32B40">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4.1支持多轮对话，可基于上一个问题的回答继续进行后续问答；提问时支持通过语音输入问题；</w:t>
            </w:r>
          </w:p>
          <w:p w14:paraId="5B6D9A54">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4.2提问时支持上传图片通过读取图片内的问题进行提问；</w:t>
            </w:r>
          </w:p>
          <w:p w14:paraId="445FCB08">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4.3提问时支持用户上传文档，让大模型围绕此份文档智能回答相关问题；</w:t>
            </w:r>
          </w:p>
          <w:p w14:paraId="2499CD39">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4.4支持用户自主选择是否需要大模型回复；</w:t>
            </w:r>
          </w:p>
          <w:p w14:paraId="5A261AF1">
            <w:pPr>
              <w:widowControl/>
              <w:jc w:val="left"/>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4.5助教输出的答案支持显示来源，可截取显示与答案有关的原文内容，也可通过来源跳转回原文全文展开学习。</w:t>
            </w:r>
          </w:p>
          <w:p w14:paraId="49F774DA">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二</w:t>
            </w:r>
            <w:r>
              <w:rPr>
                <w:rFonts w:hint="eastAsia" w:ascii="仿宋" w:hAnsi="仿宋" w:eastAsia="仿宋" w:cs="仿宋"/>
                <w:color w:val="auto"/>
                <w:sz w:val="21"/>
                <w:szCs w:val="21"/>
                <w:highlight w:val="none"/>
              </w:rPr>
              <w:t>）课程图谱建设服务</w:t>
            </w:r>
          </w:p>
          <w:p w14:paraId="4DC58011">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1.课程图谱设计</w:t>
            </w:r>
          </w:p>
          <w:p w14:paraId="0040B133">
            <w:pPr>
              <w:widowControl/>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1.1供应商根据课程教学团队需求，完成课程知识图谱设计。通过图谱可视化工具展示课程内容的逻辑结构和知识点之间的关联，帮助学生更直观地理解课程体系，为学生构建更完整的知识网络，培养学生的系统思维能力。</w:t>
            </w:r>
          </w:p>
          <w:p w14:paraId="42210590">
            <w:pPr>
              <w:widowControl/>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1.2供应商根据课程教学团队需求，完成目标图谱设计。通过分解课程目标、关联知识点、提供融入教学活动与评估建议，实现课程设计、教学实施与学习评价的一致性，保障教学成效，助力课程目标有效达成。</w:t>
            </w:r>
          </w:p>
          <w:p w14:paraId="7B0CB543">
            <w:pPr>
              <w:widowControl/>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1.3供应商根据课程教学团队需求，完成问题图谱设计，帮助学生梳理问题逻辑，逐步引导学生解决复杂问题。</w:t>
            </w:r>
          </w:p>
          <w:p w14:paraId="67E50628">
            <w:pPr>
              <w:widowControl/>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1.4供应商根据课程教学团队需求，完成课程思政图谱设计。通过标记思政标签，融入课程思政元素，构建课程思政图谱，明确课程中思想政治教育的切入点与实施路径，实现价值引领与知识传授的有机结合。</w:t>
            </w:r>
          </w:p>
          <w:p w14:paraId="1A9D4DDC">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2.知识图谱建设与应用</w:t>
            </w:r>
          </w:p>
          <w:p w14:paraId="09397025">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2.1支持知识点多层级架构建立，生成分类－知识点关系。</w:t>
            </w:r>
          </w:p>
          <w:p w14:paraId="14D54C0F">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支持手动添加、批量导入等方式构建知识图谱。批量导入需支持填写知识点名称、标签信息、认知维度、分类属性、教学目标、知识点说明等信息数据。手动编辑需支持单个修改知识点属性编辑，可批量或单独对当前知识点进行移动。</w:t>
            </w:r>
          </w:p>
          <w:p w14:paraId="6B9D6110">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2.3支持智能导入，用户上传课程大纲、教材或PPT文件等，系统智能识别构建生成知识图谱。</w:t>
            </w:r>
          </w:p>
          <w:p w14:paraId="32879DC3">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2.4支持本地导入xmind格式的思维导图文件，自动读取文件数据，生成课程知识图谱，并能够导出excel格式文件。</w:t>
            </w:r>
          </w:p>
          <w:p w14:paraId="70CA344B">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2.5支持与教学平台打通，可通过教学平台现有课程章节选择生成章节图谱。</w:t>
            </w:r>
          </w:p>
          <w:p w14:paraId="505A1864">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2.6创建图谱支持同步其他课程图谱，支持全量同步或者部分选择同步。支持教学平台所教的课程导入及从教务课程导入功能支持导入知识点之间的关系。</w:t>
            </w:r>
          </w:p>
          <w:p w14:paraId="374307C2">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2.7支持AI生成图谱功能，系统可以基于教师已经建设好的网络课程结合AI应用自动生成知识图谱，并支持直接使用生成的图谱，同时支持在生成的图谱上进行自定义化修改。</w:t>
            </w:r>
          </w:p>
          <w:p w14:paraId="1A67F226">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2.8知识图谱知识点支持说明添加，可添加富文本编辑框、公式编辑等富媒体文本。支持AI生成知识点说明。</w:t>
            </w:r>
          </w:p>
          <w:p w14:paraId="45FD19CA">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2.9支持知识图谱自定义编辑功能，系统提供至少8种图谱形态，用户可根据课程性质选择合适的图谱形态进行编辑。</w:t>
            </w:r>
          </w:p>
          <w:p w14:paraId="5211DBE2">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2.10具备批量编辑图谱知识点功能，可实现批量对知识图谱知识点进行删除或移动。大纲模式下可实现对知识点进行批量全选设置。</w:t>
            </w:r>
          </w:p>
          <w:p w14:paraId="287A9026">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2.11支持知识点之间进行前置关系、后置关系、关联关系的设置；支持额外新增其他自定义关系。</w:t>
            </w:r>
          </w:p>
          <w:p w14:paraId="6E2B77DC">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2.12支持给知识点打标签，自定义标签内容，支持同一个支持点标记多个标签。具备附加标签功能，能够实现知识点的分类和标识</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支持知识点设定重点、难点以及考点等标签，同时支持用户自定义标签名称。</w:t>
            </w:r>
          </w:p>
          <w:p w14:paraId="0EE02D0D">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2.13支持知识点被赋予某一分类属性，包括事实性、概念性、程序性、元认知等。</w:t>
            </w:r>
          </w:p>
          <w:p w14:paraId="6BC293E1">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2.14支持进行跨课知识点关联，实现不同课程之间知识的聚合联动，关联后可以实现跨课学习并进行专业下多门课程的知识点关联展示应用。</w:t>
            </w:r>
          </w:p>
          <w:p w14:paraId="5BA1C66E">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2.15知识图谱显示支持2D和3D展示效果，用户可自主地进行模式切换。</w:t>
            </w:r>
          </w:p>
          <w:p w14:paraId="5B76E1AC">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3.问题图谱建设与应用</w:t>
            </w:r>
          </w:p>
          <w:p w14:paraId="22FAA7E2">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3.1基于课程知识图谱，建设不少于三层的问题体系，系统提供对每层级问题的定义能力，允许用户添加问题详情及其与知识点的关联。</w:t>
            </w:r>
          </w:p>
          <w:p w14:paraId="70D23C50">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3.2支持用户可根据教学需求，自定义栏目标题和描述，以适应多样化的教学情境。支持用户对栏目中节点的名称、描述、标签和知识点进行修改，保持内容的时效性和准确性。</w:t>
            </w:r>
          </w:p>
          <w:p w14:paraId="7C9B7F58">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3.3支持通过图谱形式展现问题与知识点的关联，使用户能够直观理解知识间的联系。</w:t>
            </w:r>
          </w:p>
          <w:p w14:paraId="6A217F5A">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lang w:val="en-US" w:eastAsia="zh-CN"/>
              </w:rPr>
              <w:t>4</w:t>
            </w:r>
            <w:r>
              <w:rPr>
                <w:rFonts w:hint="eastAsia" w:ascii="仿宋" w:hAnsi="仿宋" w:eastAsia="仿宋" w:cs="仿宋"/>
                <w:color w:val="auto"/>
                <w:sz w:val="21"/>
                <w:szCs w:val="21"/>
                <w:highlight w:val="none"/>
              </w:rPr>
              <w:t>支持开启探索模式，模拟学生学习路径，通过问题选择和知识点关联，促进学生的深入思考。在探索模式中，用户被引导将核心问题与子问题连接，形成知识网络，并通过提交与标准答案对比，实现自我评估。</w:t>
            </w:r>
          </w:p>
          <w:p w14:paraId="55885E37">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lang w:val="en-US" w:eastAsia="zh-CN"/>
              </w:rPr>
              <w:t>5</w:t>
            </w:r>
            <w:r>
              <w:rPr>
                <w:rFonts w:hint="eastAsia" w:ascii="仿宋" w:hAnsi="仿宋" w:eastAsia="仿宋" w:cs="仿宋"/>
                <w:color w:val="auto"/>
                <w:sz w:val="21"/>
                <w:szCs w:val="21"/>
                <w:highlight w:val="none"/>
              </w:rPr>
              <w:t>支持在探索过程中查看相关知识点并进行相关知识点的知识内容学习，有效提高在探索过程中思考解决问题的能力和获取信息的能力。</w:t>
            </w:r>
          </w:p>
          <w:p w14:paraId="29B0B429">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4.课程思政图谱建设与应用</w:t>
            </w:r>
          </w:p>
          <w:p w14:paraId="3FC0FA2E">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4.1支持自动根据现有的图谱信息生成课程思政图谱的功能。支持将标签为“课程思政”的知识点以花朵的形式呈现，以视觉突出其在课程中的核心地位，同时以花苞的形式展示其他的知识点。</w:t>
            </w:r>
          </w:p>
          <w:p w14:paraId="6F4FFCC6">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rPr>
              <w:t>支持搜索功能覆盖知识点、分类和标签，实现全面性，满足用户不同维度的搜索需求。</w:t>
            </w:r>
          </w:p>
          <w:p w14:paraId="050169E8">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rPr>
              <w:t>支持通过点击操作，可深入分类卡片获取详细信息，知识点用户也可以选择开启卡片，直接跳转至微课进行学习，实现知识获取的快速通道。</w:t>
            </w:r>
          </w:p>
          <w:p w14:paraId="0F3FD1B5">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5.目标图谱建设</w:t>
            </w:r>
          </w:p>
          <w:p w14:paraId="781A7F47">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5.1系统允许根据不同班级特点定制课程目标，以满足特定教学需求。支持课程目标模板导入/一键导出功能，便于教师对于课程目标可以直观浏览和整理，同时也能有效地和其他工具同时使用。</w:t>
            </w:r>
          </w:p>
          <w:p w14:paraId="6A0FDCAA">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5.2支持课程目标与知识点进行关联，以展示目标与教学内容的直接联系。</w:t>
            </w:r>
          </w:p>
          <w:p w14:paraId="7510E670">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5.3支持以柱状图展示课程目标关联知识点的个数，提供直观的统计信息；</w:t>
            </w:r>
          </w:p>
          <w:p w14:paraId="7880F467">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5.4支持以列表形式展示课程目标总数、课程目标名称、课程目标说明、课程目标标签以及所关联的知识点个数，方便用户快速浏览和了解。</w:t>
            </w:r>
          </w:p>
          <w:p w14:paraId="16B586B2">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5.5支持以图谱形式展示每个课程目标所关联的知识点情况，增强信息的可视化效果。</w:t>
            </w:r>
          </w:p>
          <w:p w14:paraId="267846F7">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6.自定义图谱建设</w:t>
            </w:r>
          </w:p>
          <w:p w14:paraId="357747B4">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6.1具备自定义图谱功能，可根据个性化的图谱展示进行自定义图谱建设，包括图谱名称及图谱样式。支持知识图谱自定义编辑功能，系统支持至少8种图谱形态，用户可根据课程性质选择合适的图谱形态进行编辑。</w:t>
            </w:r>
          </w:p>
          <w:p w14:paraId="7A9F95CB">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7.知识点微课建设与应用</w:t>
            </w:r>
          </w:p>
          <w:p w14:paraId="3F5988A3">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7.1支持教师对课程章节内容，包括——视频、音频、文档、章节测验等进行知识点标记，作为知识点教学任务进行设置，方便学生按知识点进行任务学习。</w:t>
            </w:r>
          </w:p>
          <w:p w14:paraId="3F4D9288">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7.3支持按知识点上传资源，并查看知识点关联资源数量，方便教师按知识点管理资源。</w:t>
            </w:r>
          </w:p>
          <w:p w14:paraId="6146517E">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7.4知识点卡片须具备资料添加功能，可通过添加资料关联建设知识点下相关课程资料及其他相关资源。</w:t>
            </w:r>
          </w:p>
          <w:p w14:paraId="404EF8B8">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7.5支持多种题型的创建管理，包括单选、多选、填空、判断、简答、名词解析、论述、计算、分录、连线、排序、完形填空、阅读理解、口语、听力等常见题型。</w:t>
            </w:r>
          </w:p>
          <w:p w14:paraId="702ED61C">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r>
              <w:rPr>
                <w:rFonts w:hint="eastAsia" w:ascii="仿宋" w:hAnsi="仿宋" w:eastAsia="仿宋" w:cs="仿宋"/>
                <w:color w:val="auto"/>
                <w:sz w:val="21"/>
                <w:szCs w:val="21"/>
                <w:highlight w:val="none"/>
                <w:lang w:val="en-US" w:eastAsia="zh-CN"/>
              </w:rPr>
              <w:t>6</w:t>
            </w:r>
            <w:r>
              <w:rPr>
                <w:rFonts w:hint="eastAsia" w:ascii="仿宋" w:hAnsi="仿宋" w:eastAsia="仿宋" w:cs="仿宋"/>
                <w:color w:val="auto"/>
                <w:sz w:val="21"/>
                <w:szCs w:val="21"/>
                <w:highlight w:val="none"/>
              </w:rPr>
              <w:t>对课程建设系统中的视频进行智能分析，自动匹配课程中的知识点，并在视频对应的时间点进行自动打点，同时基于人工智能技术生成知识点词云、思维导图分析并展示；视频播放时学生可以定位到时间点观看对应知识点的视频讲解。</w:t>
            </w:r>
          </w:p>
          <w:p w14:paraId="42E27620">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r>
              <w:rPr>
                <w:rFonts w:hint="eastAsia" w:ascii="仿宋" w:hAnsi="仿宋" w:eastAsia="仿宋" w:cs="仿宋"/>
                <w:color w:val="auto"/>
                <w:sz w:val="21"/>
                <w:szCs w:val="21"/>
                <w:highlight w:val="none"/>
                <w:lang w:val="en-US" w:eastAsia="zh-CN"/>
              </w:rPr>
              <w:t>6</w:t>
            </w:r>
            <w:r>
              <w:rPr>
                <w:rFonts w:hint="eastAsia" w:ascii="仿宋" w:hAnsi="仿宋" w:eastAsia="仿宋" w:cs="仿宋"/>
                <w:color w:val="auto"/>
                <w:sz w:val="21"/>
                <w:szCs w:val="21"/>
                <w:highlight w:val="none"/>
              </w:rPr>
              <w:t>对课程视频进行智能切片，按切片时间点点击可跳转学习对应片段视频；</w:t>
            </w:r>
          </w:p>
          <w:p w14:paraId="670B0067">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r>
              <w:rPr>
                <w:rFonts w:hint="eastAsia" w:ascii="仿宋" w:hAnsi="仿宋" w:eastAsia="仿宋" w:cs="仿宋"/>
                <w:color w:val="auto"/>
                <w:sz w:val="21"/>
                <w:szCs w:val="21"/>
                <w:highlight w:val="none"/>
                <w:lang w:val="en-US" w:eastAsia="zh-CN"/>
              </w:rPr>
              <w:t>8</w:t>
            </w:r>
            <w:r>
              <w:rPr>
                <w:rFonts w:hint="eastAsia" w:ascii="仿宋" w:hAnsi="仿宋" w:eastAsia="仿宋" w:cs="仿宋"/>
                <w:color w:val="auto"/>
                <w:sz w:val="21"/>
                <w:szCs w:val="21"/>
                <w:highlight w:val="none"/>
              </w:rPr>
              <w:t>支持学生对不懂的视频或PDF文档点击“不懂”，触发AI助教及时答疑，页面自动截屏供AI助教分析。</w:t>
            </w:r>
          </w:p>
          <w:p w14:paraId="3EC2DBA5">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r>
              <w:rPr>
                <w:rFonts w:hint="eastAsia" w:ascii="仿宋" w:hAnsi="仿宋" w:eastAsia="仿宋" w:cs="仿宋"/>
                <w:color w:val="auto"/>
                <w:sz w:val="21"/>
                <w:szCs w:val="21"/>
                <w:highlight w:val="none"/>
                <w:lang w:val="en-US" w:eastAsia="zh-CN"/>
              </w:rPr>
              <w:t>9</w:t>
            </w:r>
            <w:r>
              <w:rPr>
                <w:rFonts w:hint="eastAsia" w:ascii="仿宋" w:hAnsi="仿宋" w:eastAsia="仿宋" w:cs="仿宋"/>
                <w:color w:val="auto"/>
                <w:sz w:val="21"/>
                <w:szCs w:val="21"/>
                <w:highlight w:val="none"/>
              </w:rPr>
              <w:t>支持学生进入课程、观看视频时进行人脸识别和抓拍。观看视频抓拍支持视频起始、视频播放、视频暂停再播放、视频结束抓拍设置，也支持播放中的定时抓拍，如10分钟抓拍一次和随机抓拍。识别失败支持记录并继续学习和不允许学习的配置。</w:t>
            </w:r>
          </w:p>
          <w:p w14:paraId="46520162">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w:t>
            </w:r>
            <w:r>
              <w:rPr>
                <w:rFonts w:hint="eastAsia" w:ascii="仿宋" w:hAnsi="仿宋" w:eastAsia="仿宋" w:cs="仿宋"/>
                <w:color w:val="auto"/>
                <w:sz w:val="21"/>
                <w:szCs w:val="21"/>
                <w:highlight w:val="none"/>
                <w:lang w:val="en-US" w:eastAsia="zh-CN"/>
              </w:rPr>
              <w:t>10</w:t>
            </w:r>
            <w:r>
              <w:rPr>
                <w:rFonts w:hint="eastAsia" w:ascii="仿宋" w:hAnsi="仿宋" w:eastAsia="仿宋" w:cs="仿宋"/>
                <w:color w:val="auto"/>
                <w:sz w:val="21"/>
                <w:szCs w:val="21"/>
                <w:highlight w:val="none"/>
              </w:rPr>
              <w:t>支持课程考核的试卷导出功能，至少支持A3、A4、B4等版式。支持自定义设置导出试卷模板，包括密封线位置，显示的课程信息，学生信息，考试承诺书等多项内容。</w:t>
            </w:r>
          </w:p>
          <w:p w14:paraId="079455E2">
            <w:pPr>
              <w:widowControl/>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7.11支持3D模型教学资源的可视化上传与编辑，支持glb、gltf格式模型上传，上传后在编辑界面提供实时预览窗口并自动捕捉模型封面图；支持拖曳调整模型初始位置、设置全局缩放比例与自旋转速度；支持模型上传历史列表，可对历史模型重新编辑、一键预览与复制分享链接。</w:t>
            </w:r>
          </w:p>
          <w:p w14:paraId="40EA104A">
            <w:pPr>
              <w:widowControl/>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7.12支持热点编辑系统，可点击模型表面任意位置创建交互热点，通过弹窗配置标题、图文简介、关联视频、音频解说及外部知识链接，支持将热点绑定至模型特定区域实现学习时区域高亮；所有热点在右侧面板集中管理，支持拖拽调整顺序、一键预览效果，可开启热点自动切换并设置停留时长。</w:t>
            </w:r>
          </w:p>
          <w:p w14:paraId="480174EA">
            <w:pPr>
              <w:widowControl/>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7.13支持动画管理，系统自动扫描并解析模型文件包含的动画并列出原始名称，支持单独预览播放与重命名为教学名称，支持选择性启用部分动画并设置用户端是否自动播放。</w:t>
            </w:r>
          </w:p>
          <w:p w14:paraId="4FC228CE">
            <w:pPr>
              <w:widowControl/>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7.14用户端支持拖拽模型360度旋转与平滑放大缩小，界面底部以列表形式展示所有热点标题，点击可快速定位对应热点；触发热点时视角自动平滑过渡至部件最佳观察位置并弹窗展示热点详情（名称、简介、关联图片、视频及扩展超链接），热点音频自动播放，热点所处区域高亮显示。</w:t>
            </w:r>
          </w:p>
          <w:p w14:paraId="2CB87D05">
            <w:pPr>
              <w:widowControl/>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7.15用户端支持动画播放，提供动画播放按钮列表，可手动触发模型动画并重复播放，动画播放期间仍可正常触发和查看热点；支持多套背景切换。</w:t>
            </w:r>
          </w:p>
          <w:p w14:paraId="03D3A3A0">
            <w:pPr>
              <w:widowControl/>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7.16支持AI生成3D模型与知识热点编辑，教师围绕课程知识点通过文字描述或上传参考图片AI生成3D模型（文生3D/图生3D双模式），内置上百种公共3D教学模型可直接复用；支持AI批量识别模型部件自动生成知识热点（名称、简介、图文、音视频），支持热点自动轮播与手动触发双模式，可一键嵌入课程教学平台形成教学闭环。</w:t>
            </w:r>
          </w:p>
          <w:p w14:paraId="074B6199">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7.17支持编辑过程中所有修改（模型设置、热点、动画等）云端实时保存，提供一键预览，并支持手机端、电脑端多端预览与复制链接分享。</w:t>
            </w:r>
          </w:p>
          <w:p w14:paraId="265EB365">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8.基于知识图谱的数智驱动数据分析与统计</w:t>
            </w:r>
          </w:p>
          <w:p w14:paraId="25629908">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8.1支持教师查看知识图谱的知识点建设情况，包括知识点建设率、图谱知识点总数、图谱关联资源知识点数、已设置标签的知识点数、图谱未关联资源知识点数等；</w:t>
            </w:r>
          </w:p>
          <w:p w14:paraId="61CDFC66">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8.2支持查看不同知识点属性概况数据；支持查看图谱资源总数，关联视频、音频、文档、题目及其他类型资源数等；支持查看知识点关联资源数量排行榜。</w:t>
            </w:r>
          </w:p>
          <w:p w14:paraId="4125FA8A">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8.3支持教师查看不同班级的学情数据，包括每个知识点的完成率与掌握率、知识点热度、完成率与掌握率的学情分段人数、学生完成率与掌握率排行情况等数据。</w:t>
            </w:r>
          </w:p>
          <w:p w14:paraId="5E828B29">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8.4支持教师选择多个不同班级进行学情数据对比，对比内容包括班级掌握率、班级完成率、完成率区间对比与掌握率区间对比等数据。通过班级对比分析，便于教师更好地了解不同班级间的学习差异。</w:t>
            </w:r>
          </w:p>
          <w:p w14:paraId="6BCE8189">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8.5支持教师依据知识点的属性或分类层级，灵活选取多样的评价维度，进而生成学生或班级画像。</w:t>
            </w:r>
          </w:p>
          <w:p w14:paraId="2BF2D627">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三</w:t>
            </w:r>
            <w:r>
              <w:rPr>
                <w:rFonts w:hint="eastAsia" w:ascii="仿宋" w:hAnsi="仿宋" w:eastAsia="仿宋" w:cs="仿宋"/>
                <w:color w:val="auto"/>
                <w:sz w:val="21"/>
                <w:szCs w:val="21"/>
                <w:highlight w:val="none"/>
              </w:rPr>
              <w:t>）AI工作台智慧教学应用</w:t>
            </w:r>
          </w:p>
          <w:p w14:paraId="14B60100">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指导老师应用AI工具，在备课、教学、学习、教研、科研、评价等全流程深度融合，实现数字素养提升，并实现AI赋能的“师/生/机”深度交互教学模式改革。具有AI教案、AI生成PPT、AI智能写作与校正、章节视频与文档AI解析、AI智能出题、公式识别、作业智能查重、AIGC检测、文献阅读、视频理解、智能翻译、资料查询助手等AI工具应用于教学。</w:t>
            </w:r>
          </w:p>
          <w:p w14:paraId="6BA5C41A">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1.AI教案</w:t>
            </w:r>
          </w:p>
          <w:p w14:paraId="6360DD5B">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1.1教师输入教学材料或关键词，AI自动生成教案，并支持教师借助写作助手进行再次编辑。</w:t>
            </w:r>
          </w:p>
          <w:p w14:paraId="14E038C8">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1.2支持教师补充所教层次、适合的教学风格，形成更加具有个性化的教案。</w:t>
            </w:r>
          </w:p>
          <w:p w14:paraId="64B10F8F">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1.3支持一键导出教案，并且支持按学校教案模板导出。</w:t>
            </w:r>
          </w:p>
          <w:p w14:paraId="5A044AEE">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2.AI课件</w:t>
            </w:r>
          </w:p>
          <w:p w14:paraId="50D3CAC2">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2.1通过输入PPT内容要求，AI智能生成PPT大纲</w:t>
            </w:r>
          </w:p>
          <w:p w14:paraId="4019F6AA">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2.2支持教师在线直接编辑生成的大纲内容</w:t>
            </w:r>
          </w:p>
          <w:p w14:paraId="433160C5">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2.3支持AI自动根据大纲生成PPT，教师可以进行在线编辑或下载</w:t>
            </w:r>
          </w:p>
          <w:p w14:paraId="118B20FF">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2.4支持选择PPT模板场景、设计风格、主题颜色，生成个性化PPT</w:t>
            </w:r>
          </w:p>
          <w:p w14:paraId="746DE9F5">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3.AI写作</w:t>
            </w:r>
          </w:p>
          <w:p w14:paraId="045D743B">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3.1老师可以向AI写作助手提出需求，点击“生成”，写作助手会根据要求智能生成相应的内容，老师点击保存可以将内容输出到章节编辑页面上</w:t>
            </w:r>
          </w:p>
          <w:p w14:paraId="44ACC178">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3.2老师可进行文本修改、删减或排版</w:t>
            </w:r>
          </w:p>
          <w:p w14:paraId="4BF6C0D4">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3.3在章节编辑页面，选中内容可进行AI改写、扩写、续写、简写、翻译等操作</w:t>
            </w:r>
          </w:p>
          <w:p w14:paraId="6D1E4983">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4.AI出题</w:t>
            </w:r>
          </w:p>
          <w:p w14:paraId="5C2C0770">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4.1支持教师通过知识点、输入文本、上传附件文档和视频、选定章节等多种方式，搭配补充出题要求说明，由AI自动生成相应试题。AI系统可以自动生成对应的题目并且不限制教师使用次数。</w:t>
            </w:r>
          </w:p>
          <w:p w14:paraId="08C0BF81">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4.2支持多种题型，题型包括选择题、填空题、简答题等，以便满足不同类型考题的需求</w:t>
            </w:r>
          </w:p>
          <w:p w14:paraId="098669A7">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4.3教师可以根据课程内容和学生水平，将生成的题目添加到题库。并随时使用这些题目进行测验、考试或者课堂练习。</w:t>
            </w:r>
          </w:p>
          <w:p w14:paraId="5085BA6E">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4.4支持设置出题要求，比如：适用年级、难易度、题目偏向等。</w:t>
            </w:r>
          </w:p>
          <w:p w14:paraId="5A14092A">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4.5支持教师在线编辑调整AI生成的试题，也可以一键加入题库，组成作业考试发布给学生，并且支持跨课程使用生成的题目。</w:t>
            </w:r>
          </w:p>
          <w:p w14:paraId="52F689C9">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5.AI批阅</w:t>
            </w:r>
          </w:p>
          <w:p w14:paraId="15BA6894">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5.1使用先进的AI技术，能够批阅学生的主观题、论述题、小论文等。</w:t>
            </w:r>
          </w:p>
          <w:p w14:paraId="64FB65D7">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5.2对参考答案和学生答案进行分词处理和语法分析，以便计算词语和语句的相似度，从而量化学生答案与标准答案的匹配程度</w:t>
            </w:r>
          </w:p>
          <w:p w14:paraId="1C1AEA29">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5.3支持利用语义相似度计算结果给出学生相应的得分，通过深度学习等技术来模拟人类对语义相似度的判断，从而更准确地评估学生的答案质量。</w:t>
            </w:r>
          </w:p>
          <w:p w14:paraId="611E3AAA">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5.4系统可以根据教师设置的得分点来匹配得分，确保评分符合标准化要求，同时满足教学目标和评价体系。</w:t>
            </w:r>
          </w:p>
          <w:p w14:paraId="22C83CC6">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6.AI学情分析</w:t>
            </w:r>
          </w:p>
          <w:p w14:paraId="0DE2C68C">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6.1支持智能呈现班级整体知识点分析数据，提供个性化学习路径。</w:t>
            </w:r>
          </w:p>
          <w:p w14:paraId="1126FF1D">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6.2可查看知识点平均完成率、平均掌握率、完成率分布和掌握率分布等。支持按知识点查看每个知识点的关联学习资源数、平均完成率、平均掌握率、课程资料数、课程资料人均阅读情况等。</w:t>
            </w:r>
          </w:p>
          <w:p w14:paraId="657F93A2">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6.3基于AI学情分析，可由AI生成学情分析画像，减轻教师学情分析压力，提升效率。</w:t>
            </w:r>
          </w:p>
          <w:p w14:paraId="5F3EF942">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6.4针对班级学情数据进行分析，将班级学生分布自动划分为</w:t>
            </w:r>
            <w:r>
              <w:rPr>
                <w:rFonts w:hint="eastAsia" w:ascii="仿宋" w:hAnsi="仿宋" w:eastAsia="仿宋" w:cs="仿宋"/>
                <w:color w:val="auto"/>
                <w:sz w:val="21"/>
                <w:szCs w:val="21"/>
                <w:highlight w:val="none"/>
                <w:lang w:val="en-US" w:eastAsia="zh-CN"/>
              </w:rPr>
              <w:t>全优</w:t>
            </w:r>
            <w:r>
              <w:rPr>
                <w:rFonts w:hint="eastAsia" w:ascii="仿宋" w:hAnsi="仿宋" w:eastAsia="仿宋" w:cs="仿宋"/>
                <w:color w:val="auto"/>
                <w:sz w:val="21"/>
                <w:szCs w:val="21"/>
                <w:highlight w:val="none"/>
              </w:rPr>
              <w:t>层、</w:t>
            </w:r>
            <w:r>
              <w:rPr>
                <w:rFonts w:hint="eastAsia" w:ascii="仿宋" w:hAnsi="仿宋" w:eastAsia="仿宋" w:cs="仿宋"/>
                <w:color w:val="auto"/>
                <w:sz w:val="21"/>
                <w:szCs w:val="21"/>
                <w:highlight w:val="none"/>
                <w:lang w:val="en-US" w:eastAsia="zh-CN"/>
              </w:rPr>
              <w:t>提升</w:t>
            </w:r>
            <w:r>
              <w:rPr>
                <w:rFonts w:hint="eastAsia" w:ascii="仿宋" w:hAnsi="仿宋" w:eastAsia="仿宋" w:cs="仿宋"/>
                <w:color w:val="auto"/>
                <w:sz w:val="21"/>
                <w:szCs w:val="21"/>
                <w:highlight w:val="none"/>
              </w:rPr>
              <w:t>层、</w:t>
            </w:r>
            <w:r>
              <w:rPr>
                <w:rFonts w:hint="eastAsia" w:ascii="仿宋" w:hAnsi="仿宋" w:eastAsia="仿宋" w:cs="仿宋"/>
                <w:color w:val="auto"/>
                <w:sz w:val="21"/>
                <w:szCs w:val="21"/>
                <w:highlight w:val="none"/>
                <w:lang w:val="en-US" w:eastAsia="zh-CN"/>
              </w:rPr>
              <w:t>勤奋</w:t>
            </w:r>
            <w:r>
              <w:rPr>
                <w:rFonts w:hint="eastAsia" w:ascii="仿宋" w:hAnsi="仿宋" w:eastAsia="仿宋" w:cs="仿宋"/>
                <w:color w:val="auto"/>
                <w:sz w:val="21"/>
                <w:szCs w:val="21"/>
                <w:highlight w:val="none"/>
              </w:rPr>
              <w:t>层、</w:t>
            </w:r>
            <w:r>
              <w:rPr>
                <w:rFonts w:hint="eastAsia" w:ascii="仿宋" w:hAnsi="仿宋" w:eastAsia="仿宋" w:cs="仿宋"/>
                <w:color w:val="auto"/>
                <w:sz w:val="21"/>
                <w:szCs w:val="21"/>
                <w:highlight w:val="none"/>
                <w:lang w:val="en-US" w:eastAsia="zh-CN"/>
              </w:rPr>
              <w:t>学霸</w:t>
            </w:r>
            <w:r>
              <w:rPr>
                <w:rFonts w:hint="eastAsia" w:ascii="仿宋" w:hAnsi="仿宋" w:eastAsia="仿宋" w:cs="仿宋"/>
                <w:color w:val="auto"/>
                <w:sz w:val="21"/>
                <w:szCs w:val="21"/>
                <w:highlight w:val="none"/>
              </w:rPr>
              <w:t>层，并给出具体的教学建议，帮助教师开展精准教学。</w:t>
            </w:r>
          </w:p>
          <w:p w14:paraId="4A875EC0">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6.5支持根据平台学生整体学习数据及专项数据，或者上传excel文档，教师可自定义分析维度，AI自动进行学生学情分析并提供建议提醒。</w:t>
            </w:r>
          </w:p>
          <w:p w14:paraId="55E2C80F">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6.6支持多班对比分析：对多个班级的数据进行深度分析，洞察每个班级的独特学情，为教育决策提供科学依据。</w:t>
            </w:r>
          </w:p>
          <w:p w14:paraId="0BE71CA8">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7.个性化学习路径推荐</w:t>
            </w:r>
          </w:p>
          <w:p w14:paraId="1D1B3D17">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7.1为学生智能化推荐个性化学习路径，呈现路径中各知识点掌握率</w:t>
            </w:r>
          </w:p>
          <w:p w14:paraId="7D043F77">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7.2基于知识点的学习，智能化分析学生学习进度与掌握情况，掌握率高于90%的知识点在学习路径上不再显示</w:t>
            </w:r>
          </w:p>
          <w:p w14:paraId="679230D5">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7.3基于错题智能推荐薄弱知识点</w:t>
            </w:r>
          </w:p>
          <w:p w14:paraId="2A61DA14">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8.智能推荐资源</w:t>
            </w:r>
          </w:p>
          <w:p w14:paraId="3F993755">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根据需求，可通过问答方式由AI助教提供智能化资源推荐，通过关键词识别，智能化挖掘呈现相关联学术资源，包含期刊、图书等内容，助力学生复习相关知识、扩展学习的深度与广度。</w:t>
            </w:r>
          </w:p>
          <w:p w14:paraId="6450841F">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9.文献阅读</w:t>
            </w:r>
          </w:p>
          <w:p w14:paraId="597E162D">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9.1根据原文内容支持随机生成并显示默认问题，可通过点击默认问题或自定义输入问题查看回复，平台通过匹配向量之间的相似性，支持文字、表格等多种输出格式；</w:t>
            </w:r>
          </w:p>
          <w:p w14:paraId="53306539">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9.2支持点击词云查看人物、机构、地名在原文出现次数、页码以及原文信息，快速了解原文的重点和主题；</w:t>
            </w:r>
          </w:p>
          <w:p w14:paraId="04F2418C">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9.3通过对原文的分析，支持按照章节提取关键信息，生成摘要列表；</w:t>
            </w:r>
          </w:p>
          <w:p w14:paraId="5EF04F74">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9.4通过对原文的分析将复杂的概念和关系可视化，支持按照脑图或markdown格式切换查看，帮助知识整理和信息归纳；</w:t>
            </w:r>
          </w:p>
          <w:p w14:paraId="38C108FE">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.作业智能查重</w:t>
            </w:r>
          </w:p>
          <w:p w14:paraId="7A94FD7E">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1比对基础库中的数据包含图书、报纸、期刊、网络文档等多种文献类型；支持选择不同的比对库，包含全部全文比对库、图书全文比对库、非图书全文比对库、法律法规比对库、自建库选择进行检测。用户可下载PDF报告（简洁报告、全文检测报告）和HTML报告（综合评估、相似片段、全文对比）进行查看和打印，（PDF报告和HTML报告均提供相似度检测专用印章）</w:t>
            </w:r>
          </w:p>
          <w:p w14:paraId="6F6F3E00">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en-US" w:eastAsia="zh-CN"/>
              </w:rPr>
              <w:t>0</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rPr>
              <w:t>支持按文献类型查看典型相似图书列表、典型相似报纸列表、典型相似期刊列表、典型相似网络文档列表，支持在检测结果中，单独查看两两文献的比对结果。</w:t>
            </w:r>
          </w:p>
          <w:p w14:paraId="45BBBA64">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11.</w:t>
            </w:r>
            <w:r>
              <w:rPr>
                <w:rFonts w:hint="eastAsia" w:ascii="仿宋" w:hAnsi="仿宋" w:eastAsia="仿宋" w:cs="仿宋"/>
                <w:color w:val="auto"/>
                <w:sz w:val="21"/>
                <w:szCs w:val="21"/>
                <w:highlight w:val="none"/>
              </w:rPr>
              <w:t>AI科研助手</w:t>
            </w:r>
          </w:p>
          <w:p w14:paraId="7A43BF83">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1</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.1AI科研智能问答</w:t>
            </w:r>
          </w:p>
          <w:p w14:paraId="090FE0DE">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1</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.1.1支持自定义切换多个学科智能体，每个智能体可绑定多个AI知识库与大模型；支持自定义智能体名称、图标、角色定位与使用场景描述。</w:t>
            </w:r>
          </w:p>
          <w:p w14:paraId="009B26EC">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1</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.1.2智能体回答内容支持溯源引用来源，确保回答可信；支持灵活选择多种大模型；支持设置提示词，定义智能体角色行为和问答风格。</w:t>
            </w:r>
          </w:p>
          <w:p w14:paraId="33E5982A">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1</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.1.3支持问答式检索，直接以问题形式获取文献推荐或答案摘要；支持检索结果加入阅读清单与AI解读功能。</w:t>
            </w:r>
          </w:p>
          <w:p w14:paraId="7C607794">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1</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.2AI学术追踪</w:t>
            </w:r>
          </w:p>
          <w:p w14:paraId="587D1F3F">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1</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2.1支持用户自定义研究兴趣、学术期刊、学者、学术顶会等信息进行AI追踪，系统自动筛选并推送相关的最新优质文献。支持用户通过自然语言输入具体兴趣追踪最新学术文献。支持对推荐文献快捷引用，支持APA、MLA、GB/T7714等引用格式；支持勾选多篇推荐文献进行多文献对话，支持对多篇文献提供观点对比、研究方法对比、结论对比、摘要总结。</w:t>
            </w:r>
          </w:p>
          <w:p w14:paraId="57B0CF76">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1</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.3AI学术对话</w:t>
            </w:r>
          </w:p>
          <w:p w14:paraId="59BC9B67">
            <w:pPr>
              <w:widowControl/>
              <w:jc w:val="left"/>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1</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lang w:eastAsia="zh-CN"/>
              </w:rPr>
              <w:t>.3.1支持对学术追踪的内容进行AI总结；支持AI快速解读关注领域的最新科研动态，便于用户快速及时了解最新文献、大批量文献；AI速读支持提取文章结构（研究方法、结论、贡献等）并生成摘要，支持一键生成关键要点，支持生成脑图。</w:t>
            </w:r>
          </w:p>
          <w:p w14:paraId="4A268EC9">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12</w:t>
            </w:r>
            <w:r>
              <w:rPr>
                <w:rFonts w:hint="eastAsia" w:ascii="仿宋" w:hAnsi="仿宋" w:eastAsia="仿宋" w:cs="仿宋"/>
                <w:color w:val="auto"/>
                <w:sz w:val="21"/>
                <w:szCs w:val="21"/>
                <w:highlight w:val="none"/>
              </w:rPr>
              <w:t>.AI实践</w:t>
            </w:r>
          </w:p>
          <w:p w14:paraId="2B9562F6">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AI实践：学科教学体系中，实践教学是培养应用型人才的核心模块，尤其在管理学等强应用性领域具有不可替代性。AI实践是一种融合智能技术与教学场景的任务型学习方式，支持教师根据教学目标配置不同类型的实践任务，如商业案例分析、经营决策模拟、数据分析实训等。</w:t>
            </w:r>
          </w:p>
          <w:p w14:paraId="21BE54B5">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12.1</w:t>
            </w:r>
            <w:r>
              <w:rPr>
                <w:rFonts w:hint="eastAsia" w:ascii="仿宋" w:hAnsi="仿宋" w:eastAsia="仿宋" w:cs="仿宋"/>
                <w:color w:val="auto"/>
                <w:sz w:val="21"/>
                <w:szCs w:val="21"/>
                <w:highlight w:val="none"/>
              </w:rPr>
              <w:t>支持预设任务内容、评分标准与评估视角等多项任务信息。</w:t>
            </w:r>
          </w:p>
          <w:p w14:paraId="177BA41F">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12.2</w:t>
            </w:r>
            <w:r>
              <w:rPr>
                <w:rFonts w:hint="eastAsia" w:ascii="仿宋" w:hAnsi="仿宋" w:eastAsia="仿宋" w:cs="仿宋"/>
                <w:color w:val="auto"/>
                <w:sz w:val="21"/>
                <w:szCs w:val="21"/>
                <w:highlight w:val="none"/>
              </w:rPr>
              <w:t>支持学生在系统引导下完成练习、提交作品或多轮互动。</w:t>
            </w:r>
          </w:p>
          <w:p w14:paraId="5CCA91C3">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12.3</w:t>
            </w:r>
            <w:r>
              <w:rPr>
                <w:rFonts w:hint="eastAsia" w:ascii="仿宋" w:hAnsi="仿宋" w:eastAsia="仿宋" w:cs="仿宋"/>
                <w:color w:val="auto"/>
                <w:sz w:val="21"/>
                <w:szCs w:val="21"/>
                <w:highlight w:val="none"/>
              </w:rPr>
              <w:t>系统可记录学生过程、提供智能评分反馈，帮助教师高效开展教学管理。</w:t>
            </w:r>
          </w:p>
          <w:p w14:paraId="581176F4">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12.4</w:t>
            </w:r>
            <w:r>
              <w:rPr>
                <w:rFonts w:hint="eastAsia" w:ascii="仿宋" w:hAnsi="仿宋" w:eastAsia="仿宋" w:cs="仿宋"/>
                <w:color w:val="auto"/>
                <w:sz w:val="21"/>
                <w:szCs w:val="21"/>
                <w:highlight w:val="none"/>
              </w:rPr>
              <w:t>支持上传作品型任务：上传作品任务适用于学生提交作品型成果，如实验图片、图文混排文档等。支持教师在任务中明确作品要求，设置评估角色与评分标准，结合实际教学目标和评分标准，对学生提交内容进行评阅与打分反馈。5）支持学习阶梯型任务</w:t>
            </w:r>
          </w:p>
          <w:p w14:paraId="37ED7B06">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12.5</w:t>
            </w:r>
            <w:r>
              <w:rPr>
                <w:rFonts w:hint="eastAsia" w:ascii="仿宋" w:hAnsi="仿宋" w:eastAsia="仿宋" w:cs="仿宋"/>
                <w:color w:val="auto"/>
                <w:sz w:val="21"/>
                <w:szCs w:val="21"/>
                <w:highlight w:val="none"/>
              </w:rPr>
              <w:t>学习阶梯是一种层层递进的任务设计方式，围绕一个核心问题，支持教师预设多个认知维度。学生需逐步作答、逐层推进，答对当前层级的问题后，才能解锁下一层，实现“按维推进、层层深入”的学习过程，帮助学生在实践中锻炼逻辑、分析与综合能力。</w:t>
            </w:r>
          </w:p>
          <w:p w14:paraId="03C86BE4">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12.6</w:t>
            </w:r>
            <w:r>
              <w:rPr>
                <w:rFonts w:hint="eastAsia" w:ascii="仿宋" w:hAnsi="仿宋" w:eastAsia="仿宋" w:cs="仿宋"/>
                <w:color w:val="auto"/>
                <w:sz w:val="21"/>
                <w:szCs w:val="21"/>
                <w:highlight w:val="none"/>
              </w:rPr>
              <w:t>互动故事</w:t>
            </w:r>
          </w:p>
          <w:p w14:paraId="1E06C286">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将学科知识点转化为可互动的教学剧情，学生通过与故事中的不同AI角色对话还原各类真实专业场景，在沉浸式体验中深化知识理解与应用。</w:t>
            </w:r>
          </w:p>
          <w:p w14:paraId="4B80ACED">
            <w:pPr>
              <w:widowControl/>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12.7</w:t>
            </w:r>
            <w:r>
              <w:rPr>
                <w:rFonts w:hint="eastAsia" w:ascii="仿宋" w:hAnsi="仿宋" w:eastAsia="仿宋" w:cs="仿宋"/>
                <w:color w:val="auto"/>
                <w:sz w:val="21"/>
                <w:szCs w:val="21"/>
                <w:highlight w:val="none"/>
              </w:rPr>
              <w:t>AI思辩擂台：支持设定某一主题的辩论任务，自定义话题、观点、评分标准与对话轮次，学生既可自主选择立场，也可由教师指定。任务开始后，学生将与AI智能体展开实时辩论，各自围绕所选观点进行论证、举证与反驳，以此锻炼学生的逻辑组织、证据运用与多角度分析的能力。辩论结束后，系统将依据教师预先设定的评分标准，由AI对学生的整体表现进行评估并给出结果，帮助学生在实践中提升逻辑思维能力、证据意识和多角度分析问题的能力。</w:t>
            </w:r>
          </w:p>
          <w:p w14:paraId="516EACE8">
            <w:pPr>
              <w:widowControl/>
              <w:numPr>
                <w:ilvl w:val="0"/>
                <w:numId w:val="0"/>
              </w:numPr>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13.AI教学数据采集</w:t>
            </w:r>
          </w:p>
          <w:p w14:paraId="28C4B698">
            <w:pPr>
              <w:widowControl/>
              <w:numPr>
                <w:ilvl w:val="0"/>
                <w:numId w:val="0"/>
              </w:numPr>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13.1任务数据采集工具：支持新建表单、AI 对话创建、Excel 导入、复制已有应用等多方式创建表单采集数据；支持字段显隐规则设置，满足条件时显示对应字段；支持动态审批流程配置，可在业务流转中实时获取节点人员，适配管理员 / 任课教师等做数据采集及业务审批需求，可灵活调整审核人员。</w:t>
            </w:r>
          </w:p>
          <w:p w14:paraId="2BE09DD2">
            <w:pPr>
              <w:widowControl/>
              <w:numPr>
                <w:ilvl w:val="0"/>
                <w:numId w:val="0"/>
              </w:numPr>
              <w:ind w:left="0" w:leftChars="0" w:firstLine="0" w:firstLineChars="0"/>
              <w:jc w:val="left"/>
              <w:rPr>
                <w:rFonts w:hint="eastAsia" w:ascii="仿宋" w:hAnsi="仿宋" w:eastAsia="仿宋" w:cs="仿宋"/>
                <w:color w:val="auto"/>
                <w:sz w:val="22"/>
                <w:u w:val="single"/>
              </w:rPr>
            </w:pPr>
            <w:r>
              <w:rPr>
                <w:rFonts w:hint="eastAsia" w:ascii="仿宋" w:hAnsi="仿宋" w:eastAsia="仿宋" w:cs="仿宋"/>
                <w:color w:val="auto"/>
                <w:sz w:val="21"/>
                <w:szCs w:val="21"/>
                <w:highlight w:val="none"/>
                <w:lang w:val="en-US" w:eastAsia="zh-CN"/>
              </w:rPr>
              <w:t>13.2任务数据填写工具：支持 AI 智能填表，支持粘贴文本或上传文档，由 AI 自动识别关键信息并精准填充至对应表单字段，提升数据填报效率与准确性；支持 AI 公式智能编辑，支持通过自然语言对话方式描述公式需求，系统自动完成公式编写、符号匹配及目标字段自动插入，无需人工手动输入公式及符号，保障公式规范性与填报准确率。</w:t>
            </w:r>
          </w:p>
        </w:tc>
        <w:tc>
          <w:tcPr>
            <w:tcW w:w="601" w:type="dxa"/>
          </w:tcPr>
          <w:p w14:paraId="5BB31047">
            <w:pPr>
              <w:widowControl/>
              <w:jc w:val="left"/>
              <w:rPr>
                <w:rFonts w:hint="eastAsia" w:ascii="仿宋" w:hAnsi="仿宋" w:eastAsia="仿宋" w:cs="仿宋"/>
                <w:b w:val="0"/>
                <w:bCs w:val="0"/>
                <w:color w:val="auto"/>
                <w:sz w:val="21"/>
                <w:szCs w:val="21"/>
                <w:highlight w:val="none"/>
                <w:lang w:val="en-US" w:eastAsia="zh-CN"/>
              </w:rPr>
            </w:pPr>
            <w:r>
              <w:rPr>
                <w:rFonts w:hint="eastAsia" w:ascii="仿宋" w:hAnsi="仿宋" w:eastAsia="仿宋" w:cs="仿宋"/>
                <w:b w:val="0"/>
                <w:bCs w:val="0"/>
                <w:color w:val="auto"/>
                <w:sz w:val="21"/>
                <w:szCs w:val="21"/>
                <w:highlight w:val="none"/>
                <w:lang w:val="en-US" w:eastAsia="zh-CN"/>
              </w:rPr>
              <w:t>1</w:t>
            </w:r>
          </w:p>
        </w:tc>
        <w:tc>
          <w:tcPr>
            <w:tcW w:w="634" w:type="dxa"/>
          </w:tcPr>
          <w:p w14:paraId="0C17C482">
            <w:pPr>
              <w:widowControl/>
              <w:jc w:val="left"/>
              <w:rPr>
                <w:rFonts w:hint="eastAsia" w:ascii="仿宋" w:hAnsi="仿宋" w:eastAsia="仿宋" w:cs="仿宋"/>
                <w:b w:val="0"/>
                <w:bCs w:val="0"/>
                <w:color w:val="auto"/>
                <w:sz w:val="21"/>
                <w:szCs w:val="21"/>
                <w:highlight w:val="none"/>
                <w:lang w:val="en-US" w:eastAsia="zh-CN"/>
              </w:rPr>
            </w:pPr>
            <w:r>
              <w:rPr>
                <w:rFonts w:hint="eastAsia" w:ascii="仿宋" w:hAnsi="仿宋" w:eastAsia="仿宋" w:cs="仿宋"/>
                <w:b w:val="0"/>
                <w:bCs w:val="0"/>
                <w:color w:val="auto"/>
                <w:sz w:val="21"/>
                <w:szCs w:val="21"/>
                <w:highlight w:val="none"/>
                <w:lang w:val="en-US" w:eastAsia="zh-CN"/>
              </w:rPr>
              <w:t>项</w:t>
            </w:r>
          </w:p>
        </w:tc>
        <w:tc>
          <w:tcPr>
            <w:tcW w:w="899" w:type="dxa"/>
            <w:vAlign w:val="center"/>
          </w:tcPr>
          <w:p w14:paraId="2C775AEA">
            <w:pPr>
              <w:spacing w:line="450" w:lineRule="exact"/>
              <w:rPr>
                <w:rFonts w:ascii="仿宋_GB2312" w:hAnsi="宋体" w:eastAsia="仿宋_GB2312" w:cs="仿宋"/>
                <w:color w:val="000000" w:themeColor="text1"/>
                <w:sz w:val="22"/>
                <w14:textFill>
                  <w14:solidFill>
                    <w14:schemeClr w14:val="tx1"/>
                  </w14:solidFill>
                </w14:textFill>
              </w:rPr>
            </w:pPr>
          </w:p>
        </w:tc>
        <w:tc>
          <w:tcPr>
            <w:tcW w:w="982" w:type="dxa"/>
            <w:vAlign w:val="center"/>
          </w:tcPr>
          <w:p w14:paraId="03C4B6BD">
            <w:pPr>
              <w:spacing w:line="450" w:lineRule="exact"/>
              <w:rPr>
                <w:rFonts w:ascii="仿宋_GB2312" w:hAnsi="宋体" w:eastAsia="仿宋_GB2312" w:cs="仿宋"/>
                <w:color w:val="000000" w:themeColor="text1"/>
                <w:sz w:val="22"/>
                <w14:textFill>
                  <w14:solidFill>
                    <w14:schemeClr w14:val="tx1"/>
                  </w14:solidFill>
                </w14:textFill>
              </w:rPr>
            </w:pPr>
          </w:p>
        </w:tc>
      </w:tr>
      <w:tr w14:paraId="72F04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493" w:type="dxa"/>
            <w:vAlign w:val="center"/>
          </w:tcPr>
          <w:p w14:paraId="52588061">
            <w:pPr>
              <w:jc w:val="center"/>
              <w:rPr>
                <w:rFonts w:hint="eastAsia" w:ascii="仿宋" w:hAnsi="仿宋" w:eastAsia="仿宋" w:cs="仿宋"/>
                <w:color w:val="000000" w:themeColor="text1"/>
                <w:sz w:val="22"/>
                <w:lang w:val="en-US" w:eastAsia="zh-CN"/>
                <w14:textFill>
                  <w14:solidFill>
                    <w14:schemeClr w14:val="tx1"/>
                  </w14:solidFill>
                </w14:textFill>
              </w:rPr>
            </w:pPr>
            <w:r>
              <w:rPr>
                <w:rFonts w:hint="eastAsia" w:ascii="仿宋" w:hAnsi="仿宋" w:eastAsia="仿宋" w:cs="仿宋"/>
                <w:color w:val="auto"/>
                <w:sz w:val="21"/>
                <w:szCs w:val="21"/>
                <w:highlight w:val="none"/>
                <w:lang w:val="en-US" w:eastAsia="zh-CN"/>
              </w:rPr>
              <w:t>2</w:t>
            </w:r>
          </w:p>
        </w:tc>
        <w:tc>
          <w:tcPr>
            <w:tcW w:w="1261" w:type="dxa"/>
            <w:vAlign w:val="center"/>
          </w:tcPr>
          <w:p w14:paraId="16352B02">
            <w:pPr>
              <w:widowControl/>
              <w:jc w:val="center"/>
              <w:rPr>
                <w:rFonts w:hint="eastAsia" w:ascii="仿宋" w:hAnsi="仿宋" w:eastAsia="仿宋" w:cs="仿宋"/>
                <w:color w:val="auto"/>
                <w:sz w:val="22"/>
                <w:u w:val="single"/>
              </w:rPr>
            </w:pPr>
            <w:r>
              <w:rPr>
                <w:rFonts w:hint="eastAsia" w:ascii="仿宋" w:hAnsi="仿宋" w:eastAsia="仿宋" w:cs="仿宋"/>
                <w:sz w:val="21"/>
                <w:szCs w:val="21"/>
                <w:highlight w:val="none"/>
              </w:rPr>
              <w:t>《职业规划与就业创业》《管理沟通》等两门智慧课程场景化数字人微课视频建设服务</w:t>
            </w:r>
          </w:p>
        </w:tc>
        <w:tc>
          <w:tcPr>
            <w:tcW w:w="3494" w:type="dxa"/>
            <w:vAlign w:val="center"/>
          </w:tcPr>
          <w:p w14:paraId="43245B92">
            <w:pPr>
              <w:widowControl/>
              <w:jc w:val="left"/>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1.公司提供3D速课制作服务系统，支持1个账号下生成视频总时长为500分钟，并为该账号下配置3个数字人形象定制用于视频的制作。</w:t>
            </w:r>
          </w:p>
          <w:p w14:paraId="301B46BD">
            <w:pPr>
              <w:widowControl/>
              <w:jc w:val="left"/>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2.公司提供数字人形象训练：支持通过5-10分钟训练视频进行数字分身形象的复刻训练，训练生成的数字分身须具备播报能力及肢体动作复刻展示，训练后的形象可同步至速课平台进行使用。</w:t>
            </w:r>
          </w:p>
          <w:p w14:paraId="2DED6CAE">
            <w:pPr>
              <w:widowControl/>
              <w:jc w:val="left"/>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3.公司提供声音训练：支持通过20S训练音频数据对用户音色进行复刻训练，支持数字人音调、语速、音量再调节，训练后的声音可同步至视频生产平台进行使用。</w:t>
            </w:r>
          </w:p>
          <w:p w14:paraId="6DFD5675">
            <w:pPr>
              <w:widowControl/>
              <w:jc w:val="left"/>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4.支持多语种能力，至少支持中文模型、英文模型、中英双语模型；</w:t>
            </w:r>
          </w:p>
          <w:p w14:paraId="6AB58DFD">
            <w:pPr>
              <w:widowControl/>
              <w:jc w:val="left"/>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5.数字分身自定义：用户在进行课程生产过程中，选择好数字分身后可灵活调整数字分身形象大小和位置，制作过程中允许替换数字分身及数字分身的音色及对应语速、音调及音量信息。</w:t>
            </w:r>
          </w:p>
          <w:p w14:paraId="1058DC0A">
            <w:pPr>
              <w:widowControl/>
              <w:jc w:val="left"/>
              <w:rPr>
                <w:rFonts w:hint="eastAsia" w:ascii="仿宋" w:hAnsi="仿宋" w:eastAsia="仿宋" w:cs="仿宋"/>
                <w:color w:val="auto"/>
                <w:sz w:val="22"/>
                <w:u w:val="single"/>
              </w:rPr>
            </w:pPr>
            <w:r>
              <w:rPr>
                <w:rFonts w:hint="eastAsia" w:ascii="仿宋" w:hAnsi="仿宋" w:eastAsia="仿宋" w:cs="仿宋"/>
                <w:sz w:val="21"/>
                <w:szCs w:val="21"/>
                <w:highlight w:val="none"/>
                <w:lang w:val="en-US" w:eastAsia="zh-CN"/>
              </w:rPr>
              <w:t>6.PPT解析：支持通过导入PPT文件的方式，进行3D课程的构建，可快速基于导入的文件快速进行课程制作；支持对ppt每个场景快速预览；支持对数字人的声音和形象属性进行选择和编辑可将设置效果应用至全局。</w:t>
            </w:r>
          </w:p>
        </w:tc>
        <w:tc>
          <w:tcPr>
            <w:tcW w:w="601" w:type="dxa"/>
          </w:tcPr>
          <w:p w14:paraId="6E17DFCF">
            <w:pPr>
              <w:spacing w:line="450" w:lineRule="exact"/>
              <w:rPr>
                <w:rFonts w:hint="eastAsia" w:ascii="仿宋_GB2312" w:hAnsi="宋体" w:eastAsia="仿宋_GB2312" w:cs="仿宋"/>
                <w:color w:val="000000" w:themeColor="text1"/>
                <w:sz w:val="22"/>
                <w:lang w:val="en-US" w:eastAsia="zh-CN"/>
                <w14:textFill>
                  <w14:solidFill>
                    <w14:schemeClr w14:val="tx1"/>
                  </w14:solidFill>
                </w14:textFill>
              </w:rPr>
            </w:pPr>
            <w:r>
              <w:rPr>
                <w:rFonts w:hint="eastAsia" w:ascii="仿宋_GB2312" w:hAnsi="宋体" w:eastAsia="仿宋_GB2312" w:cs="仿宋"/>
                <w:color w:val="000000" w:themeColor="text1"/>
                <w:sz w:val="22"/>
                <w:lang w:val="en-US" w:eastAsia="zh-CN"/>
                <w14:textFill>
                  <w14:solidFill>
                    <w14:schemeClr w14:val="tx1"/>
                  </w14:solidFill>
                </w14:textFill>
              </w:rPr>
              <w:t>1</w:t>
            </w:r>
          </w:p>
        </w:tc>
        <w:tc>
          <w:tcPr>
            <w:tcW w:w="634" w:type="dxa"/>
          </w:tcPr>
          <w:p w14:paraId="5A5B5529">
            <w:pPr>
              <w:spacing w:line="450" w:lineRule="exact"/>
              <w:rPr>
                <w:rFonts w:hint="eastAsia" w:ascii="仿宋_GB2312" w:hAnsi="宋体" w:eastAsia="仿宋_GB2312" w:cs="仿宋"/>
                <w:color w:val="000000" w:themeColor="text1"/>
                <w:sz w:val="22"/>
                <w:lang w:val="en-US" w:eastAsia="zh-CN"/>
                <w14:textFill>
                  <w14:solidFill>
                    <w14:schemeClr w14:val="tx1"/>
                  </w14:solidFill>
                </w14:textFill>
              </w:rPr>
            </w:pPr>
            <w:r>
              <w:rPr>
                <w:rFonts w:hint="eastAsia" w:ascii="仿宋_GB2312" w:hAnsi="宋体" w:eastAsia="仿宋_GB2312" w:cs="仿宋"/>
                <w:color w:val="000000" w:themeColor="text1"/>
                <w:sz w:val="22"/>
                <w:lang w:val="en-US" w:eastAsia="zh-CN"/>
                <w14:textFill>
                  <w14:solidFill>
                    <w14:schemeClr w14:val="tx1"/>
                  </w14:solidFill>
                </w14:textFill>
              </w:rPr>
              <w:t>项</w:t>
            </w:r>
          </w:p>
        </w:tc>
        <w:tc>
          <w:tcPr>
            <w:tcW w:w="899" w:type="dxa"/>
            <w:vAlign w:val="center"/>
          </w:tcPr>
          <w:p w14:paraId="3F9C07CD">
            <w:pPr>
              <w:spacing w:line="450" w:lineRule="exact"/>
              <w:rPr>
                <w:rFonts w:ascii="仿宋_GB2312" w:hAnsi="宋体" w:eastAsia="仿宋_GB2312" w:cs="仿宋"/>
                <w:color w:val="000000" w:themeColor="text1"/>
                <w:sz w:val="22"/>
                <w14:textFill>
                  <w14:solidFill>
                    <w14:schemeClr w14:val="tx1"/>
                  </w14:solidFill>
                </w14:textFill>
              </w:rPr>
            </w:pPr>
          </w:p>
        </w:tc>
        <w:tc>
          <w:tcPr>
            <w:tcW w:w="982" w:type="dxa"/>
            <w:vAlign w:val="center"/>
          </w:tcPr>
          <w:p w14:paraId="29DAC6E2">
            <w:pPr>
              <w:spacing w:line="450" w:lineRule="exact"/>
              <w:rPr>
                <w:rFonts w:ascii="仿宋_GB2312" w:hAnsi="宋体" w:eastAsia="仿宋_GB2312" w:cs="仿宋"/>
                <w:color w:val="000000" w:themeColor="text1"/>
                <w:sz w:val="22"/>
                <w14:textFill>
                  <w14:solidFill>
                    <w14:schemeClr w14:val="tx1"/>
                  </w14:solidFill>
                </w14:textFill>
              </w:rPr>
            </w:pPr>
          </w:p>
        </w:tc>
      </w:tr>
      <w:tr w14:paraId="46363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8364" w:type="dxa"/>
            <w:gridSpan w:val="7"/>
            <w:vAlign w:val="center"/>
          </w:tcPr>
          <w:p w14:paraId="0D9969E2">
            <w:pPr>
              <w:spacing w:line="450" w:lineRule="exact"/>
              <w:rPr>
                <w:rFonts w:ascii="仿宋_GB2312" w:hAnsi="宋体" w:eastAsia="仿宋_GB2312" w:cs="仿宋"/>
                <w:color w:val="000000" w:themeColor="text1"/>
                <w:sz w:val="22"/>
                <w14:textFill>
                  <w14:solidFill>
                    <w14:schemeClr w14:val="tx1"/>
                  </w14:solidFill>
                </w14:textFill>
              </w:rPr>
            </w:pPr>
            <w:r>
              <w:rPr>
                <w:rFonts w:hint="eastAsia" w:ascii="仿宋_GB2312" w:hAnsi="宋体" w:eastAsia="仿宋_GB2312" w:cs="仿宋"/>
                <w:color w:val="000000" w:themeColor="text1"/>
                <w:sz w:val="22"/>
                <w14:textFill>
                  <w14:solidFill>
                    <w14:schemeClr w14:val="tx1"/>
                  </w14:solidFill>
                </w14:textFill>
              </w:rPr>
              <w:t xml:space="preserve">合计金额（人民币大写）                             （¥              ） </w:t>
            </w:r>
          </w:p>
        </w:tc>
      </w:tr>
    </w:tbl>
    <w:p w14:paraId="785BB60B">
      <w:pPr>
        <w:spacing w:line="560" w:lineRule="exact"/>
        <w:ind w:right="-153" w:rightChars="-73" w:firstLine="640" w:firstLineChars="200"/>
        <w:rPr>
          <w:rFonts w:ascii="仿宋_GB2312" w:hAnsi="宋体" w:eastAsia="仿宋_GB2312" w:cs="宋体"/>
          <w:color w:val="000000" w:themeColor="text1"/>
          <w:sz w:val="32"/>
          <w:szCs w:val="32"/>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2.合同合计金额</w:t>
      </w:r>
      <w:r>
        <w:rPr>
          <w:rFonts w:hint="eastAsia" w:ascii="仿宋_GB2312" w:hAnsi="宋体" w:eastAsia="仿宋_GB2312" w:cs="宋体"/>
          <w:color w:val="000000" w:themeColor="text1"/>
          <w:sz w:val="32"/>
          <w:szCs w:val="32"/>
          <w14:textFill>
            <w14:solidFill>
              <w14:schemeClr w14:val="tx1"/>
            </w14:solidFill>
          </w14:textFill>
        </w:rPr>
        <w:t>包含乙方为履行本合同而发生的所有费用，包括但不限于：</w:t>
      </w:r>
      <w:r>
        <w:rPr>
          <w:rFonts w:hint="eastAsia" w:ascii="仿宋_GB2312" w:hAnsi="宋体" w:eastAsia="仿宋_GB2312"/>
          <w:color w:val="000000" w:themeColor="text1"/>
          <w:kern w:val="0"/>
          <w:sz w:val="32"/>
          <w:szCs w:val="32"/>
          <w14:textFill>
            <w14:solidFill>
              <w14:schemeClr w14:val="tx1"/>
            </w14:solidFill>
          </w14:textFill>
        </w:rPr>
        <w:t>技术培训及技术资料、</w:t>
      </w:r>
      <w:r>
        <w:rPr>
          <w:rFonts w:hint="eastAsia" w:ascii="仿宋_GB2312" w:hAnsi="宋体" w:eastAsia="仿宋_GB2312" w:cs="宋体"/>
          <w:color w:val="000000" w:themeColor="text1"/>
          <w:sz w:val="32"/>
          <w:szCs w:val="32"/>
          <w14:textFill>
            <w14:solidFill>
              <w14:schemeClr w14:val="tx1"/>
            </w14:solidFill>
          </w14:textFill>
        </w:rPr>
        <w:t>劳务、差旅、设备使用、材料、运输、保险、税金等。甲方不再另行支付其他任何费用。</w:t>
      </w:r>
    </w:p>
    <w:p w14:paraId="0FC8C4BD">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第二条  技术资料</w:t>
      </w:r>
    </w:p>
    <w:p w14:paraId="37E71FC6">
      <w:pPr>
        <w:spacing w:line="560" w:lineRule="exact"/>
        <w:ind w:firstLine="640" w:firstLineChars="200"/>
        <w:rPr>
          <w:rFonts w:ascii="仿宋_GB2312" w:hAnsi="宋体" w:eastAsia="仿宋_GB2312"/>
          <w:color w:val="000000" w:themeColor="text1"/>
          <w:kern w:val="0"/>
          <w:sz w:val="32"/>
          <w:szCs w:val="32"/>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1.甲方应向乙方提供提交服务成果所必需的有关数据、资料等。</w:t>
      </w:r>
    </w:p>
    <w:p w14:paraId="574836A6">
      <w:pPr>
        <w:tabs>
          <w:tab w:val="left" w:pos="0"/>
        </w:tabs>
        <w:spacing w:line="560" w:lineRule="exact"/>
        <w:ind w:firstLine="640" w:firstLineChars="200"/>
        <w:rPr>
          <w:rFonts w:ascii="仿宋_GB2312" w:hAnsi="宋体" w:eastAsia="仿宋_GB2312"/>
          <w:color w:val="000000" w:themeColor="text1"/>
          <w:kern w:val="0"/>
          <w:sz w:val="32"/>
          <w:szCs w:val="32"/>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2.未经甲方事先书面同意，乙方不得将由甲方提供的有关合同或任何合同条文、规格、计划、图纸、样品或资料提供给与履行本合同无关的任何其他人。即使</w:t>
      </w:r>
      <w:bookmarkStart w:id="2" w:name="_GoBack"/>
      <w:bookmarkEnd w:id="2"/>
      <w:r>
        <w:rPr>
          <w:rFonts w:hint="eastAsia" w:ascii="仿宋_GB2312" w:hAnsi="宋体" w:eastAsia="仿宋_GB2312"/>
          <w:color w:val="000000" w:themeColor="text1"/>
          <w:kern w:val="0"/>
          <w:sz w:val="32"/>
          <w:szCs w:val="32"/>
          <w14:textFill>
            <w14:solidFill>
              <w14:schemeClr w14:val="tx1"/>
            </w14:solidFill>
          </w14:textFill>
        </w:rPr>
        <w:t>向履行本合同有关的人员提供，也应注意保密并限于履行合同的必需范围。</w:t>
      </w:r>
    </w:p>
    <w:p w14:paraId="395C89DC">
      <w:pPr>
        <w:tabs>
          <w:tab w:val="left" w:pos="0"/>
        </w:tabs>
        <w:spacing w:line="560" w:lineRule="exact"/>
        <w:ind w:firstLine="640" w:firstLineChars="200"/>
        <w:rPr>
          <w:rFonts w:ascii="仿宋_GB2312" w:hAnsi="仿宋" w:eastAsia="仿宋_GB2312" w:cs="仿宋"/>
          <w:color w:val="000000" w:themeColor="text1"/>
          <w:kern w:val="0"/>
          <w:sz w:val="32"/>
          <w:szCs w:val="32"/>
          <w14:textFill>
            <w14:solidFill>
              <w14:schemeClr w14:val="tx1"/>
            </w14:solidFill>
          </w14:textFill>
        </w:rPr>
      </w:pPr>
      <w:r>
        <w:rPr>
          <w:rFonts w:hint="eastAsia" w:ascii="仿宋_GB2312" w:hAnsi="宋体" w:eastAsia="仿宋_GB2312"/>
          <w:color w:val="000000" w:themeColor="text1"/>
          <w:kern w:val="0"/>
          <w:sz w:val="32"/>
          <w:szCs w:val="32"/>
          <w14:textFill>
            <w14:solidFill>
              <w14:schemeClr w14:val="tx1"/>
            </w14:solidFill>
          </w14:textFill>
        </w:rPr>
        <w:t>3.乙方应在收到甲方的相关数据、资料后应进行核对，乙方发现甲方提供的资料、数据等有明显错误或者缺陷的，应在3个工作日内通知甲方，若未在该期限内通知甲方，视为对甲方提供的资料、数据予以认可。若以此作为依据做出的服务成果给甲方造成损失的，由乙方承担责任。</w:t>
      </w:r>
    </w:p>
    <w:p w14:paraId="3C979F46">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第三条  知识产权</w:t>
      </w:r>
    </w:p>
    <w:p w14:paraId="7C4F36CF">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1.乙方应保证所提供的服务或其任何一部分均不会侵犯任何第三方的知识产权及其他权利。其服务成果的所有权由</w:t>
      </w:r>
      <w:r>
        <w:rPr>
          <w:rFonts w:hint="eastAsia" w:ascii="仿宋_GB2312" w:hAnsi="宋体" w:eastAsia="仿宋_GB2312"/>
          <w:color w:val="000000" w:themeColor="text1"/>
          <w:sz w:val="32"/>
          <w:szCs w:val="32"/>
          <w14:textFill>
            <w14:solidFill>
              <w14:schemeClr w14:val="tx1"/>
            </w14:solidFill>
          </w14:textFill>
        </w:rPr>
        <w:br w:type="textWrapping"/>
      </w:r>
      <w:r>
        <w:rPr>
          <w:rFonts w:hint="eastAsia" w:ascii="仿宋_GB2312" w:hAnsi="宋体" w:eastAsia="仿宋_GB2312"/>
          <w:color w:val="000000" w:themeColor="text1"/>
          <w:sz w:val="32"/>
          <w:szCs w:val="32"/>
          <w14:textFill>
            <w14:solidFill>
              <w14:schemeClr w14:val="tx1"/>
            </w14:solidFill>
          </w14:textFill>
        </w:rPr>
        <w:t>甲方享有。否则，乙方应向甲方承担违约责任及赔偿由此给</w:t>
      </w:r>
      <w:r>
        <w:rPr>
          <w:rFonts w:hint="eastAsia" w:ascii="仿宋_GB2312" w:hAnsi="宋体" w:eastAsia="仿宋_GB2312"/>
          <w:color w:val="000000" w:themeColor="text1"/>
          <w:sz w:val="32"/>
          <w:szCs w:val="32"/>
          <w14:textFill>
            <w14:solidFill>
              <w14:schemeClr w14:val="tx1"/>
            </w14:solidFill>
          </w14:textFill>
        </w:rPr>
        <w:br w:type="textWrapping"/>
      </w:r>
      <w:r>
        <w:rPr>
          <w:rFonts w:hint="eastAsia" w:ascii="仿宋_GB2312" w:hAnsi="宋体" w:eastAsia="仿宋_GB2312"/>
          <w:color w:val="000000" w:themeColor="text1"/>
          <w:sz w:val="32"/>
          <w:szCs w:val="32"/>
          <w14:textFill>
            <w14:solidFill>
              <w14:schemeClr w14:val="tx1"/>
            </w14:solidFill>
          </w14:textFill>
        </w:rPr>
        <w:t>甲方造成的名誉及经济损失。</w:t>
      </w:r>
    </w:p>
    <w:p w14:paraId="05B87562">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2.乙方保证所交付服务的所有权完全属于乙方且无任何抵押、查封等产权瑕疵。如乙方所交付服务有产权瑕疵的，视为乙方违约，乙方</w:t>
      </w:r>
      <w:r>
        <w:rPr>
          <w:rFonts w:hint="eastAsia" w:ascii="仿宋_GB2312" w:hAnsi="宋体" w:eastAsia="仿宋_GB2312"/>
          <w:color w:val="000000" w:themeColor="text1"/>
          <w:sz w:val="32"/>
          <w:szCs w:val="32"/>
          <w:lang w:val="en-US" w:eastAsia="zh-CN"/>
          <w14:textFill>
            <w14:solidFill>
              <w14:schemeClr w14:val="tx1"/>
            </w14:solidFill>
          </w14:textFill>
        </w:rPr>
        <w:t>应按合同约定</w:t>
      </w:r>
      <w:r>
        <w:rPr>
          <w:rFonts w:hint="eastAsia" w:ascii="仿宋_GB2312" w:hAnsi="宋体" w:eastAsia="仿宋_GB2312"/>
          <w:color w:val="000000" w:themeColor="text1"/>
          <w:sz w:val="32"/>
          <w:szCs w:val="32"/>
          <w14:textFill>
            <w14:solidFill>
              <w14:schemeClr w14:val="tx1"/>
            </w14:solidFill>
          </w14:textFill>
        </w:rPr>
        <w:t>支付违约金</w:t>
      </w:r>
      <w:r>
        <w:rPr>
          <w:rFonts w:hint="eastAsia" w:ascii="仿宋_GB2312" w:hAnsi="宋体" w:eastAsia="仿宋_GB2312"/>
          <w:color w:val="000000" w:themeColor="text1"/>
          <w:sz w:val="32"/>
          <w:szCs w:val="32"/>
          <w:lang w:val="en-US" w:eastAsia="zh-CN"/>
          <w14:textFill>
            <w14:solidFill>
              <w14:schemeClr w14:val="tx1"/>
            </w14:solidFill>
          </w14:textFill>
        </w:rPr>
        <w:t>及</w:t>
      </w:r>
      <w:r>
        <w:rPr>
          <w:rFonts w:hint="eastAsia" w:ascii="仿宋_GB2312" w:hAnsi="宋体" w:eastAsia="仿宋_GB2312"/>
          <w:color w:val="000000" w:themeColor="text1"/>
          <w:sz w:val="32"/>
          <w:szCs w:val="32"/>
          <w14:textFill>
            <w14:solidFill>
              <w14:schemeClr w14:val="tx1"/>
            </w14:solidFill>
          </w14:textFill>
        </w:rPr>
        <w:t>承担甲方由此产生的一切损失。</w:t>
      </w:r>
    </w:p>
    <w:p w14:paraId="34AB003E">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第四条  交付时间和地点</w:t>
      </w:r>
    </w:p>
    <w:p w14:paraId="62819234">
      <w:pPr>
        <w:pStyle w:val="4"/>
        <w:tabs>
          <w:tab w:val="left" w:pos="5250"/>
          <w:tab w:val="left" w:pos="5940"/>
        </w:tabs>
        <w:spacing w:line="560" w:lineRule="exact"/>
        <w:ind w:firstLine="627" w:firstLineChars="196"/>
        <w:rPr>
          <w:rFonts w:ascii="仿宋_GB2312" w:eastAsia="仿宋_GB2312" w:cs="宋体" w:hAnsiTheme="minorHAnsi"/>
          <w:color w:val="000000" w:themeColor="text1"/>
          <w:kern w:val="2"/>
          <w:sz w:val="32"/>
          <w:szCs w:val="32"/>
          <w14:textFill>
            <w14:solidFill>
              <w14:schemeClr w14:val="tx1"/>
            </w14:solidFill>
          </w14:textFill>
        </w:rPr>
      </w:pPr>
      <w:r>
        <w:rPr>
          <w:rFonts w:hint="eastAsia" w:ascii="仿宋_GB2312" w:eastAsia="仿宋_GB2312" w:cs="宋体" w:hAnsiTheme="minorEastAsia"/>
          <w:color w:val="000000" w:themeColor="text1"/>
          <w:kern w:val="2"/>
          <w:sz w:val="32"/>
          <w:szCs w:val="32"/>
          <w14:textFill>
            <w14:solidFill>
              <w14:schemeClr w14:val="tx1"/>
            </w14:solidFill>
          </w14:textFill>
        </w:rPr>
        <w:t>1.</w:t>
      </w:r>
      <w:r>
        <w:rPr>
          <w:rFonts w:hint="eastAsia" w:ascii="仿宋_GB2312" w:eastAsia="仿宋_GB2312" w:cs="宋体" w:hAnsiTheme="minorHAnsi"/>
          <w:color w:val="000000" w:themeColor="text1"/>
          <w:kern w:val="2"/>
          <w:sz w:val="32"/>
          <w:szCs w:val="32"/>
          <w14:textFill>
            <w14:solidFill>
              <w14:schemeClr w14:val="tx1"/>
            </w14:solidFill>
          </w14:textFill>
        </w:rPr>
        <w:t>交付时间：</w:t>
      </w:r>
      <w:r>
        <w:rPr>
          <w:rFonts w:hint="eastAsia" w:ascii="仿宋_GB2312" w:eastAsia="仿宋_GB2312" w:cs="宋体" w:hAnsiTheme="minorHAnsi"/>
          <w:color w:val="000000" w:themeColor="text1"/>
          <w:kern w:val="2"/>
          <w:sz w:val="32"/>
          <w:szCs w:val="32"/>
          <w:u w:val="single"/>
          <w14:textFill>
            <w14:solidFill>
              <w14:schemeClr w14:val="tx1"/>
            </w14:solidFill>
          </w14:textFill>
        </w:rPr>
        <w:t xml:space="preserve">                                 </w:t>
      </w:r>
    </w:p>
    <w:p w14:paraId="075F1F16">
      <w:pPr>
        <w:pStyle w:val="4"/>
        <w:tabs>
          <w:tab w:val="left" w:pos="5940"/>
        </w:tabs>
        <w:spacing w:line="560" w:lineRule="exact"/>
        <w:ind w:firstLine="627" w:firstLineChars="196"/>
        <w:rPr>
          <w:rFonts w:ascii="仿宋_GB2312" w:eastAsia="仿宋_GB2312" w:cs="宋体" w:hAnsiTheme="minorHAnsi"/>
          <w:color w:val="000000" w:themeColor="text1"/>
          <w:kern w:val="2"/>
          <w:sz w:val="32"/>
          <w:szCs w:val="32"/>
          <w14:textFill>
            <w14:solidFill>
              <w14:schemeClr w14:val="tx1"/>
            </w14:solidFill>
          </w14:textFill>
        </w:rPr>
      </w:pPr>
      <w:r>
        <w:rPr>
          <w:rFonts w:hint="eastAsia" w:ascii="仿宋_GB2312" w:eastAsia="仿宋_GB2312" w:cs="宋体" w:hAnsiTheme="minorEastAsia"/>
          <w:color w:val="000000" w:themeColor="text1"/>
          <w:kern w:val="2"/>
          <w:sz w:val="32"/>
          <w:szCs w:val="32"/>
          <w14:textFill>
            <w14:solidFill>
              <w14:schemeClr w14:val="tx1"/>
            </w14:solidFill>
          </w14:textFill>
        </w:rPr>
        <w:t>2.</w:t>
      </w:r>
      <w:r>
        <w:rPr>
          <w:rFonts w:hint="eastAsia" w:ascii="仿宋_GB2312" w:eastAsia="仿宋_GB2312" w:cs="宋体" w:hAnsiTheme="minorHAnsi"/>
          <w:color w:val="000000" w:themeColor="text1"/>
          <w:kern w:val="2"/>
          <w:sz w:val="32"/>
          <w:szCs w:val="32"/>
          <w14:textFill>
            <w14:solidFill>
              <w14:schemeClr w14:val="tx1"/>
            </w14:solidFill>
          </w14:textFill>
        </w:rPr>
        <w:t>交付地点及对接人：</w:t>
      </w:r>
      <w:r>
        <w:rPr>
          <w:rFonts w:hint="eastAsia" w:ascii="仿宋_GB2312" w:eastAsia="仿宋_GB2312" w:cs="宋体" w:hAnsiTheme="minorHAnsi"/>
          <w:color w:val="000000" w:themeColor="text1"/>
          <w:kern w:val="2"/>
          <w:sz w:val="32"/>
          <w:szCs w:val="32"/>
          <w:u w:val="single"/>
          <w14:textFill>
            <w14:solidFill>
              <w14:schemeClr w14:val="tx1"/>
            </w14:solidFill>
          </w14:textFill>
        </w:rPr>
        <w:t xml:space="preserve">                                  </w:t>
      </w:r>
    </w:p>
    <w:p w14:paraId="33ABEA0E">
      <w:pPr>
        <w:pStyle w:val="4"/>
        <w:tabs>
          <w:tab w:val="left" w:pos="5940"/>
        </w:tabs>
        <w:spacing w:line="560" w:lineRule="exact"/>
        <w:ind w:firstLine="627" w:firstLineChars="196"/>
        <w:rPr>
          <w:rFonts w:ascii="仿宋_GB2312" w:eastAsia="仿宋_GB2312" w:cs="宋体" w:hAnsiTheme="minorHAnsi"/>
          <w:color w:val="000000" w:themeColor="text1"/>
          <w:kern w:val="2"/>
          <w:sz w:val="32"/>
          <w:szCs w:val="32"/>
          <w14:textFill>
            <w14:solidFill>
              <w14:schemeClr w14:val="tx1"/>
            </w14:solidFill>
          </w14:textFill>
        </w:rPr>
      </w:pPr>
      <w:r>
        <w:rPr>
          <w:rFonts w:hint="eastAsia" w:ascii="仿宋_GB2312" w:eastAsia="仿宋_GB2312" w:cs="宋体" w:hAnsiTheme="minorEastAsia"/>
          <w:color w:val="000000" w:themeColor="text1"/>
          <w:kern w:val="2"/>
          <w:sz w:val="32"/>
          <w:szCs w:val="32"/>
          <w14:textFill>
            <w14:solidFill>
              <w14:schemeClr w14:val="tx1"/>
            </w14:solidFill>
          </w14:textFill>
        </w:rPr>
        <w:t>3.</w:t>
      </w:r>
      <w:r>
        <w:rPr>
          <w:rFonts w:hint="eastAsia" w:ascii="仿宋_GB2312" w:eastAsia="仿宋_GB2312" w:cs="宋体" w:hAnsiTheme="minorHAnsi"/>
          <w:color w:val="000000" w:themeColor="text1"/>
          <w:kern w:val="2"/>
          <w:sz w:val="32"/>
          <w:szCs w:val="32"/>
          <w14:textFill>
            <w14:solidFill>
              <w14:schemeClr w14:val="tx1"/>
            </w14:solidFill>
          </w14:textFill>
        </w:rPr>
        <w:t>服 务 期 限：</w:t>
      </w:r>
      <w:r>
        <w:rPr>
          <w:rFonts w:hint="eastAsia" w:ascii="仿宋_GB2312" w:eastAsia="仿宋_GB2312" w:cs="宋体" w:hAnsiTheme="minorHAnsi"/>
          <w:color w:val="000000" w:themeColor="text1"/>
          <w:kern w:val="2"/>
          <w:sz w:val="32"/>
          <w:szCs w:val="32"/>
          <w:u w:val="single"/>
          <w14:textFill>
            <w14:solidFill>
              <w14:schemeClr w14:val="tx1"/>
            </w14:solidFill>
          </w14:textFill>
        </w:rPr>
        <w:t xml:space="preserve">                                  </w:t>
      </w:r>
    </w:p>
    <w:p w14:paraId="18F08E77">
      <w:pPr>
        <w:pStyle w:val="4"/>
        <w:tabs>
          <w:tab w:val="left" w:pos="5940"/>
        </w:tabs>
        <w:spacing w:line="560" w:lineRule="exact"/>
        <w:ind w:firstLine="627" w:firstLineChars="196"/>
        <w:rPr>
          <w:rFonts w:ascii="仿宋_GB2312" w:eastAsia="仿宋_GB2312" w:cs="宋体" w:hAnsiTheme="minorHAnsi"/>
          <w:color w:val="000000" w:themeColor="text1"/>
          <w:kern w:val="2"/>
          <w:sz w:val="32"/>
          <w:szCs w:val="32"/>
          <w14:textFill>
            <w14:solidFill>
              <w14:schemeClr w14:val="tx1"/>
            </w14:solidFill>
          </w14:textFill>
        </w:rPr>
      </w:pPr>
      <w:r>
        <w:rPr>
          <w:rFonts w:hint="eastAsia" w:ascii="仿宋_GB2312" w:eastAsia="仿宋_GB2312" w:cs="宋体" w:hAnsiTheme="minorEastAsia"/>
          <w:color w:val="000000" w:themeColor="text1"/>
          <w:kern w:val="2"/>
          <w:sz w:val="32"/>
          <w:szCs w:val="32"/>
          <w14:textFill>
            <w14:solidFill>
              <w14:schemeClr w14:val="tx1"/>
            </w14:solidFill>
          </w14:textFill>
        </w:rPr>
        <w:t>4.</w:t>
      </w:r>
      <w:r>
        <w:rPr>
          <w:rFonts w:hint="eastAsia" w:ascii="仿宋_GB2312" w:eastAsia="仿宋_GB2312" w:cs="宋体" w:hAnsiTheme="minorHAnsi"/>
          <w:color w:val="000000" w:themeColor="text1"/>
          <w:kern w:val="2"/>
          <w:sz w:val="32"/>
          <w:szCs w:val="32"/>
          <w14:textFill>
            <w14:solidFill>
              <w14:schemeClr w14:val="tx1"/>
            </w14:solidFill>
          </w14:textFill>
        </w:rPr>
        <w:t>乙方必须按响应文件承诺的服务相应条款向甲方提供服务。</w:t>
      </w:r>
    </w:p>
    <w:p w14:paraId="3B857084">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第五条  双方权利与义务（按项目实际提炼甲乙方权利义务的内容）</w:t>
      </w:r>
    </w:p>
    <w:p w14:paraId="2C337016">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（一）甲方权利与义务</w:t>
      </w:r>
    </w:p>
    <w:p w14:paraId="0821EFC3">
      <w:pPr>
        <w:spacing w:line="560" w:lineRule="exact"/>
        <w:ind w:firstLine="640" w:firstLineChars="20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1.</w:t>
      </w:r>
      <w:r>
        <w:rPr>
          <w:rFonts w:hint="eastAsia" w:ascii="仿宋_GB2312" w:hAnsi="宋体" w:eastAsia="仿宋_GB2312"/>
          <w:color w:val="000000" w:themeColor="text1"/>
          <w:sz w:val="32"/>
          <w:szCs w:val="32"/>
          <w14:textFill>
            <w14:solidFill>
              <w14:schemeClr w14:val="tx1"/>
            </w14:solidFill>
          </w14:textFill>
        </w:rPr>
        <w:t>甲方有权对所制作的课程产品进行内容审查与质量监督，有权要求乙方解决课程运行过程中出现的一系列技术问题。</w:t>
      </w:r>
    </w:p>
    <w:p w14:paraId="58EEBAED">
      <w:pPr>
        <w:spacing w:line="560" w:lineRule="exact"/>
        <w:ind w:firstLine="640" w:firstLineChars="20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2.</w:t>
      </w:r>
      <w:r>
        <w:rPr>
          <w:rFonts w:hint="eastAsia" w:ascii="仿宋_GB2312" w:hAnsi="宋体" w:eastAsia="仿宋_GB2312"/>
          <w:color w:val="000000" w:themeColor="text1"/>
          <w:sz w:val="32"/>
          <w:szCs w:val="32"/>
          <w14:textFill>
            <w14:solidFill>
              <w14:schemeClr w14:val="tx1"/>
            </w14:solidFill>
          </w14:textFill>
        </w:rPr>
        <w:t>甲方有权参与乙方开展课程运行使用培训、监督与管理等工作。</w:t>
      </w:r>
    </w:p>
    <w:p w14:paraId="6873F603">
      <w:pPr>
        <w:spacing w:line="560" w:lineRule="exact"/>
        <w:ind w:firstLine="640" w:firstLineChars="20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3.</w:t>
      </w:r>
      <w:r>
        <w:rPr>
          <w:rFonts w:hint="eastAsia" w:ascii="仿宋_GB2312" w:hAnsi="宋体" w:eastAsia="仿宋_GB2312"/>
          <w:color w:val="000000" w:themeColor="text1"/>
          <w:sz w:val="32"/>
          <w:szCs w:val="32"/>
          <w14:textFill>
            <w14:solidFill>
              <w14:schemeClr w14:val="tx1"/>
            </w14:solidFill>
          </w14:textFill>
        </w:rPr>
        <w:t>甲方享有完成制作后课程及参赛成果的著作权。未经甲方许可，乙方不得以任何形式擅自使用或复制该课程及参赛成果的任何内容，也不得许可任何人以行使版权的方式对本合同约定的标准进行使用，否则，甲方有权依法追究法律责任。</w:t>
      </w:r>
    </w:p>
    <w:p w14:paraId="54549D5E">
      <w:pPr>
        <w:spacing w:line="560" w:lineRule="exact"/>
        <w:ind w:firstLine="640" w:firstLineChars="20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4.</w:t>
      </w:r>
      <w:r>
        <w:rPr>
          <w:rFonts w:hint="eastAsia" w:ascii="仿宋_GB2312" w:hAnsi="宋体" w:eastAsia="仿宋_GB2312"/>
          <w:color w:val="000000" w:themeColor="text1"/>
          <w:sz w:val="32"/>
          <w:szCs w:val="32"/>
          <w14:textFill>
            <w14:solidFill>
              <w14:schemeClr w14:val="tx1"/>
            </w14:solidFill>
          </w14:textFill>
        </w:rPr>
        <w:t>甲方配合乙方完成课程的制作工作及提供没有版权争议的素材、资料。</w:t>
      </w:r>
    </w:p>
    <w:p w14:paraId="5861E98F">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5.</w:t>
      </w:r>
      <w:r>
        <w:rPr>
          <w:rFonts w:hint="eastAsia" w:ascii="仿宋_GB2312" w:hAnsi="宋体" w:eastAsia="仿宋_GB2312"/>
          <w:color w:val="000000" w:themeColor="text1"/>
          <w:sz w:val="32"/>
          <w:szCs w:val="32"/>
          <w14:textFill>
            <w14:solidFill>
              <w14:schemeClr w14:val="tx1"/>
            </w14:solidFill>
          </w14:textFill>
        </w:rPr>
        <w:t>甲方所制作的课程需承诺无意识形态问题，否则，乙方有权停止项目制作直至甲方意识形态问题解决。</w:t>
      </w:r>
    </w:p>
    <w:p w14:paraId="47F44CA7">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（二）</w:t>
      </w:r>
      <w:r>
        <w:rPr>
          <w:rFonts w:hint="eastAsia"/>
        </w:rPr>
        <w:t xml:space="preserve"> </w:t>
      </w:r>
      <w:r>
        <w:rPr>
          <w:rFonts w:hint="eastAsia" w:ascii="仿宋_GB2312" w:hAnsi="宋体" w:eastAsia="仿宋_GB2312"/>
          <w:color w:val="000000" w:themeColor="text1"/>
          <w:sz w:val="32"/>
          <w:szCs w:val="32"/>
          <w14:textFill>
            <w14:solidFill>
              <w14:schemeClr w14:val="tx1"/>
            </w14:solidFill>
          </w14:textFill>
        </w:rPr>
        <w:t>乙方权利与义务</w:t>
      </w:r>
    </w:p>
    <w:p w14:paraId="737256E9">
      <w:pPr>
        <w:spacing w:line="560" w:lineRule="exact"/>
        <w:ind w:firstLine="640" w:firstLineChars="20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1.</w:t>
      </w:r>
      <w:r>
        <w:rPr>
          <w:rFonts w:hint="eastAsia" w:ascii="仿宋_GB2312" w:hAnsi="宋体" w:eastAsia="仿宋_GB2312"/>
          <w:color w:val="000000" w:themeColor="text1"/>
          <w:sz w:val="32"/>
          <w:szCs w:val="32"/>
          <w14:textFill>
            <w14:solidFill>
              <w14:schemeClr w14:val="tx1"/>
            </w14:solidFill>
          </w14:textFill>
        </w:rPr>
        <w:t>乙方负责设计课程体系，妥善解决课程版权问题与质量问题，按时按照有关要求向甲方开通课程运行服务并确保使用效果。</w:t>
      </w:r>
    </w:p>
    <w:p w14:paraId="5E8BD0B1">
      <w:pPr>
        <w:spacing w:line="560" w:lineRule="exact"/>
        <w:ind w:firstLine="640" w:firstLineChars="20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2.</w:t>
      </w:r>
      <w:r>
        <w:rPr>
          <w:rFonts w:hint="eastAsia" w:ascii="仿宋_GB2312" w:hAnsi="宋体" w:eastAsia="仿宋_GB2312"/>
          <w:color w:val="000000" w:themeColor="text1"/>
          <w:sz w:val="32"/>
          <w:szCs w:val="32"/>
          <w14:textFill>
            <w14:solidFill>
              <w14:schemeClr w14:val="tx1"/>
            </w14:solidFill>
          </w14:textFill>
        </w:rPr>
        <w:t>乙方为甲方提供完善的售后服务，服务期限为2年，在原有课程基础上2年内可免费升级。在质保期内，课程运行出现故障，接到采购人处理问题通知后，技术工程师必须2小时内响应，8小时内解决一般性故障并恢复课程运行，重大疑难故障第一时间调度总部研发专家会诊，24 小时内出具明确解决方案并推进解决，终身提供免费技术支持。成交供应商能提供7×24响应服务，通过远程、上门服务、电话、E-mail等方式为用户提供终身完善的售后技术咨询服务。如果以上方式在甲方要求时间内均无法解决问题，乙方应按照甲方要求及时安排技术工程师上门服务。以上技术服务方式均免费。</w:t>
      </w:r>
    </w:p>
    <w:p w14:paraId="1952FB84">
      <w:pPr>
        <w:spacing w:line="560" w:lineRule="exact"/>
        <w:ind w:firstLine="640" w:firstLineChars="20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3.</w:t>
      </w:r>
      <w:r>
        <w:rPr>
          <w:rFonts w:hint="eastAsia" w:ascii="仿宋_GB2312" w:hAnsi="宋体" w:eastAsia="仿宋_GB2312"/>
          <w:color w:val="000000" w:themeColor="text1"/>
          <w:sz w:val="32"/>
          <w:szCs w:val="32"/>
          <w14:textFill>
            <w14:solidFill>
              <w14:schemeClr w14:val="tx1"/>
            </w14:solidFill>
          </w14:textFill>
        </w:rPr>
        <w:t>乙方负责课程升级工作，甲方可提供必要的支持。</w:t>
      </w:r>
    </w:p>
    <w:p w14:paraId="016E0477">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4.</w:t>
      </w:r>
      <w:r>
        <w:rPr>
          <w:rFonts w:hint="eastAsia" w:ascii="仿宋_GB2312" w:hAnsi="宋体" w:eastAsia="仿宋_GB2312"/>
          <w:color w:val="000000" w:themeColor="text1"/>
          <w:sz w:val="32"/>
          <w:szCs w:val="32"/>
          <w14:textFill>
            <w14:solidFill>
              <w14:schemeClr w14:val="tx1"/>
            </w14:solidFill>
          </w14:textFill>
        </w:rPr>
        <w:t>按照法律法规规定应由乙方承担的义务。</w:t>
      </w:r>
    </w:p>
    <w:p w14:paraId="19BAC5EE">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第六条  付款方式（按项目实际</w:t>
      </w:r>
      <w:r>
        <w:rPr>
          <w:rFonts w:hint="eastAsia" w:ascii="黑体" w:hAnsi="黑体" w:eastAsia="黑体"/>
          <w:color w:val="000000" w:themeColor="text1"/>
          <w:sz w:val="32"/>
          <w:szCs w:val="32"/>
          <w:lang w:val="en-US" w:eastAsia="zh-CN"/>
          <w14:textFill>
            <w14:solidFill>
              <w14:schemeClr w14:val="tx1"/>
            </w14:solidFill>
          </w14:textFill>
        </w:rPr>
        <w:t>选择一方式，并删除其他的</w:t>
      </w:r>
      <w:r>
        <w:rPr>
          <w:rFonts w:hint="eastAsia" w:ascii="黑体" w:hAnsi="黑体" w:eastAsia="黑体"/>
          <w:color w:val="000000" w:themeColor="text1"/>
          <w:sz w:val="32"/>
          <w:szCs w:val="32"/>
          <w14:textFill>
            <w14:solidFill>
              <w14:schemeClr w14:val="tx1"/>
            </w14:solidFill>
          </w14:textFill>
        </w:rPr>
        <w:t>）</w:t>
      </w:r>
    </w:p>
    <w:p w14:paraId="07637913">
      <w:pPr>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hint="eastAsia" w:ascii="仿宋_GB2312" w:hAnsi="宋体" w:eastAsia="仿宋_GB2312" w:cs="Arial"/>
          <w:color w:val="000000" w:themeColor="text1"/>
          <w:sz w:val="32"/>
          <w:szCs w:val="32"/>
          <w14:textFill>
            <w14:solidFill>
              <w14:schemeClr w14:val="tx1"/>
            </w14:solidFill>
          </w14:textFill>
        </w:rPr>
        <w:sym w:font="Wingdings" w:char="00FE"/>
      </w:r>
      <w:r>
        <w:rPr>
          <w:rFonts w:hint="eastAsia" w:ascii="仿宋_GB2312" w:hAnsi="宋体" w:eastAsia="仿宋_GB2312" w:cs="Arial"/>
          <w:color w:val="000000" w:themeColor="text1"/>
          <w:sz w:val="32"/>
          <w:szCs w:val="32"/>
          <w14:textFill>
            <w14:solidFill>
              <w14:schemeClr w14:val="tx1"/>
            </w14:solidFill>
          </w14:textFill>
        </w:rPr>
        <w:t>1.全额付款：</w:t>
      </w:r>
      <w:r>
        <w:rPr>
          <w:rFonts w:hint="eastAsia" w:ascii="仿宋_GB2312" w:hAnsi="宋体" w:eastAsia="仿宋_GB2312" w:cs="Arial"/>
          <w:color w:val="000000" w:themeColor="text1"/>
          <w:sz w:val="32"/>
          <w:szCs w:val="32"/>
          <w:u w:val="single"/>
          <w14:textFill>
            <w14:solidFill>
              <w14:schemeClr w14:val="tx1"/>
            </w14:solidFill>
          </w14:textFill>
        </w:rPr>
        <w:t>（应明确一次性支付合同款项的条件）</w:t>
      </w:r>
      <w:r>
        <w:rPr>
          <w:rFonts w:hint="eastAsia" w:ascii="仿宋_GB2312" w:hAnsi="宋体" w:eastAsia="仿宋_GB2312" w:cs="Arial"/>
          <w:color w:val="000000" w:themeColor="text1"/>
          <w:sz w:val="32"/>
          <w:szCs w:val="32"/>
          <w14:textFill>
            <w14:solidFill>
              <w14:schemeClr w14:val="tx1"/>
            </w14:solidFill>
          </w14:textFill>
        </w:rPr>
        <w:t>。</w:t>
      </w:r>
    </w:p>
    <w:p w14:paraId="06EABA10">
      <w:pPr>
        <w:snapToGrid w:val="0"/>
        <w:spacing w:line="560" w:lineRule="exact"/>
        <w:ind w:firstLine="640" w:firstLineChars="200"/>
        <w:rPr>
          <w:rFonts w:ascii="仿宋_GB2312" w:hAnsi="宋体" w:eastAsia="仿宋_GB2312"/>
          <w:color w:val="000000" w:themeColor="text1"/>
          <w:kern w:val="0"/>
          <w:sz w:val="32"/>
          <w:szCs w:val="32"/>
          <w14:textFill>
            <w14:solidFill>
              <w14:schemeClr w14:val="tx1"/>
            </w14:solidFill>
          </w14:textFill>
        </w:rPr>
      </w:pPr>
      <w:r>
        <w:rPr>
          <w:rFonts w:hint="eastAsia" w:ascii="仿宋_GB2312" w:hAnsi="宋体" w:eastAsia="仿宋_GB2312" w:cs="Arial"/>
          <w:color w:val="000000" w:themeColor="text1"/>
          <w:sz w:val="32"/>
          <w:szCs w:val="32"/>
          <w14:textFill>
            <w14:solidFill>
              <w14:schemeClr w14:val="tx1"/>
            </w14:solidFill>
          </w14:textFill>
        </w:rPr>
        <w:t>示例：</w:t>
      </w:r>
      <w:r>
        <w:rPr>
          <w:rFonts w:hint="eastAsia" w:ascii="仿宋_GB2312" w:hAnsi="宋体" w:eastAsia="仿宋_GB2312"/>
          <w:color w:val="000000" w:themeColor="text1"/>
          <w:sz w:val="32"/>
          <w:szCs w:val="32"/>
          <w:lang w:eastAsia="zh-Hans"/>
          <w14:textFill>
            <w14:solidFill>
              <w14:schemeClr w14:val="tx1"/>
            </w14:solidFill>
          </w14:textFill>
        </w:rPr>
        <w:t>乙方</w:t>
      </w:r>
      <w:r>
        <w:rPr>
          <w:rFonts w:hint="eastAsia" w:ascii="仿宋_GB2312" w:hAnsi="宋体" w:eastAsia="仿宋_GB2312"/>
          <w:color w:val="000000" w:themeColor="text1"/>
          <w:sz w:val="32"/>
          <w:szCs w:val="32"/>
          <w14:textFill>
            <w14:solidFill>
              <w14:schemeClr w14:val="tx1"/>
            </w14:solidFill>
          </w14:textFill>
        </w:rPr>
        <w:t>提供服务完毕</w:t>
      </w:r>
      <w:r>
        <w:rPr>
          <w:rFonts w:hint="eastAsia" w:ascii="仿宋_GB2312" w:hAnsi="宋体" w:eastAsia="仿宋_GB2312" w:cs="Arial"/>
          <w:color w:val="000000" w:themeColor="text1"/>
          <w:sz w:val="32"/>
          <w:szCs w:val="32"/>
          <w14:textFill>
            <w14:solidFill>
              <w14:schemeClr w14:val="tx1"/>
            </w14:solidFill>
          </w14:textFill>
        </w:rPr>
        <w:t xml:space="preserve">并经甲方验收合格，乙方开具相应金额且符合规定的增值税普通发票，甲方在收到发票后20个工作日内一次支付合同金额的100%。 </w:t>
      </w:r>
    </w:p>
    <w:p w14:paraId="4E3AA541">
      <w:pPr>
        <w:widowControl/>
        <w:spacing w:line="560" w:lineRule="exact"/>
        <w:ind w:firstLine="640"/>
        <w:rPr>
          <w:rFonts w:ascii="仿宋_GB2312" w:hAnsi="宋体" w:eastAsia="仿宋_GB2312" w:cs="Arial"/>
          <w:color w:val="000000" w:themeColor="text1"/>
          <w:sz w:val="32"/>
          <w:szCs w:val="32"/>
          <w14:textFill>
            <w14:solidFill>
              <w14:schemeClr w14:val="tx1"/>
            </w14:solidFill>
          </w14:textFill>
        </w:rPr>
      </w:pPr>
      <w:r>
        <w:rPr>
          <w:rFonts w:hint="eastAsia" w:ascii="仿宋_GB2312" w:hAnsi="宋体" w:eastAsia="仿宋_GB2312" w:cs="Arial"/>
          <w:color w:val="000000" w:themeColor="text1"/>
          <w:sz w:val="32"/>
          <w:szCs w:val="32"/>
          <w14:textFill>
            <w14:solidFill>
              <w14:schemeClr w14:val="tx1"/>
            </w14:solidFill>
          </w14:textFill>
        </w:rPr>
        <w:sym w:font="Wingdings" w:char="00A8"/>
      </w:r>
      <w:r>
        <w:rPr>
          <w:rFonts w:hint="eastAsia" w:ascii="仿宋_GB2312" w:hAnsi="宋体" w:eastAsia="仿宋_GB2312" w:cs="Arial"/>
          <w:color w:val="000000" w:themeColor="text1"/>
          <w:sz w:val="32"/>
          <w:szCs w:val="32"/>
          <w14:textFill>
            <w14:solidFill>
              <w14:schemeClr w14:val="tx1"/>
            </w14:solidFill>
          </w14:textFill>
        </w:rPr>
        <w:t>2.分期付款：</w:t>
      </w:r>
      <w:r>
        <w:rPr>
          <w:rFonts w:hint="eastAsia" w:ascii="仿宋_GB2312" w:hAnsi="宋体" w:eastAsia="仿宋_GB2312" w:cs="Arial"/>
          <w:color w:val="000000" w:themeColor="text1"/>
          <w:sz w:val="32"/>
          <w:szCs w:val="32"/>
          <w:u w:val="single"/>
          <w14:textFill>
            <w14:solidFill>
              <w14:schemeClr w14:val="tx1"/>
            </w14:solidFill>
          </w14:textFill>
        </w:rPr>
        <w:t>（应明确分期支付合同款项的各期比例和支付条件）</w:t>
      </w:r>
      <w:r>
        <w:rPr>
          <w:rFonts w:hint="eastAsia" w:ascii="仿宋_GB2312" w:hAnsi="宋体" w:eastAsia="仿宋_GB2312" w:cs="Arial"/>
          <w:color w:val="000000" w:themeColor="text1"/>
          <w:sz w:val="32"/>
          <w:szCs w:val="32"/>
          <w14:textFill>
            <w14:solidFill>
              <w14:schemeClr w14:val="tx1"/>
            </w14:solidFill>
          </w14:textFill>
        </w:rPr>
        <w:t>，其中涉及预付款的：</w:t>
      </w:r>
      <w:r>
        <w:rPr>
          <w:rFonts w:hint="eastAsia" w:ascii="仿宋_GB2312" w:hAnsi="宋体" w:eastAsia="仿宋_GB2312" w:cs="Arial"/>
          <w:color w:val="000000" w:themeColor="text1"/>
          <w:sz w:val="32"/>
          <w:szCs w:val="32"/>
          <w:u w:val="single"/>
          <w14:textFill>
            <w14:solidFill>
              <w14:schemeClr w14:val="tx1"/>
            </w14:solidFill>
          </w14:textFill>
        </w:rPr>
        <w:t>（应明确预付款的支付比例和支付条件。预付款支付比例一般不高于合同金额的50%，合同签订部门视情况可要求乙方应提供等额预付款保函）。</w:t>
      </w:r>
    </w:p>
    <w:p w14:paraId="443940F1">
      <w:pPr>
        <w:widowControl/>
        <w:spacing w:line="560" w:lineRule="exact"/>
        <w:ind w:firstLine="640"/>
        <w:rPr>
          <w:rFonts w:ascii="仿宋_GB2312" w:hAnsi="宋体" w:eastAsia="仿宋_GB2312" w:cs="Calibri"/>
          <w:color w:val="000000" w:themeColor="text1"/>
          <w:kern w:val="0"/>
          <w:sz w:val="32"/>
          <w:szCs w:val="32"/>
          <w14:textFill>
            <w14:solidFill>
              <w14:schemeClr w14:val="tx1"/>
            </w14:solidFill>
          </w14:textFill>
        </w:rPr>
      </w:pPr>
      <w:r>
        <w:rPr>
          <w:rFonts w:hint="eastAsia" w:ascii="仿宋_GB2312" w:hAnsi="宋体" w:eastAsia="仿宋_GB2312" w:cs="Arial"/>
          <w:color w:val="000000" w:themeColor="text1"/>
          <w:sz w:val="32"/>
          <w:szCs w:val="32"/>
          <w14:textFill>
            <w14:solidFill>
              <w14:schemeClr w14:val="tx1"/>
            </w14:solidFill>
          </w14:textFill>
        </w:rPr>
        <w:t>示例：①合同签订后15个工作日内，乙方开具相应金额且符合规定的增值税普通发票</w:t>
      </w:r>
      <w:r>
        <w:rPr>
          <w:rFonts w:hint="eastAsia" w:ascii="仿宋_GB2312" w:hAnsi="宋体" w:eastAsia="仿宋_GB2312" w:cs="Arial"/>
          <w:color w:val="000000" w:themeColor="text1"/>
          <w:sz w:val="32"/>
          <w:szCs w:val="32"/>
          <w:lang w:val="en-US" w:eastAsia="zh-CN"/>
          <w14:textFill>
            <w14:solidFill>
              <w14:schemeClr w14:val="tx1"/>
            </w14:solidFill>
          </w14:textFill>
        </w:rPr>
        <w:t>并向甲方提供预付款保函</w:t>
      </w:r>
      <w:r>
        <w:rPr>
          <w:rFonts w:hint="eastAsia" w:ascii="仿宋_GB2312" w:hAnsi="宋体" w:eastAsia="仿宋_GB2312" w:cs="Arial"/>
          <w:color w:val="000000" w:themeColor="text1"/>
          <w:sz w:val="32"/>
          <w:szCs w:val="32"/>
          <w14:textFill>
            <w14:solidFill>
              <w14:schemeClr w14:val="tx1"/>
            </w14:solidFill>
          </w14:textFill>
        </w:rPr>
        <w:t>，甲方在收到发票</w:t>
      </w:r>
      <w:r>
        <w:rPr>
          <w:rFonts w:hint="eastAsia" w:ascii="仿宋_GB2312" w:hAnsi="宋体" w:eastAsia="仿宋_GB2312" w:cs="Arial"/>
          <w:color w:val="000000" w:themeColor="text1"/>
          <w:sz w:val="32"/>
          <w:szCs w:val="32"/>
          <w:lang w:val="en-US" w:eastAsia="zh-CN"/>
          <w14:textFill>
            <w14:solidFill>
              <w14:schemeClr w14:val="tx1"/>
            </w14:solidFill>
          </w14:textFill>
        </w:rPr>
        <w:t>及预付款保函</w:t>
      </w:r>
      <w:r>
        <w:rPr>
          <w:rFonts w:hint="eastAsia" w:ascii="仿宋_GB2312" w:hAnsi="宋体" w:eastAsia="仿宋_GB2312" w:cs="Arial"/>
          <w:color w:val="000000" w:themeColor="text1"/>
          <w:sz w:val="32"/>
          <w:szCs w:val="32"/>
          <w14:textFill>
            <w14:solidFill>
              <w14:schemeClr w14:val="tx1"/>
            </w14:solidFill>
          </w14:textFill>
        </w:rPr>
        <w:t>后20个工作日内</w:t>
      </w:r>
      <w:r>
        <w:rPr>
          <w:rFonts w:hint="eastAsia" w:ascii="仿宋_GB2312" w:hAnsi="宋体" w:eastAsia="仿宋_GB2312" w:cs="Arial"/>
          <w:color w:val="000000" w:themeColor="text1"/>
          <w:sz w:val="32"/>
          <w:szCs w:val="32"/>
          <w:lang w:val="en-US" w:eastAsia="zh-CN"/>
          <w14:textFill>
            <w14:solidFill>
              <w14:schemeClr w14:val="tx1"/>
            </w14:solidFill>
          </w14:textFill>
        </w:rPr>
        <w:t>向乙方</w:t>
      </w:r>
      <w:r>
        <w:rPr>
          <w:rFonts w:hint="eastAsia" w:ascii="仿宋_GB2312" w:hAnsi="宋体" w:eastAsia="仿宋_GB2312" w:cs="Arial"/>
          <w:color w:val="000000" w:themeColor="text1"/>
          <w:sz w:val="32"/>
          <w:szCs w:val="32"/>
          <w14:textFill>
            <w14:solidFill>
              <w14:schemeClr w14:val="tx1"/>
            </w14:solidFill>
          </w14:textFill>
        </w:rPr>
        <w:t>支付合同金额30%的预付款；乙方提供服务完毕并经甲方验收合格</w:t>
      </w:r>
      <w:r>
        <w:rPr>
          <w:rFonts w:hint="eastAsia" w:ascii="仿宋_GB2312" w:hAnsi="宋体" w:eastAsia="仿宋_GB2312" w:cs="Arial"/>
          <w:color w:val="000000" w:themeColor="text1"/>
          <w:sz w:val="32"/>
          <w:szCs w:val="32"/>
          <w:lang w:val="en-US" w:eastAsia="zh-CN"/>
          <w14:textFill>
            <w14:solidFill>
              <w14:schemeClr w14:val="tx1"/>
            </w14:solidFill>
          </w14:textFill>
        </w:rPr>
        <w:t>后</w:t>
      </w:r>
      <w:r>
        <w:rPr>
          <w:rFonts w:hint="eastAsia" w:ascii="仿宋_GB2312" w:hAnsi="宋体" w:eastAsia="仿宋_GB2312" w:cs="Arial"/>
          <w:color w:val="000000" w:themeColor="text1"/>
          <w:sz w:val="32"/>
          <w:szCs w:val="32"/>
          <w14:textFill>
            <w14:solidFill>
              <w14:schemeClr w14:val="tx1"/>
            </w14:solidFill>
          </w14:textFill>
        </w:rPr>
        <w:t>，乙方开具相应金额且符合规定的增值税普通发票，甲方在收到发票后20个工作日内</w:t>
      </w:r>
      <w:r>
        <w:rPr>
          <w:rFonts w:hint="eastAsia" w:ascii="仿宋_GB2312" w:hAnsi="宋体" w:eastAsia="仿宋_GB2312" w:cs="Calibri"/>
          <w:color w:val="000000" w:themeColor="text1"/>
          <w:kern w:val="0"/>
          <w:sz w:val="32"/>
          <w:szCs w:val="32"/>
          <w14:textFill>
            <w14:solidFill>
              <w14:schemeClr w14:val="tx1"/>
            </w14:solidFill>
          </w14:textFill>
        </w:rPr>
        <w:t>支付至合同金额的100%。②</w:t>
      </w:r>
      <w:r>
        <w:rPr>
          <w:rFonts w:hint="eastAsia" w:ascii="仿宋_GB2312" w:hAnsi="宋体" w:eastAsia="仿宋_GB2312" w:cs="Arial"/>
          <w:color w:val="000000" w:themeColor="text1"/>
          <w:sz w:val="32"/>
          <w:szCs w:val="32"/>
          <w14:textFill>
            <w14:solidFill>
              <w14:schemeClr w14:val="tx1"/>
            </w14:solidFill>
          </w14:textFill>
        </w:rPr>
        <w:t>乙方提供服务经甲方</w:t>
      </w:r>
      <w:r>
        <w:rPr>
          <w:rFonts w:hint="eastAsia" w:ascii="仿宋_GB2312" w:hAnsi="宋体" w:eastAsia="仿宋_GB2312" w:cs="Calibri"/>
          <w:color w:val="000000" w:themeColor="text1"/>
          <w:kern w:val="0"/>
          <w:sz w:val="32"/>
          <w:szCs w:val="32"/>
          <w14:textFill>
            <w14:solidFill>
              <w14:schemeClr w14:val="tx1"/>
            </w14:solidFill>
          </w14:textFill>
        </w:rPr>
        <w:t>阶段性验收合格，</w:t>
      </w:r>
      <w:r>
        <w:rPr>
          <w:rFonts w:hint="eastAsia" w:ascii="仿宋_GB2312" w:hAnsi="宋体" w:eastAsia="仿宋_GB2312" w:cs="Arial"/>
          <w:color w:val="000000" w:themeColor="text1"/>
          <w:sz w:val="32"/>
          <w:szCs w:val="32"/>
          <w14:textFill>
            <w14:solidFill>
              <w14:schemeClr w14:val="tx1"/>
            </w14:solidFill>
          </w14:textFill>
        </w:rPr>
        <w:t>乙方开具相应金额且符合规定的增值税普通发票，甲方在收到发票后20个工作日内支付合同金额的60%</w:t>
      </w:r>
      <w:r>
        <w:rPr>
          <w:rFonts w:hint="eastAsia" w:ascii="仿宋_GB2312" w:hAnsi="宋体" w:eastAsia="仿宋_GB2312" w:cs="Calibri"/>
          <w:color w:val="000000" w:themeColor="text1"/>
          <w:kern w:val="0"/>
          <w:sz w:val="32"/>
          <w:szCs w:val="32"/>
          <w14:textFill>
            <w14:solidFill>
              <w14:schemeClr w14:val="tx1"/>
            </w14:solidFill>
          </w14:textFill>
        </w:rPr>
        <w:t>；服务期满后</w:t>
      </w:r>
      <w:r>
        <w:rPr>
          <w:rFonts w:hint="eastAsia" w:ascii="仿宋_GB2312" w:hAnsi="宋体" w:eastAsia="仿宋_GB2312" w:cs="Calibri"/>
          <w:color w:val="000000" w:themeColor="text1"/>
          <w:kern w:val="0"/>
          <w:sz w:val="32"/>
          <w:szCs w:val="32"/>
          <w:lang w:val="en-US" w:eastAsia="zh-CN"/>
          <w14:textFill>
            <w14:solidFill>
              <w14:schemeClr w14:val="tx1"/>
            </w14:solidFill>
          </w14:textFill>
        </w:rPr>
        <w:t>且</w:t>
      </w:r>
      <w:r>
        <w:rPr>
          <w:rFonts w:hint="eastAsia" w:ascii="仿宋_GB2312" w:hAnsi="宋体" w:eastAsia="仿宋_GB2312" w:cs="Calibri"/>
          <w:color w:val="000000" w:themeColor="text1"/>
          <w:kern w:val="0"/>
          <w:sz w:val="32"/>
          <w:szCs w:val="32"/>
          <w14:textFill>
            <w14:solidFill>
              <w14:schemeClr w14:val="tx1"/>
            </w14:solidFill>
          </w14:textFill>
        </w:rPr>
        <w:t>经甲方验收合格</w:t>
      </w:r>
      <w:r>
        <w:rPr>
          <w:rFonts w:hint="eastAsia" w:ascii="仿宋_GB2312" w:hAnsi="宋体" w:eastAsia="仿宋_GB2312" w:cs="Calibri"/>
          <w:color w:val="000000" w:themeColor="text1"/>
          <w:kern w:val="0"/>
          <w:sz w:val="32"/>
          <w:szCs w:val="32"/>
          <w:lang w:val="en-US" w:eastAsia="zh-CN"/>
          <w14:textFill>
            <w14:solidFill>
              <w14:schemeClr w14:val="tx1"/>
            </w14:solidFill>
          </w14:textFill>
        </w:rPr>
        <w:t>后</w:t>
      </w:r>
      <w:r>
        <w:rPr>
          <w:rFonts w:hint="eastAsia" w:ascii="仿宋_GB2312" w:hAnsi="宋体" w:eastAsia="仿宋_GB2312" w:cs="Calibri"/>
          <w:color w:val="000000" w:themeColor="text1"/>
          <w:kern w:val="0"/>
          <w:sz w:val="32"/>
          <w:szCs w:val="32"/>
          <w14:textFill>
            <w14:solidFill>
              <w14:schemeClr w14:val="tx1"/>
            </w14:solidFill>
          </w14:textFill>
        </w:rPr>
        <w:t>，乙方开具相应金额且符合规定的</w:t>
      </w:r>
      <w:r>
        <w:rPr>
          <w:rFonts w:hint="eastAsia" w:ascii="仿宋_GB2312" w:hAnsi="宋体" w:eastAsia="仿宋_GB2312" w:cs="Arial"/>
          <w:color w:val="000000" w:themeColor="text1"/>
          <w:sz w:val="32"/>
          <w:szCs w:val="32"/>
          <w14:textFill>
            <w14:solidFill>
              <w14:schemeClr w14:val="tx1"/>
            </w14:solidFill>
          </w14:textFill>
        </w:rPr>
        <w:t>增值税普通发票</w:t>
      </w:r>
      <w:r>
        <w:rPr>
          <w:rFonts w:hint="eastAsia" w:ascii="仿宋_GB2312" w:hAnsi="宋体" w:eastAsia="仿宋_GB2312" w:cs="Calibri"/>
          <w:color w:val="000000" w:themeColor="text1"/>
          <w:kern w:val="0"/>
          <w:sz w:val="32"/>
          <w:szCs w:val="32"/>
          <w14:textFill>
            <w14:solidFill>
              <w14:schemeClr w14:val="tx1"/>
            </w14:solidFill>
          </w14:textFill>
        </w:rPr>
        <w:t>，甲方在收到发票后20个工作日内支付至合同金额的100%。</w:t>
      </w:r>
    </w:p>
    <w:p w14:paraId="6866EC88">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第七条  履约保证金</w:t>
      </w:r>
      <w:bookmarkStart w:id="0" w:name="OLE_LINK2"/>
      <w:bookmarkStart w:id="1" w:name="OLE_LINK1"/>
      <w:r>
        <w:rPr>
          <w:rFonts w:hint="eastAsia" w:ascii="黑体" w:hAnsi="黑体" w:eastAsia="黑体"/>
          <w:color w:val="000000" w:themeColor="text1"/>
          <w:sz w:val="32"/>
          <w:szCs w:val="32"/>
          <w14:textFill>
            <w14:solidFill>
              <w14:schemeClr w14:val="tx1"/>
            </w14:solidFill>
          </w14:textFill>
        </w:rPr>
        <w:t>（根据项目实际来设定</w:t>
      </w:r>
      <w:r>
        <w:rPr>
          <w:rFonts w:hint="eastAsia" w:ascii="黑体" w:hAnsi="黑体" w:eastAsia="黑体"/>
          <w:color w:val="000000" w:themeColor="text1"/>
          <w:sz w:val="32"/>
          <w:szCs w:val="32"/>
          <w:lang w:eastAsia="zh-CN"/>
          <w14:textFill>
            <w14:solidFill>
              <w14:schemeClr w14:val="tx1"/>
            </w14:solidFill>
          </w14:textFill>
        </w:rPr>
        <w:t>，</w:t>
      </w:r>
      <w:r>
        <w:rPr>
          <w:rFonts w:hint="eastAsia" w:ascii="黑体" w:hAnsi="黑体" w:eastAsia="黑体"/>
          <w:color w:val="000000" w:themeColor="text1"/>
          <w:sz w:val="32"/>
          <w:szCs w:val="32"/>
          <w:lang w:val="en-US" w:eastAsia="zh-CN"/>
          <w14:textFill>
            <w14:solidFill>
              <w14:schemeClr w14:val="tx1"/>
            </w14:solidFill>
          </w14:textFill>
        </w:rPr>
        <w:t>如无需要删除关于履约保证金的相关约定，包括违约责任约定中的</w:t>
      </w:r>
      <w:r>
        <w:rPr>
          <w:rFonts w:hint="eastAsia" w:ascii="黑体" w:hAnsi="黑体" w:eastAsia="黑体"/>
          <w:color w:val="000000" w:themeColor="text1"/>
          <w:sz w:val="32"/>
          <w:szCs w:val="32"/>
          <w14:textFill>
            <w14:solidFill>
              <w14:schemeClr w14:val="tx1"/>
            </w14:solidFill>
          </w14:textFill>
        </w:rPr>
        <w:t>）</w:t>
      </w:r>
      <w:bookmarkEnd w:id="0"/>
      <w:bookmarkEnd w:id="1"/>
    </w:p>
    <w:p w14:paraId="3A6CF8FE">
      <w:pPr>
        <w:tabs>
          <w:tab w:val="center" w:pos="4153"/>
          <w:tab w:val="right" w:pos="8306"/>
        </w:tabs>
        <w:snapToGrid w:val="0"/>
        <w:spacing w:line="560" w:lineRule="exact"/>
        <w:ind w:firstLine="640" w:firstLineChars="200"/>
        <w:jc w:val="left"/>
        <w:rPr>
          <w:rFonts w:ascii="仿宋_GB2312" w:hAnsi="宋体" w:eastAsia="仿宋_GB2312" w:cs="宋体"/>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14:textFill>
            <w14:solidFill>
              <w14:schemeClr w14:val="tx1"/>
            </w14:solidFill>
          </w14:textFill>
        </w:rPr>
        <w:t>1</w:t>
      </w:r>
      <w:r>
        <w:rPr>
          <w:rFonts w:ascii="仿宋_GB2312" w:hAnsi="宋体" w:eastAsia="仿宋_GB2312" w:cs="宋体"/>
          <w:color w:val="000000" w:themeColor="text1"/>
          <w:sz w:val="32"/>
          <w:szCs w:val="32"/>
          <w14:textFill>
            <w14:solidFill>
              <w14:schemeClr w14:val="tx1"/>
            </w14:solidFill>
          </w14:textFill>
        </w:rPr>
        <w:t>.</w:t>
      </w:r>
      <w:r>
        <w:rPr>
          <w:rFonts w:hint="eastAsia" w:ascii="仿宋_GB2312" w:hAnsi="宋体" w:eastAsia="仿宋_GB2312" w:cs="宋体"/>
          <w:color w:val="000000" w:themeColor="text1"/>
          <w:sz w:val="32"/>
          <w:szCs w:val="32"/>
          <w14:textFill>
            <w14:solidFill>
              <w14:schemeClr w14:val="tx1"/>
            </w14:solidFill>
          </w14:textFill>
        </w:rPr>
        <w:t>履约保证金金额</w:t>
      </w:r>
      <w:r>
        <w:rPr>
          <w:rFonts w:hint="eastAsia" w:ascii="仿宋_GB2312" w:hAnsi="宋体" w:eastAsia="仿宋_GB2312" w:cs="宋体"/>
          <w:color w:val="000000" w:themeColor="text1"/>
          <w:sz w:val="32"/>
          <w:szCs w:val="32"/>
          <w:lang w:val="en-US" w:eastAsia="zh-CN"/>
          <w14:textFill>
            <w14:solidFill>
              <w14:schemeClr w14:val="tx1"/>
            </w14:solidFill>
          </w14:textFill>
        </w:rPr>
        <w:t>及提交时间</w:t>
      </w:r>
      <w:r>
        <w:rPr>
          <w:rFonts w:hint="eastAsia" w:ascii="仿宋_GB2312" w:hAnsi="宋体" w:eastAsia="仿宋_GB2312" w:cs="宋体"/>
          <w:color w:val="000000" w:themeColor="text1"/>
          <w:sz w:val="32"/>
          <w:szCs w:val="32"/>
          <w14:textFill>
            <w14:solidFill>
              <w14:schemeClr w14:val="tx1"/>
            </w14:solidFill>
          </w14:textFill>
        </w:rPr>
        <w:t>：按合同合计金额的5%收取（如乙方为中小企业的，提供《中小企业声明函》则按合同合计金额的2%</w:t>
      </w:r>
      <w:r>
        <w:rPr>
          <w:rFonts w:hint="eastAsia" w:ascii="仿宋_GB2312" w:hAnsi="宋体" w:eastAsia="仿宋_GB2312" w:cs="宋体"/>
          <w:color w:val="000000" w:themeColor="text1"/>
          <w:sz w:val="32"/>
          <w:szCs w:val="32"/>
          <w:lang w:val="en-US" w:eastAsia="zh-CN"/>
          <w14:textFill>
            <w14:solidFill>
              <w14:schemeClr w14:val="tx1"/>
            </w14:solidFill>
          </w14:textFill>
        </w:rPr>
        <w:t>收取</w:t>
      </w:r>
      <w:r>
        <w:rPr>
          <w:rFonts w:hint="eastAsia" w:ascii="仿宋_GB2312" w:hAnsi="宋体" w:eastAsia="仿宋_GB2312" w:cs="宋体"/>
          <w:color w:val="000000" w:themeColor="text1"/>
          <w:sz w:val="32"/>
          <w:szCs w:val="32"/>
          <w14:textFill>
            <w14:solidFill>
              <w14:schemeClr w14:val="tx1"/>
            </w14:solidFill>
          </w14:textFill>
        </w:rPr>
        <w:t>），乙方须在</w:t>
      </w:r>
      <w:r>
        <w:rPr>
          <w:rFonts w:hint="eastAsia" w:ascii="仿宋_GB2312" w:hAnsi="宋体" w:eastAsia="仿宋_GB2312" w:cs="宋体"/>
          <w:color w:val="000000" w:themeColor="text1"/>
          <w:sz w:val="32"/>
          <w:szCs w:val="32"/>
          <w:lang w:val="en-US" w:eastAsia="zh-CN"/>
          <w14:textFill>
            <w14:solidFill>
              <w14:schemeClr w14:val="tx1"/>
            </w14:solidFill>
          </w14:textFill>
        </w:rPr>
        <w:t>收到中标通知书之日起5个工作日内向甲方提交履约保证金</w:t>
      </w:r>
      <w:r>
        <w:rPr>
          <w:rFonts w:hint="eastAsia" w:ascii="仿宋_GB2312" w:hAnsi="宋体" w:eastAsia="仿宋_GB2312" w:cs="宋体"/>
          <w:color w:val="000000" w:themeColor="text1"/>
          <w:sz w:val="32"/>
          <w:szCs w:val="32"/>
          <w14:textFill>
            <w14:solidFill>
              <w14:schemeClr w14:val="tx1"/>
            </w14:solidFill>
          </w14:textFill>
        </w:rPr>
        <w:t>。</w:t>
      </w:r>
    </w:p>
    <w:p w14:paraId="3B7B737C">
      <w:pPr>
        <w:tabs>
          <w:tab w:val="center" w:pos="4153"/>
          <w:tab w:val="right" w:pos="8306"/>
        </w:tabs>
        <w:snapToGrid w:val="0"/>
        <w:spacing w:line="560" w:lineRule="exact"/>
        <w:ind w:firstLine="640" w:firstLineChars="200"/>
        <w:jc w:val="left"/>
        <w:rPr>
          <w:rFonts w:ascii="仿宋_GB2312" w:hAnsi="宋体" w:eastAsia="仿宋_GB2312" w:cs="宋体"/>
          <w:color w:val="000000" w:themeColor="text1"/>
          <w:sz w:val="32"/>
          <w:szCs w:val="32"/>
          <w:lang w:bidi="ar"/>
          <w14:textFill>
            <w14:solidFill>
              <w14:schemeClr w14:val="tx1"/>
            </w14:solidFill>
          </w14:textFill>
        </w:rPr>
      </w:pPr>
      <w:r>
        <w:rPr>
          <w:rFonts w:hint="eastAsia" w:ascii="仿宋_GB2312" w:hAnsi="宋体" w:eastAsia="仿宋_GB2312" w:cs="Calibri"/>
          <w:color w:val="000000" w:themeColor="text1"/>
          <w:kern w:val="0"/>
          <w:sz w:val="32"/>
          <w:szCs w:val="32"/>
          <w14:textFill>
            <w14:solidFill>
              <w14:schemeClr w14:val="tx1"/>
            </w14:solidFill>
          </w14:textFill>
        </w:rPr>
        <w:t>2</w:t>
      </w:r>
      <w:r>
        <w:rPr>
          <w:rFonts w:ascii="仿宋_GB2312" w:hAnsi="宋体" w:eastAsia="仿宋_GB2312" w:cs="Calibri"/>
          <w:color w:val="000000" w:themeColor="text1"/>
          <w:kern w:val="0"/>
          <w:sz w:val="32"/>
          <w:szCs w:val="32"/>
          <w14:textFill>
            <w14:solidFill>
              <w14:schemeClr w14:val="tx1"/>
            </w14:solidFill>
          </w14:textFill>
        </w:rPr>
        <w:t>.</w:t>
      </w:r>
      <w:r>
        <w:rPr>
          <w:rFonts w:hint="eastAsia" w:ascii="仿宋_GB2312" w:hAnsi="宋体" w:eastAsia="仿宋_GB2312" w:cs="Calibri"/>
          <w:color w:val="000000" w:themeColor="text1"/>
          <w:kern w:val="0"/>
          <w:sz w:val="32"/>
          <w:szCs w:val="32"/>
          <w14:textFill>
            <w14:solidFill>
              <w14:schemeClr w14:val="tx1"/>
            </w14:solidFill>
          </w14:textFill>
        </w:rPr>
        <w:t>履约保证金提交方式：银行转账或银行保函等非现金方式。</w:t>
      </w:r>
      <w:r>
        <w:rPr>
          <w:rFonts w:hint="eastAsia" w:ascii="仿宋_GB2312" w:hAnsi="宋体" w:eastAsia="仿宋_GB2312" w:cs="Calibri"/>
          <w:color w:val="000000" w:themeColor="text1"/>
          <w:kern w:val="0"/>
          <w:sz w:val="32"/>
          <w:szCs w:val="32"/>
          <w:lang w:val="en-US" w:eastAsia="zh-CN"/>
          <w14:textFill>
            <w14:solidFill>
              <w14:schemeClr w14:val="tx1"/>
            </w14:solidFill>
          </w14:textFill>
        </w:rPr>
        <w:t>通过银行转账的，甲方指定以下</w:t>
      </w:r>
      <w:r>
        <w:rPr>
          <w:rFonts w:hint="eastAsia" w:ascii="仿宋_GB2312" w:hAnsi="宋体" w:eastAsia="仿宋_GB2312" w:cs="宋体"/>
          <w:color w:val="000000" w:themeColor="text1"/>
          <w:sz w:val="32"/>
          <w:szCs w:val="32"/>
          <w:lang w:bidi="ar"/>
          <w14:textFill>
            <w14:solidFill>
              <w14:schemeClr w14:val="tx1"/>
            </w14:solidFill>
          </w14:textFill>
        </w:rPr>
        <w:t>履约保证金</w:t>
      </w:r>
      <w:r>
        <w:rPr>
          <w:rFonts w:hint="eastAsia" w:ascii="仿宋_GB2312" w:hAnsi="宋体" w:eastAsia="仿宋_GB2312" w:cs="宋体"/>
          <w:color w:val="000000" w:themeColor="text1"/>
          <w:sz w:val="32"/>
          <w:szCs w:val="32"/>
          <w:lang w:val="en-US" w:eastAsia="zh-CN" w:bidi="ar"/>
          <w14:textFill>
            <w14:solidFill>
              <w14:schemeClr w14:val="tx1"/>
            </w14:solidFill>
          </w14:textFill>
        </w:rPr>
        <w:t>收取</w:t>
      </w:r>
      <w:r>
        <w:rPr>
          <w:rFonts w:hint="eastAsia" w:ascii="仿宋_GB2312" w:hAnsi="宋体" w:eastAsia="仿宋_GB2312" w:cs="宋体"/>
          <w:color w:val="000000" w:themeColor="text1"/>
          <w:sz w:val="32"/>
          <w:szCs w:val="32"/>
          <w:lang w:bidi="ar"/>
          <w14:textFill>
            <w14:solidFill>
              <w14:schemeClr w14:val="tx1"/>
            </w14:solidFill>
          </w14:textFill>
        </w:rPr>
        <w:t>账户：</w:t>
      </w:r>
    </w:p>
    <w:p w14:paraId="3A945039">
      <w:pPr>
        <w:snapToGrid w:val="0"/>
        <w:spacing w:line="560" w:lineRule="exact"/>
        <w:ind w:firstLine="640" w:firstLineChars="200"/>
        <w:rPr>
          <w:rFonts w:ascii="仿宋_GB2312" w:hAnsi="宋体" w:eastAsia="仿宋_GB2312" w:cs="宋体"/>
          <w:color w:val="000000" w:themeColor="text1"/>
          <w:sz w:val="32"/>
          <w:szCs w:val="32"/>
          <w:lang w:bidi="ar"/>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开户名称：广西财经学院</w:t>
      </w:r>
    </w:p>
    <w:p w14:paraId="652816A8">
      <w:pPr>
        <w:snapToGrid w:val="0"/>
        <w:spacing w:line="560" w:lineRule="exact"/>
        <w:ind w:firstLine="640" w:firstLineChars="200"/>
        <w:rPr>
          <w:rFonts w:ascii="仿宋_GB2312" w:hAnsi="宋体" w:eastAsia="仿宋_GB2312" w:cs="宋体"/>
          <w:color w:val="000000" w:themeColor="text1"/>
          <w:sz w:val="32"/>
          <w:szCs w:val="32"/>
          <w:lang w:bidi="ar"/>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开户银行：中国银行南宁明秀西路支行</w:t>
      </w:r>
    </w:p>
    <w:p w14:paraId="10ECFFB7">
      <w:pPr>
        <w:snapToGrid w:val="0"/>
        <w:spacing w:line="560" w:lineRule="exact"/>
        <w:ind w:firstLine="640" w:firstLineChars="200"/>
        <w:jc w:val="left"/>
        <w:rPr>
          <w:rFonts w:ascii="仿宋_GB2312" w:hAnsi="宋体" w:eastAsia="仿宋_GB2312" w:cs="Calibri"/>
          <w:color w:val="000000" w:themeColor="text1"/>
          <w:kern w:val="0"/>
          <w:sz w:val="32"/>
          <w:szCs w:val="32"/>
          <w14:textFill>
            <w14:solidFill>
              <w14:schemeClr w14:val="tx1"/>
            </w14:solidFill>
          </w14:textFill>
        </w:rPr>
      </w:pPr>
      <w:r>
        <w:rPr>
          <w:rFonts w:hint="eastAsia" w:ascii="仿宋_GB2312" w:hAnsi="宋体" w:eastAsia="仿宋_GB2312" w:cs="宋体"/>
          <w:color w:val="000000" w:themeColor="text1"/>
          <w:sz w:val="32"/>
          <w:szCs w:val="32"/>
          <w:lang w:bidi="ar"/>
          <w14:textFill>
            <w14:solidFill>
              <w14:schemeClr w14:val="tx1"/>
            </w14:solidFill>
          </w14:textFill>
        </w:rPr>
        <w:t>银行账号：611957485481</w:t>
      </w:r>
      <w:r>
        <w:rPr>
          <w:rFonts w:hint="eastAsia" w:ascii="仿宋_GB2312" w:hAnsi="宋体" w:eastAsia="仿宋_GB2312" w:cs="宋体"/>
          <w:color w:val="000000" w:themeColor="text1"/>
          <w:sz w:val="32"/>
          <w:szCs w:val="32"/>
          <w:lang w:eastAsia="zh-CN" w:bidi="ar"/>
          <w14:textFill>
            <w14:solidFill>
              <w14:schemeClr w14:val="tx1"/>
            </w14:solidFill>
          </w14:textFill>
        </w:rPr>
        <w:t>。</w:t>
      </w:r>
    </w:p>
    <w:p w14:paraId="009105EF">
      <w:pPr>
        <w:tabs>
          <w:tab w:val="center" w:pos="4153"/>
          <w:tab w:val="right" w:pos="8306"/>
        </w:tabs>
        <w:snapToGrid w:val="0"/>
        <w:spacing w:line="560" w:lineRule="exact"/>
        <w:ind w:firstLine="640" w:firstLineChars="200"/>
        <w:jc w:val="left"/>
        <w:rPr>
          <w:rFonts w:ascii="仿宋_GB2312" w:hAnsi="宋体" w:eastAsia="仿宋_GB2312" w:cs="宋体"/>
          <w:color w:val="000000" w:themeColor="text1"/>
          <w:sz w:val="32"/>
          <w:szCs w:val="32"/>
          <w14:textFill>
            <w14:solidFill>
              <w14:schemeClr w14:val="tx1"/>
            </w14:solidFill>
          </w14:textFill>
        </w:rPr>
      </w:pPr>
      <w:r>
        <w:rPr>
          <w:rFonts w:hint="eastAsia" w:ascii="仿宋_GB2312" w:hAnsi="宋体" w:eastAsia="仿宋_GB2312" w:cs="Calibri"/>
          <w:color w:val="000000" w:themeColor="text1"/>
          <w:kern w:val="0"/>
          <w:sz w:val="32"/>
          <w:szCs w:val="32"/>
          <w14:textFill>
            <w14:solidFill>
              <w14:schemeClr w14:val="tx1"/>
            </w14:solidFill>
          </w14:textFill>
        </w:rPr>
        <w:t>3</w:t>
      </w:r>
      <w:r>
        <w:rPr>
          <w:rFonts w:ascii="仿宋_GB2312" w:hAnsi="宋体" w:eastAsia="仿宋_GB2312" w:cs="Calibri"/>
          <w:color w:val="000000" w:themeColor="text1"/>
          <w:kern w:val="0"/>
          <w:sz w:val="32"/>
          <w:szCs w:val="32"/>
          <w14:textFill>
            <w14:solidFill>
              <w14:schemeClr w14:val="tx1"/>
            </w14:solidFill>
          </w14:textFill>
        </w:rPr>
        <w:t>.</w:t>
      </w:r>
      <w:r>
        <w:rPr>
          <w:rFonts w:hint="eastAsia" w:ascii="仿宋_GB2312" w:hAnsi="宋体" w:eastAsia="仿宋_GB2312" w:cs="Calibri"/>
          <w:color w:val="000000" w:themeColor="text1"/>
          <w:kern w:val="0"/>
          <w:sz w:val="32"/>
          <w:szCs w:val="32"/>
          <w14:textFill>
            <w14:solidFill>
              <w14:schemeClr w14:val="tx1"/>
            </w14:solidFill>
          </w14:textFill>
        </w:rPr>
        <w:t>履约保证金退</w:t>
      </w:r>
      <w:r>
        <w:rPr>
          <w:rFonts w:hint="eastAsia" w:ascii="仿宋_GB2312" w:hAnsi="宋体" w:eastAsia="仿宋_GB2312" w:cs="Calibri"/>
          <w:color w:val="000000" w:themeColor="text1"/>
          <w:kern w:val="0"/>
          <w:sz w:val="32"/>
          <w:szCs w:val="32"/>
          <w:lang w:val="en-US" w:eastAsia="zh-CN"/>
          <w14:textFill>
            <w14:solidFill>
              <w14:schemeClr w14:val="tx1"/>
            </w14:solidFill>
          </w14:textFill>
        </w:rPr>
        <w:t>还</w:t>
      </w:r>
      <w:r>
        <w:rPr>
          <w:rFonts w:hint="eastAsia" w:ascii="仿宋_GB2312" w:hAnsi="宋体" w:eastAsia="仿宋_GB2312" w:cs="Calibri"/>
          <w:color w:val="000000" w:themeColor="text1"/>
          <w:kern w:val="0"/>
          <w:sz w:val="32"/>
          <w:szCs w:val="32"/>
          <w14:textFill>
            <w14:solidFill>
              <w14:schemeClr w14:val="tx1"/>
            </w14:solidFill>
          </w14:textFill>
        </w:rPr>
        <w:t>方式、时间及条件：</w:t>
      </w:r>
      <w:r>
        <w:rPr>
          <w:rFonts w:hint="eastAsia" w:ascii="仿宋_GB2312" w:hAnsi="宋体" w:eastAsia="仿宋_GB2312" w:cs="Calibri"/>
          <w:color w:val="000000" w:themeColor="text1"/>
          <w:kern w:val="0"/>
          <w:sz w:val="32"/>
          <w:szCs w:val="32"/>
          <w:lang w:val="en-US" w:eastAsia="zh-CN"/>
          <w14:textFill>
            <w14:solidFill>
              <w14:schemeClr w14:val="tx1"/>
            </w14:solidFill>
          </w14:textFill>
        </w:rPr>
        <w:t>若乙方未能按照合同约定履约，甲方有权依合同约定没收履约保证金</w:t>
      </w:r>
      <w:r>
        <w:rPr>
          <w:rFonts w:hint="eastAsia" w:ascii="仿宋_GB2312" w:hAnsi="宋体" w:eastAsia="仿宋_GB2312" w:cs="Calibri"/>
          <w:color w:val="000000" w:themeColor="text1"/>
          <w:kern w:val="0"/>
          <w:sz w:val="32"/>
          <w:szCs w:val="32"/>
          <w14:textFill>
            <w14:solidFill>
              <w14:schemeClr w14:val="tx1"/>
            </w14:solidFill>
          </w14:textFill>
        </w:rPr>
        <w:t>；乙方若完全履行合同，</w:t>
      </w:r>
      <w:r>
        <w:rPr>
          <w:rFonts w:hint="eastAsia" w:ascii="仿宋_GB2312" w:hAnsi="宋体" w:eastAsia="仿宋_GB2312" w:cs="Calibri"/>
          <w:color w:val="000000" w:themeColor="text1"/>
          <w:kern w:val="0"/>
          <w:sz w:val="32"/>
          <w:szCs w:val="32"/>
          <w:lang w:val="en-US" w:eastAsia="zh-CN"/>
          <w14:textFill>
            <w14:solidFill>
              <w14:schemeClr w14:val="tx1"/>
            </w14:solidFill>
          </w14:textFill>
        </w:rPr>
        <w:t>经甲方</w:t>
      </w:r>
      <w:r>
        <w:rPr>
          <w:rFonts w:hint="eastAsia" w:ascii="仿宋_GB2312" w:hAnsi="宋体" w:eastAsia="仿宋_GB2312" w:cs="Calibri"/>
          <w:color w:val="000000" w:themeColor="text1"/>
          <w:kern w:val="0"/>
          <w:sz w:val="32"/>
          <w:szCs w:val="32"/>
          <w14:textFill>
            <w14:solidFill>
              <w14:schemeClr w14:val="tx1"/>
            </w14:solidFill>
          </w14:textFill>
        </w:rPr>
        <w:t>验收合格后，乙方向甲方递交退保申请函及履约保证金财务凭证，甲方按规定办理无息退还手续。</w:t>
      </w:r>
    </w:p>
    <w:p w14:paraId="44F7BB2A">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第八条  税费</w:t>
      </w:r>
    </w:p>
    <w:p w14:paraId="0F66EB22">
      <w:pPr>
        <w:autoSpaceDE w:val="0"/>
        <w:autoSpaceDN w:val="0"/>
        <w:snapToGrid w:val="0"/>
        <w:spacing w:line="560" w:lineRule="exact"/>
        <w:ind w:firstLine="646" w:firstLineChars="202"/>
        <w:textAlignment w:val="bottom"/>
        <w:rPr>
          <w:rFonts w:ascii="仿宋_GB2312" w:hAnsi="宋体" w:eastAsia="仿宋_GB2312" w:cs="宋体"/>
          <w:color w:val="000000" w:themeColor="text1"/>
          <w:sz w:val="32"/>
          <w:szCs w:val="32"/>
          <w14:textFill>
            <w14:solidFill>
              <w14:schemeClr w14:val="tx1"/>
            </w14:solidFill>
          </w14:textFill>
        </w:rPr>
      </w:pPr>
      <w:r>
        <w:rPr>
          <w:rFonts w:hint="eastAsia" w:ascii="仿宋_GB2312" w:hAnsi="宋体" w:eastAsia="仿宋_GB2312" w:cs="宋体"/>
          <w:color w:val="000000" w:themeColor="text1"/>
          <w:sz w:val="32"/>
          <w:szCs w:val="32"/>
          <w14:textFill>
            <w14:solidFill>
              <w14:schemeClr w14:val="tx1"/>
            </w14:solidFill>
          </w14:textFill>
        </w:rPr>
        <w:t>本合同执行中相关的一切税费均由乙方负担。若出现丢失发票、发票作废处理或开具红字发票等情况，在符合相关税收法律法规的条件下，</w:t>
      </w:r>
      <w:r>
        <w:rPr>
          <w:rFonts w:hint="eastAsia" w:ascii="仿宋_GB2312" w:hAnsi="宋体" w:eastAsia="仿宋_GB2312" w:cs="宋体"/>
          <w:color w:val="000000" w:themeColor="text1"/>
          <w:sz w:val="32"/>
          <w:szCs w:val="32"/>
          <w:lang w:val="en-US" w:eastAsia="zh-CN"/>
          <w14:textFill>
            <w14:solidFill>
              <w14:schemeClr w14:val="tx1"/>
            </w14:solidFill>
          </w14:textFill>
        </w:rPr>
        <w:t>乙方</w:t>
      </w:r>
      <w:r>
        <w:rPr>
          <w:rFonts w:hint="eastAsia" w:ascii="仿宋_GB2312" w:hAnsi="宋体" w:eastAsia="仿宋_GB2312" w:cs="宋体"/>
          <w:color w:val="000000" w:themeColor="text1"/>
          <w:sz w:val="32"/>
          <w:szCs w:val="32"/>
          <w14:textFill>
            <w14:solidFill>
              <w14:schemeClr w14:val="tx1"/>
            </w14:solidFill>
          </w14:textFill>
        </w:rPr>
        <w:t>有义务配合</w:t>
      </w:r>
      <w:r>
        <w:rPr>
          <w:rFonts w:hint="eastAsia" w:ascii="仿宋_GB2312" w:hAnsi="宋体" w:eastAsia="仿宋_GB2312" w:cs="宋体"/>
          <w:color w:val="000000" w:themeColor="text1"/>
          <w:sz w:val="32"/>
          <w:szCs w:val="32"/>
          <w:lang w:val="en-US" w:eastAsia="zh-CN"/>
          <w14:textFill>
            <w14:solidFill>
              <w14:schemeClr w14:val="tx1"/>
            </w14:solidFill>
          </w14:textFill>
        </w:rPr>
        <w:t>甲方</w:t>
      </w:r>
      <w:r>
        <w:rPr>
          <w:rFonts w:hint="eastAsia" w:ascii="仿宋_GB2312" w:hAnsi="宋体" w:eastAsia="仿宋_GB2312" w:cs="宋体"/>
          <w:color w:val="000000" w:themeColor="text1"/>
          <w:sz w:val="32"/>
          <w:szCs w:val="32"/>
          <w14:textFill>
            <w14:solidFill>
              <w14:schemeClr w14:val="tx1"/>
            </w14:solidFill>
          </w14:textFill>
        </w:rPr>
        <w:t>完成相关补救事宜并配合</w:t>
      </w:r>
      <w:r>
        <w:rPr>
          <w:rFonts w:hint="eastAsia" w:ascii="仿宋_GB2312" w:hAnsi="宋体" w:eastAsia="仿宋_GB2312" w:cs="宋体"/>
          <w:color w:val="000000" w:themeColor="text1"/>
          <w:sz w:val="32"/>
          <w:szCs w:val="32"/>
          <w:lang w:val="en-US" w:eastAsia="zh-CN"/>
          <w14:textFill>
            <w14:solidFill>
              <w14:schemeClr w14:val="tx1"/>
            </w14:solidFill>
          </w14:textFill>
        </w:rPr>
        <w:t>甲方</w:t>
      </w:r>
      <w:r>
        <w:rPr>
          <w:rFonts w:hint="eastAsia" w:ascii="仿宋_GB2312" w:hAnsi="宋体" w:eastAsia="仿宋_GB2312" w:cs="宋体"/>
          <w:color w:val="000000" w:themeColor="text1"/>
          <w:sz w:val="32"/>
          <w:szCs w:val="32"/>
          <w14:textFill>
            <w14:solidFill>
              <w14:schemeClr w14:val="tx1"/>
            </w14:solidFill>
          </w14:textFill>
        </w:rPr>
        <w:t>做好税务部门的调查、解释、说明等工作。因</w:t>
      </w:r>
      <w:r>
        <w:rPr>
          <w:rFonts w:hint="eastAsia" w:ascii="仿宋_GB2312" w:hAnsi="宋体" w:eastAsia="仿宋_GB2312" w:cs="宋体"/>
          <w:color w:val="000000" w:themeColor="text1"/>
          <w:sz w:val="32"/>
          <w:szCs w:val="32"/>
          <w:lang w:val="en-US" w:eastAsia="zh-CN"/>
          <w14:textFill>
            <w14:solidFill>
              <w14:schemeClr w14:val="tx1"/>
            </w14:solidFill>
          </w14:textFill>
        </w:rPr>
        <w:t>乙方</w:t>
      </w:r>
      <w:r>
        <w:rPr>
          <w:rFonts w:hint="eastAsia" w:ascii="仿宋_GB2312" w:hAnsi="宋体" w:eastAsia="仿宋_GB2312" w:cs="宋体"/>
          <w:color w:val="000000" w:themeColor="text1"/>
          <w:sz w:val="32"/>
          <w:szCs w:val="32"/>
          <w14:textFill>
            <w14:solidFill>
              <w14:schemeClr w14:val="tx1"/>
            </w14:solidFill>
          </w14:textFill>
        </w:rPr>
        <w:t>原因导致发票不能抵扣的，</w:t>
      </w:r>
      <w:r>
        <w:rPr>
          <w:rFonts w:hint="eastAsia" w:ascii="仿宋_GB2312" w:hAnsi="宋体" w:eastAsia="仿宋_GB2312" w:cs="宋体"/>
          <w:color w:val="000000" w:themeColor="text1"/>
          <w:sz w:val="32"/>
          <w:szCs w:val="32"/>
          <w:lang w:val="en-US" w:eastAsia="zh-CN"/>
          <w14:textFill>
            <w14:solidFill>
              <w14:schemeClr w14:val="tx1"/>
            </w14:solidFill>
          </w14:textFill>
        </w:rPr>
        <w:t>乙方</w:t>
      </w:r>
      <w:r>
        <w:rPr>
          <w:rFonts w:hint="eastAsia" w:ascii="仿宋_GB2312" w:hAnsi="宋体" w:eastAsia="仿宋_GB2312" w:cs="宋体"/>
          <w:color w:val="000000" w:themeColor="text1"/>
          <w:sz w:val="32"/>
          <w:szCs w:val="32"/>
          <w14:textFill>
            <w14:solidFill>
              <w14:schemeClr w14:val="tx1"/>
            </w14:solidFill>
          </w14:textFill>
        </w:rPr>
        <w:t>需补开发票或向</w:t>
      </w:r>
      <w:r>
        <w:rPr>
          <w:rFonts w:hint="eastAsia" w:ascii="仿宋_GB2312" w:hAnsi="宋体" w:eastAsia="仿宋_GB2312" w:cs="宋体"/>
          <w:color w:val="000000" w:themeColor="text1"/>
          <w:sz w:val="32"/>
          <w:szCs w:val="32"/>
          <w:lang w:val="en-US" w:eastAsia="zh-CN"/>
          <w14:textFill>
            <w14:solidFill>
              <w14:schemeClr w14:val="tx1"/>
            </w14:solidFill>
          </w14:textFill>
        </w:rPr>
        <w:t>甲方</w:t>
      </w:r>
      <w:r>
        <w:rPr>
          <w:rFonts w:hint="eastAsia" w:ascii="仿宋_GB2312" w:hAnsi="宋体" w:eastAsia="仿宋_GB2312" w:cs="宋体"/>
          <w:color w:val="000000" w:themeColor="text1"/>
          <w:sz w:val="32"/>
          <w:szCs w:val="32"/>
          <w14:textFill>
            <w14:solidFill>
              <w14:schemeClr w14:val="tx1"/>
            </w14:solidFill>
          </w14:textFill>
        </w:rPr>
        <w:t>支付因无法抵扣而多缴的税额（包括增值税抵扣税额、因无法税前抵扣而多缴的企业所得税及其他必要支出）</w:t>
      </w:r>
      <w:r>
        <w:rPr>
          <w:rFonts w:hint="eastAsia" w:ascii="仿宋_GB2312" w:hAnsi="宋体" w:eastAsia="仿宋_GB2312" w:cs="宋体"/>
          <w:color w:val="000000" w:themeColor="text1"/>
          <w:sz w:val="32"/>
          <w:szCs w:val="32"/>
          <w:lang w:eastAsia="zh-CN"/>
          <w14:textFill>
            <w14:solidFill>
              <w14:schemeClr w14:val="tx1"/>
            </w14:solidFill>
          </w14:textFill>
        </w:rPr>
        <w:t>。</w:t>
      </w:r>
    </w:p>
    <w:p w14:paraId="0368F4EE">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第九条  转包或分包</w:t>
      </w:r>
    </w:p>
    <w:p w14:paraId="3E60C0B0">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w:t>
      </w:r>
      <w:r>
        <w:rPr>
          <w:rFonts w:hint="eastAsia"/>
        </w:rPr>
        <w:t xml:space="preserve"> </w:t>
      </w:r>
      <w:r>
        <w:rPr>
          <w:rFonts w:hint="eastAsia" w:ascii="仿宋_GB2312" w:hAnsi="宋体" w:eastAsia="仿宋_GB2312"/>
          <w:color w:val="000000" w:themeColor="text1"/>
          <w:sz w:val="32"/>
          <w:szCs w:val="32"/>
          <w14:textFill>
            <w14:solidFill>
              <w14:schemeClr w14:val="tx1"/>
            </w14:solidFill>
          </w14:textFill>
        </w:rPr>
        <w:t>本合同范围的服务，应由乙方直接提供，不得委托他人提供；</w:t>
      </w:r>
    </w:p>
    <w:p w14:paraId="07E53F69">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2.除非得到甲方的书面同意，</w:t>
      </w:r>
      <w:r>
        <w:rPr>
          <w:rFonts w:hint="eastAsia" w:ascii="仿宋_GB2312" w:hAnsi="宋体" w:eastAsia="仿宋_GB2312"/>
          <w:color w:val="000000" w:themeColor="text1"/>
          <w:sz w:val="32"/>
          <w:szCs w:val="32"/>
          <w:lang w:val="en-US" w:eastAsia="zh-CN"/>
          <w14:textFill>
            <w14:solidFill>
              <w14:schemeClr w14:val="tx1"/>
            </w14:solidFill>
          </w14:textFill>
        </w:rPr>
        <w:t>否则</w:t>
      </w:r>
      <w:r>
        <w:rPr>
          <w:rFonts w:hint="eastAsia" w:ascii="仿宋_GB2312" w:hAnsi="宋体" w:eastAsia="仿宋_GB2312"/>
          <w:color w:val="000000" w:themeColor="text1"/>
          <w:sz w:val="32"/>
          <w:szCs w:val="32"/>
          <w14:textFill>
            <w14:solidFill>
              <w14:schemeClr w14:val="tx1"/>
            </w14:solidFill>
          </w14:textFill>
        </w:rPr>
        <w:t>乙方不得将本合同范围的服务全部</w:t>
      </w:r>
      <w:r>
        <w:rPr>
          <w:rFonts w:hint="eastAsia" w:ascii="仿宋_GB2312" w:hAnsi="宋体" w:eastAsia="仿宋_GB2312"/>
          <w:color w:val="000000" w:themeColor="text1"/>
          <w:sz w:val="32"/>
          <w:szCs w:val="32"/>
          <w:lang w:val="en-US" w:eastAsia="zh-CN"/>
          <w14:textFill>
            <w14:solidFill>
              <w14:schemeClr w14:val="tx1"/>
            </w14:solidFill>
          </w14:textFill>
        </w:rPr>
        <w:t>转包</w:t>
      </w:r>
      <w:r>
        <w:rPr>
          <w:rFonts w:hint="eastAsia" w:ascii="仿宋_GB2312" w:hAnsi="宋体" w:eastAsia="仿宋_GB2312"/>
          <w:color w:val="000000" w:themeColor="text1"/>
          <w:sz w:val="32"/>
          <w:szCs w:val="32"/>
          <w14:textFill>
            <w14:solidFill>
              <w14:schemeClr w14:val="tx1"/>
            </w14:solidFill>
          </w14:textFill>
        </w:rPr>
        <w:t>或部分分包给</w:t>
      </w:r>
      <w:r>
        <w:rPr>
          <w:rFonts w:hint="eastAsia" w:ascii="仿宋_GB2312" w:hAnsi="宋体" w:eastAsia="仿宋_GB2312"/>
          <w:color w:val="000000" w:themeColor="text1"/>
          <w:sz w:val="32"/>
          <w:szCs w:val="32"/>
          <w:lang w:val="en-US" w:eastAsia="zh-CN"/>
          <w14:textFill>
            <w14:solidFill>
              <w14:schemeClr w14:val="tx1"/>
            </w14:solidFill>
          </w14:textFill>
        </w:rPr>
        <w:t>第三方</w:t>
      </w:r>
      <w:r>
        <w:rPr>
          <w:rFonts w:hint="eastAsia" w:ascii="仿宋_GB2312" w:hAnsi="宋体" w:eastAsia="仿宋_GB2312"/>
          <w:color w:val="000000" w:themeColor="text1"/>
          <w:sz w:val="32"/>
          <w:szCs w:val="32"/>
          <w14:textFill>
            <w14:solidFill>
              <w14:schemeClr w14:val="tx1"/>
            </w14:solidFill>
          </w14:textFill>
        </w:rPr>
        <w:t>提供；</w:t>
      </w:r>
    </w:p>
    <w:p w14:paraId="1B52573C">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3.如有</w:t>
      </w:r>
      <w:r>
        <w:rPr>
          <w:rFonts w:hint="eastAsia" w:ascii="仿宋_GB2312" w:hAnsi="宋体" w:eastAsia="仿宋_GB2312"/>
          <w:color w:val="000000" w:themeColor="text1"/>
          <w:sz w:val="32"/>
          <w:szCs w:val="32"/>
          <w:lang w:val="en-US" w:eastAsia="zh-CN"/>
          <w14:textFill>
            <w14:solidFill>
              <w14:schemeClr w14:val="tx1"/>
            </w14:solidFill>
          </w14:textFill>
        </w:rPr>
        <w:t>转包或</w:t>
      </w:r>
      <w:r>
        <w:rPr>
          <w:rFonts w:hint="eastAsia" w:ascii="仿宋_GB2312" w:hAnsi="宋体" w:eastAsia="仿宋_GB2312"/>
          <w:color w:val="000000" w:themeColor="text1"/>
          <w:sz w:val="32"/>
          <w:szCs w:val="32"/>
          <w14:textFill>
            <w14:solidFill>
              <w14:schemeClr w14:val="tx1"/>
            </w14:solidFill>
          </w14:textFill>
        </w:rPr>
        <w:t>分包行为，甲方有权解除合同，</w:t>
      </w:r>
      <w:r>
        <w:rPr>
          <w:rFonts w:hint="eastAsia" w:ascii="仿宋_GB2312" w:hAnsi="宋体" w:eastAsia="仿宋_GB2312"/>
          <w:color w:val="000000" w:themeColor="text1"/>
          <w:sz w:val="32"/>
          <w:szCs w:val="32"/>
          <w:lang w:val="en-US" w:eastAsia="zh-CN"/>
          <w14:textFill>
            <w14:solidFill>
              <w14:schemeClr w14:val="tx1"/>
            </w14:solidFill>
          </w14:textFill>
        </w:rPr>
        <w:t>按合同约定</w:t>
      </w:r>
      <w:r>
        <w:rPr>
          <w:rFonts w:hint="eastAsia" w:ascii="仿宋_GB2312" w:hAnsi="宋体" w:eastAsia="仿宋_GB2312"/>
          <w:color w:val="000000" w:themeColor="text1"/>
          <w:sz w:val="32"/>
          <w:szCs w:val="32"/>
          <w14:textFill>
            <w14:solidFill>
              <w14:schemeClr w14:val="tx1"/>
            </w14:solidFill>
          </w14:textFill>
        </w:rPr>
        <w:t>追究乙方的违约责任。</w:t>
      </w:r>
    </w:p>
    <w:p w14:paraId="66D8EA76">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第十条  验收</w:t>
      </w:r>
    </w:p>
    <w:p w14:paraId="2A95CA87">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1.乙方提供服务与响应文件的承诺</w:t>
      </w:r>
      <w:r>
        <w:rPr>
          <w:rFonts w:hint="eastAsia" w:ascii="仿宋_GB2312" w:hAnsi="宋体" w:eastAsia="仿宋_GB2312"/>
          <w:color w:val="000000" w:themeColor="text1"/>
          <w:sz w:val="32"/>
          <w:szCs w:val="32"/>
          <w:lang w:val="en-US" w:eastAsia="zh-CN"/>
          <w14:textFill>
            <w14:solidFill>
              <w14:schemeClr w14:val="tx1"/>
            </w14:solidFill>
          </w14:textFill>
        </w:rPr>
        <w:t>或与</w:t>
      </w:r>
      <w:r>
        <w:rPr>
          <w:rFonts w:hint="eastAsia" w:ascii="仿宋_GB2312" w:hAnsi="宋体" w:eastAsia="仿宋_GB2312"/>
          <w:color w:val="000000" w:themeColor="text1"/>
          <w:sz w:val="32"/>
          <w:szCs w:val="32"/>
          <w14:textFill>
            <w14:solidFill>
              <w14:schemeClr w14:val="tx1"/>
            </w14:solidFill>
          </w14:textFill>
        </w:rPr>
        <w:t>本合同的</w:t>
      </w:r>
      <w:r>
        <w:rPr>
          <w:rFonts w:hint="eastAsia" w:ascii="仿宋_GB2312" w:hAnsi="宋体" w:eastAsia="仿宋_GB2312"/>
          <w:color w:val="000000" w:themeColor="text1"/>
          <w:sz w:val="32"/>
          <w:szCs w:val="32"/>
          <w:lang w:val="en-US" w:eastAsia="zh-CN"/>
          <w14:textFill>
            <w14:solidFill>
              <w14:schemeClr w14:val="tx1"/>
            </w14:solidFill>
          </w14:textFill>
        </w:rPr>
        <w:t>约定</w:t>
      </w:r>
      <w:r>
        <w:rPr>
          <w:rFonts w:hint="eastAsia" w:ascii="仿宋_GB2312" w:hAnsi="宋体" w:eastAsia="仿宋_GB2312"/>
          <w:color w:val="000000" w:themeColor="text1"/>
          <w:sz w:val="32"/>
          <w:szCs w:val="32"/>
          <w14:textFill>
            <w14:solidFill>
              <w14:schemeClr w14:val="tx1"/>
            </w14:solidFill>
          </w14:textFill>
        </w:rPr>
        <w:t>不相符的，甲方有权拒绝接受。</w:t>
      </w:r>
    </w:p>
    <w:p w14:paraId="08F49912">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2.乙方应对提交的服务成果做出全面检查和对验收涉及到的相关文件材料进行整理，并列出材料清单，作为甲方验收和使用的技术条件依据，清单应随提交的服务成果交给甲方。</w:t>
      </w:r>
    </w:p>
    <w:p w14:paraId="6E40A037">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3.乙方在指定地点提交服务成果后，甲方应当在10个工作日内依据采购文件、乙方的响应文件</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lang w:val="en-US" w:eastAsia="zh-CN"/>
          <w14:textFill>
            <w14:solidFill>
              <w14:schemeClr w14:val="tx1"/>
            </w14:solidFill>
          </w14:textFill>
        </w:rPr>
        <w:t>合同约定</w:t>
      </w:r>
      <w:r>
        <w:rPr>
          <w:rFonts w:hint="eastAsia" w:ascii="仿宋_GB2312" w:hAnsi="宋体" w:eastAsia="仿宋_GB2312"/>
          <w:color w:val="000000" w:themeColor="text1"/>
          <w:sz w:val="32"/>
          <w:szCs w:val="32"/>
          <w14:textFill>
            <w14:solidFill>
              <w14:schemeClr w14:val="tx1"/>
            </w14:solidFill>
          </w14:textFill>
        </w:rPr>
        <w:t>等进行验收。验收合格后由甲乙双方签署验收单并加盖甲方公章，甲乙双方各执一份。</w:t>
      </w:r>
    </w:p>
    <w:p w14:paraId="7197F25B">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4.甲方按内部管理规章组织验收项目，其验收结果以该项目验收报告结论为准。在验收过程中发现乙方有违约问题，可暂缓资金结算，待违约问题解决后，方可办理资金结算事宜。</w:t>
      </w:r>
    </w:p>
    <w:p w14:paraId="63E38154">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5.甲方对验收有异议的，可在验收现场向乙方提出，也可在验收后5个工作日内以书面形式向乙方提出，乙方应在收到甲方异议后7日内及时予以解决。</w:t>
      </w:r>
    </w:p>
    <w:p w14:paraId="1BC02DDF">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6.对复杂的服务，甲方可聘请国家认可的专业机构参与验收，并由其出具验收报告，相关费用由乙方承担。</w:t>
      </w:r>
    </w:p>
    <w:p w14:paraId="14B2BECF">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7.若乙方的服务成果未能通过甲方或相关专业机构验收的，甲方有权要求乙方进行整改（累计整改次数不得超过3次），整改期间甲方有权暂缓支付款项。若整改后仍未通过验收或乙方拒不履行整改义务的，甲方有权单方解除本合同并拒绝付款，已经支付的款项应当全额退还甲方，由此造成的损失，由乙方自行承担。</w:t>
      </w:r>
    </w:p>
    <w:p w14:paraId="69306790">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第十一条  质量保证及服务要求</w:t>
      </w:r>
    </w:p>
    <w:p w14:paraId="0C4544C1">
      <w:pPr>
        <w:spacing w:line="560" w:lineRule="exact"/>
        <w:ind w:firstLine="640" w:firstLineChars="20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1.乙方提供的服务应同时满足∶</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lang w:val="en-US" w:eastAsia="zh-CN"/>
          <w14:textFill>
            <w14:solidFill>
              <w14:schemeClr w14:val="tx1"/>
            </w14:solidFill>
          </w14:textFill>
        </w:rPr>
        <w:t>1</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符合国家法律法规和规范性文件对服务质量的要求;</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lang w:val="en-US" w:eastAsia="zh-CN"/>
          <w14:textFill>
            <w14:solidFill>
              <w14:schemeClr w14:val="tx1"/>
            </w14:solidFill>
          </w14:textFill>
        </w:rPr>
        <w:t>2</w:t>
      </w:r>
      <w:r>
        <w:rPr>
          <w:rFonts w:hint="eastAsia" w:ascii="仿宋_GB2312" w:hAnsi="宋体" w:eastAsia="仿宋_GB2312"/>
          <w:color w:val="000000" w:themeColor="text1"/>
          <w:sz w:val="32"/>
          <w:szCs w:val="32"/>
          <w:lang w:eastAsia="zh-CN"/>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符合甲方招标（磋商、谈判）文件对服务的质量要求;3 符合乙方在投标（响应）文件中或磋商、谈判过程中对服务质量作出的书面承诺、声明或保证。上述质量要求作为甲方对乙方服务质量的验收依据。</w:t>
      </w:r>
    </w:p>
    <w:p w14:paraId="2794511A">
      <w:pPr>
        <w:spacing w:line="560" w:lineRule="exact"/>
        <w:ind w:firstLine="640" w:firstLineChars="20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2.</w:t>
      </w:r>
      <w:r>
        <w:rPr>
          <w:rFonts w:hint="eastAsia" w:ascii="仿宋_GB2312" w:hAnsi="宋体" w:eastAsia="仿宋_GB2312"/>
          <w:color w:val="000000" w:themeColor="text1"/>
          <w:sz w:val="32"/>
          <w:szCs w:val="32"/>
          <w14:textFill>
            <w14:solidFill>
              <w14:schemeClr w14:val="tx1"/>
            </w14:solidFill>
          </w14:textFill>
        </w:rPr>
        <w:t>乙方应根据国家法律法规和规范性文件的规定、招标磋商、谈判）文件的相关要求、投标（响应）文件及乙方承诺、声明或保证，向甲方提供相应的服务质量证明文件。</w:t>
      </w:r>
    </w:p>
    <w:p w14:paraId="2EEDD3A6">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3.乙方交付服务成果方式及载体应符合国家法律法规和</w:t>
      </w:r>
      <w:r>
        <w:rPr>
          <w:rFonts w:hint="eastAsia" w:ascii="仿宋_GB2312" w:hAnsi="宋体" w:eastAsia="仿宋_GB2312"/>
          <w:color w:val="000000" w:themeColor="text1"/>
          <w:sz w:val="32"/>
          <w:szCs w:val="32"/>
          <w:lang w:val="en-US" w:eastAsia="zh-CN"/>
          <w14:textFill>
            <w14:solidFill>
              <w14:schemeClr w14:val="tx1"/>
            </w14:solidFill>
          </w14:textFill>
        </w:rPr>
        <w:br w:type="textWrapping"/>
      </w:r>
      <w:r>
        <w:rPr>
          <w:rFonts w:hint="eastAsia" w:ascii="仿宋_GB2312" w:hAnsi="宋体" w:eastAsia="仿宋_GB2312"/>
          <w:color w:val="000000" w:themeColor="text1"/>
          <w:sz w:val="32"/>
          <w:szCs w:val="32"/>
          <w:lang w:val="en-US" w:eastAsia="zh-CN"/>
          <w14:textFill>
            <w14:solidFill>
              <w14:schemeClr w14:val="tx1"/>
            </w14:solidFill>
          </w14:textFill>
        </w:rPr>
        <w:t>规范性文件的要求，并符合甲方招标（磋商、谈判）文件的要求、乙方在投标（响应）文件中对服务成果交付方式及载体作出的承诺。</w:t>
      </w:r>
    </w:p>
    <w:p w14:paraId="2C39BEE0">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4</w:t>
      </w:r>
      <w:r>
        <w:rPr>
          <w:rFonts w:hint="eastAsia" w:ascii="仿宋_GB2312" w:hAnsi="宋体" w:eastAsia="仿宋_GB2312"/>
          <w:color w:val="000000" w:themeColor="text1"/>
          <w:sz w:val="32"/>
          <w:szCs w:val="32"/>
          <w14:textFill>
            <w14:solidFill>
              <w14:schemeClr w14:val="tx1"/>
            </w14:solidFill>
          </w14:textFill>
        </w:rPr>
        <w:t>.乙方提供服务的质量保证期为</w:t>
      </w:r>
      <w:r>
        <w:rPr>
          <w:rFonts w:hint="eastAsia" w:ascii="仿宋_GB2312" w:hAnsi="宋体" w:eastAsia="仿宋_GB2312"/>
          <w:color w:val="000000" w:themeColor="text1"/>
          <w:sz w:val="32"/>
          <w:szCs w:val="32"/>
          <w:u w:val="single"/>
          <w14:textFill>
            <w14:solidFill>
              <w14:schemeClr w14:val="tx1"/>
            </w14:solidFill>
          </w14:textFill>
        </w:rPr>
        <w:t xml:space="preserve"> </w:t>
      </w:r>
      <w:r>
        <w:rPr>
          <w:rFonts w:hint="eastAsia" w:ascii="仿宋_GB2312" w:hAnsi="宋体" w:eastAsia="仿宋_GB2312"/>
          <w:color w:val="000000" w:themeColor="text1"/>
          <w:sz w:val="32"/>
          <w:szCs w:val="32"/>
          <w:u w:val="single"/>
          <w:lang w:val="en-US" w:eastAsia="zh-CN"/>
          <w14:textFill>
            <w14:solidFill>
              <w14:schemeClr w14:val="tx1"/>
            </w14:solidFill>
          </w14:textFill>
        </w:rPr>
        <w:t>2</w:t>
      </w:r>
      <w:r>
        <w:rPr>
          <w:rFonts w:hint="eastAsia" w:ascii="仿宋_GB2312" w:hAnsi="宋体" w:eastAsia="仿宋_GB2312"/>
          <w:color w:val="000000" w:themeColor="text1"/>
          <w:sz w:val="32"/>
          <w:szCs w:val="32"/>
          <w:u w:val="single"/>
          <w14:textFill>
            <w14:solidFill>
              <w14:schemeClr w14:val="tx1"/>
            </w14:solidFill>
          </w14:textFill>
        </w:rPr>
        <w:t xml:space="preserve"> </w:t>
      </w:r>
      <w:r>
        <w:rPr>
          <w:rFonts w:hint="eastAsia" w:ascii="仿宋_GB2312" w:hAnsi="宋体" w:eastAsia="仿宋_GB2312"/>
          <w:color w:val="000000" w:themeColor="text1"/>
          <w:sz w:val="32"/>
          <w:szCs w:val="32"/>
          <w14:textFill>
            <w14:solidFill>
              <w14:schemeClr w14:val="tx1"/>
            </w14:solidFill>
          </w14:textFill>
        </w:rPr>
        <w:t>年（自验收合格之日起计）。在服务质量保证期内，乙方应对服务出现的问题负责处理解决并承担一切费用。</w:t>
      </w:r>
    </w:p>
    <w:p w14:paraId="4D4F972D">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lang w:val="en-US" w:eastAsia="zh-CN"/>
          <w14:textFill>
            <w14:solidFill>
              <w14:schemeClr w14:val="tx1"/>
            </w14:solidFill>
          </w14:textFill>
        </w:rPr>
        <w:t>5</w:t>
      </w:r>
      <w:r>
        <w:rPr>
          <w:rFonts w:hint="eastAsia" w:ascii="仿宋_GB2312" w:hAnsi="宋体" w:eastAsia="仿宋_GB2312"/>
          <w:color w:val="000000" w:themeColor="text1"/>
          <w:sz w:val="32"/>
          <w:szCs w:val="32"/>
          <w14:textFill>
            <w14:solidFill>
              <w14:schemeClr w14:val="tx1"/>
            </w14:solidFill>
          </w14:textFill>
        </w:rPr>
        <w:t>.其他服务要求：</w:t>
      </w:r>
      <w:r>
        <w:rPr>
          <w:rFonts w:hint="eastAsia" w:ascii="仿宋_GB2312" w:hAnsi="宋体" w:eastAsia="仿宋_GB2312"/>
          <w:color w:val="000000" w:themeColor="text1"/>
          <w:sz w:val="32"/>
          <w:szCs w:val="32"/>
          <w:u w:val="single"/>
          <w14:textFill>
            <w14:solidFill>
              <w14:schemeClr w14:val="tx1"/>
            </w14:solidFill>
          </w14:textFill>
        </w:rPr>
        <w:t xml:space="preserve">                            </w:t>
      </w:r>
    </w:p>
    <w:p w14:paraId="49844EEB">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第十二条  违约责任</w:t>
      </w:r>
    </w:p>
    <w:p w14:paraId="0F717EB7">
      <w:pPr>
        <w:pStyle w:val="4"/>
        <w:spacing w:line="560" w:lineRule="exact"/>
        <w:ind w:firstLine="640" w:firstLineChars="200"/>
        <w:rPr>
          <w:rFonts w:hint="eastAsia" w:ascii="仿宋_GB2312" w:hAnsi="宋体" w:eastAsia="仿宋_GB2312" w:cstheme="minorBidi"/>
          <w:color w:val="000000" w:themeColor="text1"/>
          <w:kern w:val="2"/>
          <w:sz w:val="32"/>
          <w:szCs w:val="32"/>
          <w:lang w:val="en-US" w:eastAsia="zh-CN"/>
          <w14:textFill>
            <w14:solidFill>
              <w14:schemeClr w14:val="tx1"/>
            </w14:solidFill>
          </w14:textFill>
        </w:rPr>
      </w:pPr>
      <w:r>
        <w:rPr>
          <w:rFonts w:hint="eastAsia" w:ascii="仿宋_GB2312" w:hAnsi="宋体" w:eastAsia="仿宋_GB2312" w:cstheme="minorBidi"/>
          <w:color w:val="000000" w:themeColor="text1"/>
          <w:kern w:val="2"/>
          <w:sz w:val="32"/>
          <w:szCs w:val="32"/>
          <w:lang w:eastAsia="zh-CN"/>
          <w14:textFill>
            <w14:solidFill>
              <w14:schemeClr w14:val="tx1"/>
            </w14:solidFill>
          </w14:textFill>
        </w:rPr>
        <w:t>（</w:t>
      </w:r>
      <w:r>
        <w:rPr>
          <w:rFonts w:hint="eastAsia" w:ascii="仿宋_GB2312" w:hAnsi="宋体" w:eastAsia="仿宋_GB2312" w:cstheme="minorBidi"/>
          <w:color w:val="000000" w:themeColor="text1"/>
          <w:kern w:val="2"/>
          <w:sz w:val="32"/>
          <w:szCs w:val="32"/>
          <w:lang w:val="en-US" w:eastAsia="zh-CN"/>
          <w14:textFill>
            <w14:solidFill>
              <w14:schemeClr w14:val="tx1"/>
            </w14:solidFill>
          </w14:textFill>
        </w:rPr>
        <w:t>一</w:t>
      </w:r>
      <w:r>
        <w:rPr>
          <w:rFonts w:hint="eastAsia" w:ascii="仿宋_GB2312" w:hAnsi="宋体" w:eastAsia="仿宋_GB2312" w:cstheme="minorBidi"/>
          <w:color w:val="000000" w:themeColor="text1"/>
          <w:kern w:val="2"/>
          <w:sz w:val="32"/>
          <w:szCs w:val="32"/>
          <w:lang w:eastAsia="zh-CN"/>
          <w14:textFill>
            <w14:solidFill>
              <w14:schemeClr w14:val="tx1"/>
            </w14:solidFill>
          </w14:textFill>
        </w:rPr>
        <w:t>）</w:t>
      </w:r>
      <w:r>
        <w:rPr>
          <w:rFonts w:hint="eastAsia" w:ascii="仿宋_GB2312" w:hAnsi="宋体" w:eastAsia="仿宋_GB2312" w:cstheme="minorBidi"/>
          <w:color w:val="000000" w:themeColor="text1"/>
          <w:kern w:val="2"/>
          <w:sz w:val="32"/>
          <w:szCs w:val="32"/>
          <w:lang w:val="en-US" w:eastAsia="zh-CN"/>
          <w14:textFill>
            <w14:solidFill>
              <w14:schemeClr w14:val="tx1"/>
            </w14:solidFill>
          </w14:textFill>
        </w:rPr>
        <w:t>甲方违约责任</w:t>
      </w:r>
    </w:p>
    <w:p w14:paraId="40E8B5DA">
      <w:pPr>
        <w:pStyle w:val="4"/>
        <w:spacing w:line="560" w:lineRule="exact"/>
        <w:ind w:firstLine="640" w:firstLineChars="200"/>
        <w:rPr>
          <w:rFonts w:hint="eastAsia" w:ascii="仿宋_GB2312" w:hAnsi="宋体" w:eastAsia="仿宋_GB2312" w:cstheme="minorBidi"/>
          <w:color w:val="000000" w:themeColor="text1"/>
          <w:kern w:val="2"/>
          <w:sz w:val="32"/>
          <w:szCs w:val="32"/>
          <w:lang w:val="en-US" w:eastAsia="zh-CN"/>
          <w14:textFill>
            <w14:solidFill>
              <w14:schemeClr w14:val="tx1"/>
            </w14:solidFill>
          </w14:textFill>
        </w:rPr>
      </w:pPr>
      <w:r>
        <w:rPr>
          <w:rFonts w:hint="eastAsia" w:ascii="仿宋_GB2312" w:hAnsi="宋体" w:eastAsia="仿宋_GB2312" w:cstheme="minorBidi"/>
          <w:color w:val="000000" w:themeColor="text1"/>
          <w:kern w:val="2"/>
          <w:sz w:val="32"/>
          <w:szCs w:val="32"/>
          <w:lang w:val="en-US" w:eastAsia="zh-CN"/>
          <w14:textFill>
            <w14:solidFill>
              <w14:schemeClr w14:val="tx1"/>
            </w14:solidFill>
          </w14:textFill>
        </w:rPr>
        <w:t>1.在乙方未有任何违约情形下，如甲方未能按照合同约定的时间金额支付货款的，自逾期之日起，乙方有权要求甲方以未付金额为基数以万分之二为标准按日计算违约金，但违约金累计不得超过逾期支付金额的20%。</w:t>
      </w:r>
    </w:p>
    <w:p w14:paraId="3A3BAA21">
      <w:pPr>
        <w:pStyle w:val="4"/>
        <w:spacing w:line="560" w:lineRule="exact"/>
        <w:ind w:firstLine="640" w:firstLineChars="200"/>
        <w:rPr>
          <w:rFonts w:hint="eastAsia" w:ascii="仿宋_GB2312" w:hAnsi="宋体" w:eastAsia="仿宋_GB2312" w:cstheme="minorBidi"/>
          <w:color w:val="000000" w:themeColor="text1"/>
          <w:kern w:val="2"/>
          <w:sz w:val="32"/>
          <w:szCs w:val="32"/>
          <w:lang w:val="en-US" w:eastAsia="zh-CN"/>
          <w14:textFill>
            <w14:solidFill>
              <w14:schemeClr w14:val="tx1"/>
            </w14:solidFill>
          </w14:textFill>
        </w:rPr>
      </w:pPr>
      <w:r>
        <w:rPr>
          <w:rFonts w:hint="eastAsia" w:ascii="仿宋_GB2312" w:hAnsi="宋体" w:eastAsia="仿宋_GB2312" w:cstheme="minorBidi"/>
          <w:color w:val="000000" w:themeColor="text1"/>
          <w:kern w:val="2"/>
          <w:sz w:val="32"/>
          <w:szCs w:val="32"/>
          <w:lang w:val="en-US" w:eastAsia="zh-CN"/>
          <w14:textFill>
            <w14:solidFill>
              <w14:schemeClr w14:val="tx1"/>
            </w14:solidFill>
          </w14:textFill>
        </w:rPr>
        <w:t>2.甲方原因未能按照合同约定提供有关技术资料、数据，影响工作进度的，乙方有权顺延提交服务成果的期限。</w:t>
      </w:r>
    </w:p>
    <w:p w14:paraId="465D64D8">
      <w:pPr>
        <w:pStyle w:val="4"/>
        <w:spacing w:line="560" w:lineRule="exact"/>
        <w:ind w:firstLine="640" w:firstLineChars="200"/>
        <w:rPr>
          <w:rFonts w:hint="eastAsia" w:ascii="仿宋_GB2312" w:hAnsi="宋体" w:eastAsia="仿宋_GB2312" w:cstheme="minorBidi"/>
          <w:color w:val="000000" w:themeColor="text1"/>
          <w:kern w:val="2"/>
          <w:sz w:val="32"/>
          <w:szCs w:val="32"/>
          <w:lang w:val="en-US" w:eastAsia="zh-CN"/>
          <w14:textFill>
            <w14:solidFill>
              <w14:schemeClr w14:val="tx1"/>
            </w14:solidFill>
          </w14:textFill>
        </w:rPr>
      </w:pPr>
      <w:r>
        <w:rPr>
          <w:rFonts w:hint="eastAsia" w:ascii="仿宋_GB2312" w:hAnsi="宋体" w:eastAsia="仿宋_GB2312" w:cstheme="minorBidi"/>
          <w:color w:val="000000" w:themeColor="text1"/>
          <w:kern w:val="2"/>
          <w:sz w:val="32"/>
          <w:szCs w:val="32"/>
          <w:lang w:val="en-US" w:eastAsia="zh-CN"/>
          <w14:textFill>
            <w14:solidFill>
              <w14:schemeClr w14:val="tx1"/>
            </w14:solidFill>
          </w14:textFill>
        </w:rPr>
        <w:t>（二）乙方违约责任</w:t>
      </w:r>
    </w:p>
    <w:p w14:paraId="456102DB">
      <w:pPr>
        <w:snapToGrid w:val="0"/>
        <w:spacing w:line="560" w:lineRule="exact"/>
        <w:ind w:firstLine="640" w:firstLineChars="200"/>
        <w:rPr>
          <w:rFonts w:hint="eastAsia" w:ascii="仿宋_GB2312" w:hAnsi="宋体" w:eastAsia="仿宋_GB2312" w:cs="宋体"/>
          <w:color w:val="000000" w:themeColor="text1"/>
          <w:sz w:val="32"/>
          <w:szCs w:val="32"/>
          <w:lang w:val="en-US" w:eastAsia="zh-CN"/>
          <w14:textFill>
            <w14:solidFill>
              <w14:schemeClr w14:val="tx1"/>
            </w14:solidFill>
          </w14:textFill>
        </w:rPr>
      </w:pPr>
      <w:r>
        <w:rPr>
          <w:rFonts w:hint="eastAsia" w:ascii="仿宋_GB2312" w:hAnsi="宋体" w:eastAsia="仿宋_GB2312" w:cs="Arial"/>
          <w:color w:val="000000" w:themeColor="text1"/>
          <w:sz w:val="32"/>
          <w:szCs w:val="32"/>
          <w:lang w:val="en-US" w:eastAsia="zh-CN"/>
          <w14:textFill>
            <w14:solidFill>
              <w14:schemeClr w14:val="tx1"/>
            </w14:solidFill>
          </w14:textFill>
        </w:rPr>
        <w:t>1.</w:t>
      </w:r>
      <w:r>
        <w:rPr>
          <w:rFonts w:hint="eastAsia" w:ascii="仿宋_GB2312" w:hAnsi="宋体" w:eastAsia="仿宋_GB2312" w:cs="宋体"/>
          <w:color w:val="000000" w:themeColor="text1"/>
          <w:sz w:val="32"/>
          <w:szCs w:val="32"/>
          <w:lang w:val="en-US" w:eastAsia="zh-CN"/>
          <w14:textFill>
            <w14:solidFill>
              <w14:schemeClr w14:val="tx1"/>
            </w14:solidFill>
          </w14:textFill>
        </w:rPr>
        <w:t>乙方应按合同的约定按时足额向甲方提交履约保证金，乙方逾期未能足额提交履约保证金的，视为乙方无正当理由放弃中标/成交资格，甲方有权取消乙方中标/成交资格，并不予退回投标保证金（如有）。乙方该行为导致甲方重新采购的，乙方还应赔偿甲方因此产生的全部额外费用（包括但不限于重新采购的招标成本、因价格上涨产生的差价损失等）。</w:t>
      </w:r>
    </w:p>
    <w:p w14:paraId="1B5BDFE3">
      <w:pPr>
        <w:snapToGrid w:val="0"/>
        <w:spacing w:line="560" w:lineRule="exact"/>
        <w:ind w:firstLine="640" w:firstLineChars="200"/>
        <w:rPr>
          <w:rFonts w:hint="eastAsia" w:ascii="仿宋_GB2312" w:hAnsi="宋体" w:eastAsia="仿宋_GB2312" w:cs="宋体"/>
          <w:color w:val="000000" w:themeColor="text1"/>
          <w:sz w:val="32"/>
          <w:szCs w:val="32"/>
          <w:lang w:val="en-US" w:eastAsia="zh-CN"/>
          <w14:textFill>
            <w14:solidFill>
              <w14:schemeClr w14:val="tx1"/>
            </w14:solidFill>
          </w14:textFill>
        </w:rPr>
      </w:pPr>
      <w:r>
        <w:rPr>
          <w:rFonts w:hint="eastAsia" w:ascii="仿宋_GB2312" w:hAnsi="宋体" w:eastAsia="仿宋_GB2312" w:cstheme="minorBidi"/>
          <w:color w:val="000000" w:themeColor="text1"/>
          <w:kern w:val="2"/>
          <w:sz w:val="32"/>
          <w:szCs w:val="32"/>
          <w:lang w:val="en-US" w:eastAsia="zh-CN"/>
          <w14:textFill>
            <w14:solidFill>
              <w14:schemeClr w14:val="tx1"/>
            </w14:solidFill>
          </w14:textFill>
        </w:rPr>
        <w:t>2.</w:t>
      </w:r>
      <w:r>
        <w:rPr>
          <w:rFonts w:hint="default" w:ascii="仿宋_GB2312" w:hAnsi="宋体" w:eastAsia="仿宋_GB2312" w:cstheme="minorBidi"/>
          <w:color w:val="000000" w:themeColor="text1"/>
          <w:kern w:val="2"/>
          <w:sz w:val="32"/>
          <w:szCs w:val="32"/>
          <w:lang w:val="en-US" w:eastAsia="zh-CN"/>
          <w14:textFill>
            <w14:solidFill>
              <w14:schemeClr w14:val="tx1"/>
            </w14:solidFill>
          </w14:textFill>
        </w:rPr>
        <w:t>乙方逾期提供服务成果的，</w:t>
      </w:r>
      <w:r>
        <w:rPr>
          <w:rFonts w:hint="eastAsia" w:ascii="仿宋_GB2312" w:hAnsi="宋体" w:eastAsia="仿宋_GB2312" w:cstheme="minorBidi"/>
          <w:color w:val="000000" w:themeColor="text1"/>
          <w:kern w:val="2"/>
          <w:sz w:val="32"/>
          <w:szCs w:val="32"/>
          <w:lang w:val="en-US" w:eastAsia="zh-CN"/>
          <w14:textFill>
            <w14:solidFill>
              <w14:schemeClr w14:val="tx1"/>
            </w14:solidFill>
          </w14:textFill>
        </w:rPr>
        <w:t>自逾期之日起</w:t>
      </w:r>
      <w:r>
        <w:rPr>
          <w:rFonts w:hint="default" w:ascii="仿宋_GB2312" w:hAnsi="宋体" w:eastAsia="仿宋_GB2312" w:cstheme="minorBidi"/>
          <w:color w:val="000000" w:themeColor="text1"/>
          <w:kern w:val="2"/>
          <w:sz w:val="32"/>
          <w:szCs w:val="32"/>
          <w:lang w:val="en-US" w:eastAsia="zh-CN"/>
          <w14:textFill>
            <w14:solidFill>
              <w14:schemeClr w14:val="tx1"/>
            </w14:solidFill>
          </w14:textFill>
        </w:rPr>
        <w:t>,乙方应按照合同总金额的</w:t>
      </w:r>
      <w:r>
        <w:rPr>
          <w:rFonts w:hint="eastAsia" w:ascii="仿宋_GB2312" w:hAnsi="宋体" w:eastAsia="仿宋_GB2312" w:cstheme="minorBidi"/>
          <w:color w:val="000000" w:themeColor="text1"/>
          <w:kern w:val="2"/>
          <w:sz w:val="32"/>
          <w:szCs w:val="32"/>
          <w:lang w:val="en-US" w:eastAsia="zh-CN"/>
          <w14:textFill>
            <w14:solidFill>
              <w14:schemeClr w14:val="tx1"/>
            </w14:solidFill>
          </w14:textFill>
        </w:rPr>
        <w:t>日万分之四向甲方</w:t>
      </w:r>
      <w:r>
        <w:rPr>
          <w:rFonts w:hint="default" w:ascii="仿宋_GB2312" w:hAnsi="宋体" w:eastAsia="仿宋_GB2312" w:cstheme="minorBidi"/>
          <w:color w:val="000000" w:themeColor="text1"/>
          <w:kern w:val="2"/>
          <w:sz w:val="32"/>
          <w:szCs w:val="32"/>
          <w:lang w:val="en-US" w:eastAsia="zh-CN"/>
          <w14:textFill>
            <w14:solidFill>
              <w14:schemeClr w14:val="tx1"/>
            </w14:solidFill>
          </w14:textFill>
        </w:rPr>
        <w:t>承担违约责任。</w:t>
      </w:r>
      <w:r>
        <w:rPr>
          <w:rFonts w:hint="eastAsia" w:ascii="仿宋_GB2312" w:hAnsi="宋体" w:eastAsia="仿宋_GB2312" w:cstheme="minorBidi"/>
          <w:color w:val="000000" w:themeColor="text1"/>
          <w:kern w:val="2"/>
          <w:sz w:val="32"/>
          <w:szCs w:val="32"/>
          <w:lang w:val="en-US" w:eastAsia="zh-CN"/>
          <w14:textFill>
            <w14:solidFill>
              <w14:schemeClr w14:val="tx1"/>
            </w14:solidFill>
          </w14:textFill>
        </w:rPr>
        <w:t>逾期</w:t>
      </w:r>
      <w:r>
        <w:rPr>
          <w:rFonts w:hint="default" w:ascii="仿宋_GB2312" w:hAnsi="宋体" w:eastAsia="仿宋_GB2312" w:cstheme="minorBidi"/>
          <w:color w:val="000000" w:themeColor="text1"/>
          <w:kern w:val="2"/>
          <w:sz w:val="32"/>
          <w:szCs w:val="32"/>
          <w:lang w:val="en-US" w:eastAsia="zh-CN"/>
          <w14:textFill>
            <w14:solidFill>
              <w14:schemeClr w14:val="tx1"/>
            </w14:solidFill>
          </w14:textFill>
        </w:rPr>
        <w:t>达到</w:t>
      </w:r>
      <w:r>
        <w:rPr>
          <w:rFonts w:hint="eastAsia" w:ascii="仿宋_GB2312" w:hAnsi="宋体" w:eastAsia="仿宋_GB2312" w:cstheme="minorBidi"/>
          <w:color w:val="000000" w:themeColor="text1"/>
          <w:kern w:val="2"/>
          <w:sz w:val="32"/>
          <w:szCs w:val="32"/>
          <w:lang w:val="en-US" w:eastAsia="zh-CN"/>
          <w14:textFill>
            <w14:solidFill>
              <w14:schemeClr w14:val="tx1"/>
            </w14:solidFill>
          </w14:textFill>
        </w:rPr>
        <w:t>15</w:t>
      </w:r>
      <w:r>
        <w:rPr>
          <w:rFonts w:hint="default" w:ascii="仿宋_GB2312" w:hAnsi="宋体" w:eastAsia="仿宋_GB2312" w:cstheme="minorBidi"/>
          <w:color w:val="000000" w:themeColor="text1"/>
          <w:kern w:val="2"/>
          <w:sz w:val="32"/>
          <w:szCs w:val="32"/>
          <w:lang w:val="en-US" w:eastAsia="zh-CN"/>
          <w14:textFill>
            <w14:solidFill>
              <w14:schemeClr w14:val="tx1"/>
            </w14:solidFill>
          </w14:textFill>
        </w:rPr>
        <w:t>日</w:t>
      </w:r>
      <w:r>
        <w:rPr>
          <w:rFonts w:hint="eastAsia" w:ascii="仿宋_GB2312" w:hAnsi="宋体" w:eastAsia="仿宋_GB2312" w:cstheme="minorBidi"/>
          <w:color w:val="000000" w:themeColor="text1"/>
          <w:kern w:val="2"/>
          <w:sz w:val="32"/>
          <w:szCs w:val="32"/>
          <w:lang w:val="en-US" w:eastAsia="zh-CN"/>
          <w14:textFill>
            <w14:solidFill>
              <w14:schemeClr w14:val="tx1"/>
            </w14:solidFill>
          </w14:textFill>
        </w:rPr>
        <w:t>的</w:t>
      </w:r>
      <w:r>
        <w:rPr>
          <w:rFonts w:hint="default" w:ascii="仿宋_GB2312" w:hAnsi="宋体" w:eastAsia="仿宋_GB2312" w:cstheme="minorBidi"/>
          <w:color w:val="000000" w:themeColor="text1"/>
          <w:kern w:val="2"/>
          <w:sz w:val="32"/>
          <w:szCs w:val="32"/>
          <w:lang w:val="en-US" w:eastAsia="zh-CN"/>
          <w14:textFill>
            <w14:solidFill>
              <w14:schemeClr w14:val="tx1"/>
            </w14:solidFill>
          </w14:textFill>
        </w:rPr>
        <w:t>，甲方有权解除合同，</w:t>
      </w:r>
      <w:r>
        <w:rPr>
          <w:rFonts w:hint="eastAsia" w:ascii="仿宋_GB2312" w:hAnsi="宋体" w:eastAsia="仿宋_GB2312" w:cstheme="minorBidi"/>
          <w:color w:val="000000" w:themeColor="text1"/>
          <w:kern w:val="2"/>
          <w:sz w:val="32"/>
          <w:szCs w:val="32"/>
          <w:lang w:val="en-US" w:eastAsia="zh-CN"/>
          <w14:textFill>
            <w14:solidFill>
              <w14:schemeClr w14:val="tx1"/>
            </w14:solidFill>
          </w14:textFill>
        </w:rPr>
        <w:t>乙方应退回全部已收款项，同时甲方有权没收履约保证金（如有），且乙方需按合同总金额的20%向甲方承担违约责任。</w:t>
      </w:r>
      <w:r>
        <w:rPr>
          <w:rFonts w:hint="eastAsia" w:ascii="仿宋_GB2312" w:hAnsi="宋体" w:eastAsia="仿宋_GB2312" w:cs="宋体"/>
          <w:color w:val="000000" w:themeColor="text1"/>
          <w:sz w:val="32"/>
          <w:szCs w:val="32"/>
          <w:lang w:val="en-US" w:eastAsia="zh-CN"/>
          <w14:textFill>
            <w14:solidFill>
              <w14:schemeClr w14:val="tx1"/>
            </w14:solidFill>
          </w14:textFill>
        </w:rPr>
        <w:t>违约金不足以弥补甲方损失的，甲方有权继续追偿。</w:t>
      </w:r>
    </w:p>
    <w:p w14:paraId="613F7480">
      <w:pPr>
        <w:pStyle w:val="4"/>
        <w:spacing w:line="560" w:lineRule="exact"/>
        <w:ind w:firstLine="640" w:firstLineChars="200"/>
        <w:rPr>
          <w:rFonts w:hint="default" w:ascii="仿宋_GB2312" w:hAnsi="宋体" w:eastAsia="仿宋_GB2312" w:cstheme="minorBidi"/>
          <w:color w:val="000000" w:themeColor="text1"/>
          <w:kern w:val="2"/>
          <w:sz w:val="32"/>
          <w:szCs w:val="32"/>
          <w:lang w:val="en-US" w:eastAsia="zh-CN"/>
          <w14:textFill>
            <w14:solidFill>
              <w14:schemeClr w14:val="tx1"/>
            </w14:solidFill>
          </w14:textFill>
        </w:rPr>
      </w:pPr>
      <w:r>
        <w:rPr>
          <w:rFonts w:hint="eastAsia" w:ascii="仿宋_GB2312" w:hAnsi="宋体" w:eastAsia="仿宋_GB2312" w:cstheme="minorBidi"/>
          <w:color w:val="000000" w:themeColor="text1"/>
          <w:kern w:val="2"/>
          <w:sz w:val="32"/>
          <w:szCs w:val="32"/>
          <w:lang w:val="en-US" w:eastAsia="zh-CN"/>
          <w14:textFill>
            <w14:solidFill>
              <w14:schemeClr w14:val="tx1"/>
            </w14:solidFill>
          </w14:textFill>
        </w:rPr>
        <w:t>3.</w:t>
      </w:r>
      <w:r>
        <w:rPr>
          <w:rFonts w:hint="default" w:ascii="仿宋_GB2312" w:hAnsi="宋体" w:eastAsia="仿宋_GB2312" w:cstheme="minorBidi"/>
          <w:color w:val="000000" w:themeColor="text1"/>
          <w:kern w:val="2"/>
          <w:sz w:val="32"/>
          <w:szCs w:val="32"/>
          <w:lang w:val="en-US" w:eastAsia="zh-CN"/>
          <w14:textFill>
            <w14:solidFill>
              <w14:schemeClr w14:val="tx1"/>
            </w14:solidFill>
          </w14:textFill>
        </w:rPr>
        <w:t>乙方交付的服务不符合质量要求</w:t>
      </w:r>
      <w:r>
        <w:rPr>
          <w:rFonts w:hint="eastAsia" w:ascii="仿宋_GB2312" w:hAnsi="宋体" w:eastAsia="仿宋_GB2312" w:cstheme="minorBidi"/>
          <w:color w:val="000000" w:themeColor="text1"/>
          <w:kern w:val="2"/>
          <w:sz w:val="32"/>
          <w:szCs w:val="32"/>
          <w:lang w:val="en-US" w:eastAsia="zh-CN"/>
          <w14:textFill>
            <w14:solidFill>
              <w14:schemeClr w14:val="tx1"/>
            </w14:solidFill>
          </w14:textFill>
        </w:rPr>
        <w:t>引起返工的，乙方除因逾期按合同总金额的日万分之四向甲方支付违约金外，造成甲方损失的还应赔偿甲方损失。</w:t>
      </w:r>
    </w:p>
    <w:p w14:paraId="4F084756">
      <w:pPr>
        <w:pStyle w:val="4"/>
        <w:spacing w:line="560" w:lineRule="exact"/>
        <w:ind w:firstLine="640" w:firstLineChars="200"/>
        <w:rPr>
          <w:rFonts w:hint="eastAsia" w:ascii="仿宋_GB2312" w:hAnsi="宋体" w:eastAsia="仿宋_GB2312" w:cs="宋体"/>
          <w:color w:val="000000" w:themeColor="text1"/>
          <w:sz w:val="32"/>
          <w:szCs w:val="32"/>
          <w:lang w:val="en-US" w:eastAsia="zh-CN"/>
          <w14:textFill>
            <w14:solidFill>
              <w14:schemeClr w14:val="tx1"/>
            </w14:solidFill>
          </w14:textFill>
        </w:rPr>
      </w:pPr>
      <w:r>
        <w:rPr>
          <w:rFonts w:hint="eastAsia" w:ascii="仿宋_GB2312" w:hAnsi="宋体" w:eastAsia="仿宋_GB2312" w:cstheme="minorBidi"/>
          <w:color w:val="000000" w:themeColor="text1"/>
          <w:kern w:val="2"/>
          <w:sz w:val="32"/>
          <w:szCs w:val="32"/>
          <w:lang w:val="en-US" w:eastAsia="zh-CN"/>
          <w14:textFill>
            <w14:solidFill>
              <w14:schemeClr w14:val="tx1"/>
            </w14:solidFill>
          </w14:textFill>
        </w:rPr>
        <w:t>4.乙方交付的</w:t>
      </w:r>
      <w:r>
        <w:rPr>
          <w:rFonts w:hint="default" w:ascii="仿宋_GB2312" w:hAnsi="宋体" w:eastAsia="仿宋_GB2312" w:cstheme="minorBidi"/>
          <w:color w:val="000000" w:themeColor="text1"/>
          <w:kern w:val="2"/>
          <w:sz w:val="32"/>
          <w:szCs w:val="32"/>
          <w:lang w:val="en-US" w:eastAsia="zh-CN"/>
          <w14:textFill>
            <w14:solidFill>
              <w14:schemeClr w14:val="tx1"/>
            </w14:solidFill>
          </w14:textFill>
        </w:rPr>
        <w:t>服务成果</w:t>
      </w:r>
      <w:r>
        <w:rPr>
          <w:rFonts w:hint="eastAsia" w:ascii="仿宋_GB2312" w:hAnsi="宋体" w:eastAsia="仿宋_GB2312" w:cs="宋体"/>
          <w:color w:val="000000" w:themeColor="text1"/>
          <w:sz w:val="32"/>
          <w:szCs w:val="32"/>
          <w:lang w:val="en-US" w:eastAsia="zh-CN"/>
          <w14:textFill>
            <w14:solidFill>
              <w14:schemeClr w14:val="tx1"/>
            </w14:solidFill>
          </w14:textFill>
        </w:rPr>
        <w:t>如侵犯了第三方合法权益而引发的任何纠纷或诉讼，均由乙方负责交涉并承担全部责任。</w:t>
      </w:r>
      <w:r>
        <w:rPr>
          <w:rFonts w:hint="eastAsia" w:ascii="仿宋_GB2312" w:hAnsi="宋体" w:eastAsia="仿宋_GB2312"/>
          <w:color w:val="000000" w:themeColor="text1"/>
          <w:sz w:val="32"/>
          <w:szCs w:val="32"/>
          <w14:textFill>
            <w14:solidFill>
              <w14:schemeClr w14:val="tx1"/>
            </w14:solidFill>
          </w14:textFill>
        </w:rPr>
        <w:t>同时乙方</w:t>
      </w:r>
      <w:r>
        <w:rPr>
          <w:rFonts w:hint="eastAsia" w:ascii="仿宋_GB2312" w:hAnsi="宋体" w:eastAsia="仿宋_GB2312"/>
          <w:color w:val="000000" w:themeColor="text1"/>
          <w:sz w:val="32"/>
          <w:szCs w:val="32"/>
          <w:lang w:val="en-US" w:eastAsia="zh-CN"/>
          <w14:textFill>
            <w14:solidFill>
              <w14:schemeClr w14:val="tx1"/>
            </w14:solidFill>
          </w14:textFill>
        </w:rPr>
        <w:t>还</w:t>
      </w:r>
      <w:r>
        <w:rPr>
          <w:rFonts w:hint="eastAsia" w:ascii="仿宋_GB2312" w:hAnsi="宋体" w:eastAsia="仿宋_GB2312"/>
          <w:color w:val="000000" w:themeColor="text1"/>
          <w:sz w:val="32"/>
          <w:szCs w:val="32"/>
          <w14:textFill>
            <w14:solidFill>
              <w14:schemeClr w14:val="tx1"/>
            </w14:solidFill>
          </w14:textFill>
        </w:rPr>
        <w:t>应向甲方支付</w:t>
      </w:r>
      <w:r>
        <w:rPr>
          <w:rFonts w:hint="eastAsia" w:ascii="仿宋_GB2312" w:hAnsi="宋体" w:eastAsia="仿宋_GB2312"/>
          <w:color w:val="000000" w:themeColor="text1"/>
          <w:sz w:val="32"/>
          <w:szCs w:val="32"/>
          <w:lang w:val="en-US" w:eastAsia="zh-CN"/>
          <w14:textFill>
            <w14:solidFill>
              <w14:schemeClr w14:val="tx1"/>
            </w14:solidFill>
          </w14:textFill>
        </w:rPr>
        <w:t>合同总</w:t>
      </w:r>
      <w:r>
        <w:rPr>
          <w:rFonts w:hint="eastAsia" w:ascii="仿宋_GB2312" w:hAnsi="宋体" w:eastAsia="仿宋_GB2312"/>
          <w:color w:val="000000" w:themeColor="text1"/>
          <w:sz w:val="32"/>
          <w:szCs w:val="32"/>
          <w14:textFill>
            <w14:solidFill>
              <w14:schemeClr w14:val="tx1"/>
            </w14:solidFill>
          </w14:textFill>
        </w:rPr>
        <w:t>金额10%的违约金，并承担</w:t>
      </w:r>
      <w:r>
        <w:rPr>
          <w:rFonts w:hint="eastAsia" w:ascii="仿宋_GB2312" w:hAnsi="宋体" w:eastAsia="仿宋_GB2312" w:cs="宋体"/>
          <w:color w:val="000000" w:themeColor="text1"/>
          <w:sz w:val="32"/>
          <w:szCs w:val="32"/>
          <w:lang w:val="en-US" w:eastAsia="zh-CN"/>
          <w14:textFill>
            <w14:solidFill>
              <w14:schemeClr w14:val="tx1"/>
            </w14:solidFill>
          </w14:textFill>
        </w:rPr>
        <w:t>甲方因此遭受的全部损失。</w:t>
      </w:r>
    </w:p>
    <w:p w14:paraId="67AA7337">
      <w:pPr>
        <w:snapToGrid w:val="0"/>
        <w:spacing w:line="560" w:lineRule="exact"/>
        <w:ind w:firstLine="640" w:firstLineChars="200"/>
        <w:rPr>
          <w:rFonts w:hint="eastAsia" w:ascii="仿宋_GB2312" w:hAnsi="宋体" w:eastAsia="仿宋_GB2312" w:cs="宋体"/>
          <w:color w:val="000000" w:themeColor="text1"/>
          <w:sz w:val="32"/>
          <w:szCs w:val="32"/>
          <w:lang w:val="en-US" w:eastAsia="zh-CN"/>
          <w14:textFill>
            <w14:solidFill>
              <w14:schemeClr w14:val="tx1"/>
            </w14:solidFill>
          </w14:textFill>
        </w:rPr>
      </w:pPr>
      <w:r>
        <w:rPr>
          <w:rFonts w:hint="eastAsia" w:ascii="仿宋_GB2312" w:hAnsi="宋体" w:eastAsia="仿宋_GB2312" w:cs="宋体"/>
          <w:color w:val="000000" w:themeColor="text1"/>
          <w:sz w:val="32"/>
          <w:szCs w:val="32"/>
          <w:lang w:val="en-US" w:eastAsia="zh-CN"/>
          <w14:textFill>
            <w14:solidFill>
              <w14:schemeClr w14:val="tx1"/>
            </w14:solidFill>
          </w14:textFill>
        </w:rPr>
        <w:t>5.在质保期内，如乙方未能按照合同的约定提供服务的，每发生一次，甲方有权要求乙方按500元/次支付违约金。乙方应在收到甲方通知后5个工作日内予以支付，逾期的按日万分之四向甲方支付违约金。</w:t>
      </w:r>
    </w:p>
    <w:p w14:paraId="0DCDB2CE">
      <w:pPr>
        <w:snapToGrid w:val="0"/>
        <w:spacing w:line="560" w:lineRule="exact"/>
        <w:ind w:firstLine="640" w:firstLineChars="200"/>
        <w:rPr>
          <w:rFonts w:hint="eastAsia" w:ascii="仿宋_GB2312" w:hAnsi="宋体" w:eastAsia="仿宋_GB2312" w:cs="宋体"/>
          <w:color w:val="000000" w:themeColor="text1"/>
          <w:sz w:val="32"/>
          <w:szCs w:val="32"/>
          <w:lang w:val="en-US" w:eastAsia="zh-CN"/>
          <w14:textFill>
            <w14:solidFill>
              <w14:schemeClr w14:val="tx1"/>
            </w14:solidFill>
          </w14:textFill>
        </w:rPr>
      </w:pPr>
      <w:r>
        <w:rPr>
          <w:rFonts w:hint="eastAsia" w:ascii="仿宋_GB2312" w:hAnsi="宋体" w:eastAsia="仿宋_GB2312" w:cs="宋体"/>
          <w:color w:val="000000" w:themeColor="text1"/>
          <w:sz w:val="32"/>
          <w:szCs w:val="32"/>
          <w:lang w:val="en-US" w:eastAsia="zh-CN"/>
          <w14:textFill>
            <w14:solidFill>
              <w14:schemeClr w14:val="tx1"/>
            </w14:solidFill>
          </w14:textFill>
        </w:rPr>
        <w:t>6.若乙方在合同履约过程中存在被判定有刑事违法犯罪行为的情形，甲方可以单方面解除合同，要求乙方应退回全部已收款项，并按合同金额的30%向乙方收取违约金。</w:t>
      </w:r>
    </w:p>
    <w:p w14:paraId="49F2597E">
      <w:pPr>
        <w:snapToGrid w:val="0"/>
        <w:spacing w:line="560" w:lineRule="exact"/>
        <w:ind w:firstLine="640" w:firstLineChars="200"/>
        <w:rPr>
          <w:rFonts w:hint="eastAsia" w:ascii="仿宋_GB2312" w:hAnsi="宋体" w:eastAsia="仿宋_GB2312" w:cs="宋体"/>
          <w:color w:val="000000" w:themeColor="text1"/>
          <w:sz w:val="32"/>
          <w:szCs w:val="32"/>
          <w:lang w:val="en-US" w:eastAsia="zh-CN"/>
          <w14:textFill>
            <w14:solidFill>
              <w14:schemeClr w14:val="tx1"/>
            </w14:solidFill>
          </w14:textFill>
        </w:rPr>
      </w:pPr>
      <w:r>
        <w:rPr>
          <w:rFonts w:hint="eastAsia" w:ascii="仿宋_GB2312" w:hAnsi="宋体" w:eastAsia="仿宋_GB2312" w:cs="宋体"/>
          <w:color w:val="000000" w:themeColor="text1"/>
          <w:sz w:val="32"/>
          <w:szCs w:val="32"/>
          <w:lang w:val="en-US" w:eastAsia="zh-CN"/>
          <w14:textFill>
            <w14:solidFill>
              <w14:schemeClr w14:val="tx1"/>
            </w14:solidFill>
          </w14:textFill>
        </w:rPr>
        <w:t>7.所有乙方应承担支付的违约金等费用，甲方有权从履约保证金或应付款中直接扣除。</w:t>
      </w:r>
    </w:p>
    <w:p w14:paraId="20EBDD9C">
      <w:pPr>
        <w:snapToGrid w:val="0"/>
        <w:spacing w:line="560" w:lineRule="exact"/>
        <w:ind w:firstLine="640" w:firstLineChars="200"/>
        <w:rPr>
          <w:rFonts w:hint="eastAsia" w:ascii="仿宋_GB2312" w:hAnsi="宋体" w:eastAsia="仿宋_GB2312" w:cs="宋体"/>
          <w:color w:val="000000" w:themeColor="text1"/>
          <w:sz w:val="32"/>
          <w:szCs w:val="32"/>
          <w:lang w:val="en-US" w:eastAsia="zh-CN"/>
          <w14:textFill>
            <w14:solidFill>
              <w14:schemeClr w14:val="tx1"/>
            </w14:solidFill>
          </w14:textFill>
        </w:rPr>
      </w:pPr>
      <w:r>
        <w:rPr>
          <w:rFonts w:hint="eastAsia" w:ascii="仿宋_GB2312" w:hAnsi="宋体" w:eastAsia="仿宋_GB2312" w:cstheme="minorBidi"/>
          <w:color w:val="000000" w:themeColor="text1"/>
          <w:kern w:val="2"/>
          <w:sz w:val="32"/>
          <w:szCs w:val="32"/>
          <w:lang w:val="en-US" w:eastAsia="zh-CN"/>
          <w14:textFill>
            <w14:solidFill>
              <w14:schemeClr w14:val="tx1"/>
            </w14:solidFill>
          </w14:textFill>
        </w:rPr>
        <w:t>8.</w:t>
      </w:r>
      <w:r>
        <w:rPr>
          <w:rFonts w:hint="eastAsia" w:ascii="仿宋_GB2312" w:hAnsi="宋体" w:eastAsia="仿宋_GB2312" w:cstheme="minorBidi"/>
          <w:color w:val="000000" w:themeColor="text1"/>
          <w:kern w:val="2"/>
          <w:sz w:val="32"/>
          <w:szCs w:val="32"/>
          <w14:textFill>
            <w14:solidFill>
              <w14:schemeClr w14:val="tx1"/>
            </w14:solidFill>
          </w14:textFill>
        </w:rPr>
        <w:t>乙方应严格履行保密义务，若乙方的原因导致相关信息泄露给其他第三方的，由此产生的责任，由乙方承担</w:t>
      </w:r>
      <w:r>
        <w:rPr>
          <w:rFonts w:hint="eastAsia" w:ascii="仿宋_GB2312" w:hAnsi="宋体" w:eastAsia="仿宋_GB2312" w:cstheme="minorBidi"/>
          <w:color w:val="000000" w:themeColor="text1"/>
          <w:kern w:val="2"/>
          <w:sz w:val="32"/>
          <w:szCs w:val="32"/>
          <w:lang w:eastAsia="zh-CN"/>
          <w14:textFill>
            <w14:solidFill>
              <w14:schemeClr w14:val="tx1"/>
            </w14:solidFill>
          </w14:textFill>
        </w:rPr>
        <w:t>。</w:t>
      </w:r>
      <w:r>
        <w:rPr>
          <w:rFonts w:hint="eastAsia" w:ascii="仿宋_GB2312" w:hAnsi="宋体" w:eastAsia="仿宋_GB2312" w:cstheme="minorBidi"/>
          <w:color w:val="000000" w:themeColor="text1"/>
          <w:kern w:val="2"/>
          <w:sz w:val="32"/>
          <w:szCs w:val="32"/>
          <w:lang w:val="en-US" w:eastAsia="zh-CN"/>
          <w14:textFill>
            <w14:solidFill>
              <w14:schemeClr w14:val="tx1"/>
            </w14:solidFill>
          </w14:textFill>
        </w:rPr>
        <w:t>同时乙方应按合同总</w:t>
      </w:r>
      <w:r>
        <w:rPr>
          <w:rFonts w:hint="eastAsia" w:ascii="仿宋_GB2312" w:hAnsi="宋体" w:eastAsia="仿宋_GB2312" w:cstheme="minorBidi"/>
          <w:color w:val="000000" w:themeColor="text1"/>
          <w:kern w:val="2"/>
          <w:sz w:val="32"/>
          <w:szCs w:val="32"/>
          <w14:textFill>
            <w14:solidFill>
              <w14:schemeClr w14:val="tx1"/>
            </w14:solidFill>
          </w14:textFill>
        </w:rPr>
        <w:t>金额</w:t>
      </w:r>
      <w:r>
        <w:rPr>
          <w:rFonts w:hint="eastAsia" w:ascii="仿宋_GB2312" w:hAnsi="宋体" w:eastAsia="仿宋_GB2312" w:cstheme="minorBidi"/>
          <w:color w:val="000000" w:themeColor="text1"/>
          <w:kern w:val="2"/>
          <w:sz w:val="32"/>
          <w:szCs w:val="32"/>
          <w:lang w:val="en-US" w:eastAsia="zh-CN"/>
          <w14:textFill>
            <w14:solidFill>
              <w14:schemeClr w14:val="tx1"/>
            </w14:solidFill>
          </w14:textFill>
        </w:rPr>
        <w:t>的2</w:t>
      </w:r>
      <w:r>
        <w:rPr>
          <w:rFonts w:hint="eastAsia" w:ascii="仿宋_GB2312" w:hAnsi="宋体" w:eastAsia="仿宋_GB2312" w:cstheme="minorBidi"/>
          <w:color w:val="000000" w:themeColor="text1"/>
          <w:kern w:val="2"/>
          <w:sz w:val="32"/>
          <w:szCs w:val="32"/>
          <w14:textFill>
            <w14:solidFill>
              <w14:schemeClr w14:val="tx1"/>
            </w14:solidFill>
          </w14:textFill>
        </w:rPr>
        <w:t>0%</w:t>
      </w:r>
      <w:r>
        <w:rPr>
          <w:rFonts w:hint="eastAsia" w:ascii="仿宋_GB2312" w:hAnsi="宋体" w:eastAsia="仿宋_GB2312" w:cstheme="minorBidi"/>
          <w:color w:val="000000" w:themeColor="text1"/>
          <w:kern w:val="2"/>
          <w:sz w:val="32"/>
          <w:szCs w:val="32"/>
          <w:lang w:val="en-US" w:eastAsia="zh-CN"/>
          <w14:textFill>
            <w14:solidFill>
              <w14:schemeClr w14:val="tx1"/>
            </w14:solidFill>
          </w14:textFill>
        </w:rPr>
        <w:t>向甲方支付违约金，</w:t>
      </w:r>
      <w:r>
        <w:rPr>
          <w:rFonts w:hint="eastAsia" w:ascii="仿宋_GB2312" w:hAnsi="宋体" w:eastAsia="仿宋_GB2312" w:cs="宋体"/>
          <w:color w:val="000000" w:themeColor="text1"/>
          <w:sz w:val="32"/>
          <w:szCs w:val="32"/>
          <w:lang w:val="en-US" w:eastAsia="zh-CN"/>
          <w14:textFill>
            <w14:solidFill>
              <w14:schemeClr w14:val="tx1"/>
            </w14:solidFill>
          </w14:textFill>
        </w:rPr>
        <w:t>违约金不足以弥补甲方损失的，甲方有权继续追偿。</w:t>
      </w:r>
    </w:p>
    <w:p w14:paraId="00DC9B1E">
      <w:pPr>
        <w:snapToGrid w:val="0"/>
        <w:spacing w:line="560" w:lineRule="exact"/>
        <w:ind w:firstLine="640" w:firstLineChars="200"/>
        <w:rPr>
          <w:rFonts w:hint="default" w:ascii="仿宋_GB2312" w:hAnsi="宋体" w:eastAsia="仿宋_GB2312" w:cs="宋体"/>
          <w:color w:val="000000" w:themeColor="text1"/>
          <w:sz w:val="32"/>
          <w:szCs w:val="32"/>
          <w:lang w:val="en-US" w:eastAsia="zh-CN"/>
          <w14:textFill>
            <w14:solidFill>
              <w14:schemeClr w14:val="tx1"/>
            </w14:solidFill>
          </w14:textFill>
        </w:rPr>
      </w:pPr>
      <w:r>
        <w:rPr>
          <w:rFonts w:hint="eastAsia" w:ascii="仿宋_GB2312" w:hAnsi="宋体" w:eastAsia="仿宋_GB2312" w:cs="宋体"/>
          <w:color w:val="000000" w:themeColor="text1"/>
          <w:sz w:val="32"/>
          <w:szCs w:val="32"/>
          <w:lang w:val="en-US" w:eastAsia="zh-CN"/>
          <w14:textFill>
            <w14:solidFill>
              <w14:schemeClr w14:val="tx1"/>
            </w14:solidFill>
          </w14:textFill>
        </w:rPr>
        <w:t>9.未经甲方书面同意，乙方存在转包、分包行为的，甲方有权解除合同，乙方应退还全部甲方已付款项；同时甲方有权没收履约保证金，且乙方需按合同总金额的20%向甲方承担违约责任；违约金不足以弥补甲方损失的，甲方有权继续追偿。</w:t>
      </w:r>
    </w:p>
    <w:p w14:paraId="1B962D93">
      <w:pPr>
        <w:snapToGrid w:val="0"/>
        <w:spacing w:line="560" w:lineRule="exact"/>
        <w:ind w:firstLine="640" w:firstLineChars="200"/>
        <w:rPr>
          <w:rFonts w:hint="default" w:ascii="仿宋_GB2312" w:hAnsi="宋体" w:eastAsia="仿宋_GB2312" w:cs="宋体"/>
          <w:color w:val="000000" w:themeColor="text1"/>
          <w:sz w:val="32"/>
          <w:szCs w:val="32"/>
          <w:lang w:val="en-US" w:eastAsia="zh-CN"/>
          <w14:textFill>
            <w14:solidFill>
              <w14:schemeClr w14:val="tx1"/>
            </w14:solidFill>
          </w14:textFill>
        </w:rPr>
      </w:pPr>
      <w:r>
        <w:rPr>
          <w:rFonts w:hint="eastAsia" w:ascii="仿宋_GB2312" w:hAnsi="宋体" w:eastAsia="仿宋_GB2312" w:cs="宋体"/>
          <w:color w:val="000000" w:themeColor="text1"/>
          <w:sz w:val="32"/>
          <w:szCs w:val="32"/>
          <w:lang w:val="en-US" w:eastAsia="zh-CN"/>
          <w14:textFill>
            <w14:solidFill>
              <w14:schemeClr w14:val="tx1"/>
            </w14:solidFill>
          </w14:textFill>
        </w:rPr>
        <w:t>10.乙方因违约导致甲方追索主张权利的，乙方应承担甲方为追索主张权利而支出的诉讼费、保全费、保全保险费、律师费、鉴定费等合理费用。</w:t>
      </w:r>
    </w:p>
    <w:p w14:paraId="177AD65D">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第十三条  不可抗力事件处理</w:t>
      </w:r>
    </w:p>
    <w:p w14:paraId="384FDA1B">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 xml:space="preserve">1.在合同有效期内，任何一方因不可抗力事件导致不能履行合同，则合同履行期可延长，其延长期与不可抗力影响期相同。同时，发生不可抗力事件一方不构成违约。 </w:t>
      </w:r>
    </w:p>
    <w:p w14:paraId="6A69713F">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2.不可抗力事件发生后，应立即通知对方，并寄送有关权威机构出具的证明。</w:t>
      </w:r>
    </w:p>
    <w:p w14:paraId="6011ECF1">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 xml:space="preserve">3.不可抗力事件延续120天以上，双方应通过友好协商，确定是否继续履行合同。 </w:t>
      </w:r>
    </w:p>
    <w:p w14:paraId="7FB641B5">
      <w:pPr>
        <w:spacing w:line="56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第十四条  合同争议解决</w:t>
      </w:r>
    </w:p>
    <w:p w14:paraId="5DD0F8CF">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1.因履行本合同引起的或与本合同有关的争议，甲乙双方应首先通过友好协商解决，如果协商不能解决，可向甲方所在地有管辖权的法院提起诉讼。</w:t>
      </w:r>
    </w:p>
    <w:p w14:paraId="1E184F68">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2.如甲乙双方有争议的事项不影响合同其他部分的履行，在争议解决期间，合同其他部分应当继续履行。</w:t>
      </w:r>
    </w:p>
    <w:p w14:paraId="6475EFDD">
      <w:pPr>
        <w:spacing w:line="560" w:lineRule="exact"/>
        <w:ind w:right="-153" w:rightChars="-73" w:firstLine="640" w:firstLineChars="200"/>
        <w:rPr>
          <w:rFonts w:ascii="黑体" w:hAnsi="黑体" w:eastAsia="黑体" w:cs="宋体"/>
          <w:color w:val="000000" w:themeColor="text1"/>
          <w:sz w:val="32"/>
          <w:szCs w:val="32"/>
          <w14:textFill>
            <w14:solidFill>
              <w14:schemeClr w14:val="tx1"/>
            </w14:solidFill>
          </w14:textFill>
        </w:rPr>
      </w:pPr>
      <w:r>
        <w:rPr>
          <w:rFonts w:hint="eastAsia" w:ascii="黑体" w:hAnsi="黑体" w:eastAsia="黑体" w:cs="宋体"/>
          <w:color w:val="000000" w:themeColor="text1"/>
          <w:sz w:val="32"/>
          <w:szCs w:val="32"/>
          <w14:textFill>
            <w14:solidFill>
              <w14:schemeClr w14:val="tx1"/>
            </w14:solidFill>
          </w14:textFill>
        </w:rPr>
        <w:t>第十五条  合同的变更、终止与转让</w:t>
      </w:r>
    </w:p>
    <w:p w14:paraId="29603769">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1.本合同一经签订，甲乙双方不得擅自变更、中止或终止。</w:t>
      </w:r>
    </w:p>
    <w:p w14:paraId="5FC48DA6">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2.乙方不得擅自转让其应履行的合同义务。</w:t>
      </w:r>
    </w:p>
    <w:p w14:paraId="220BB1C4">
      <w:pPr>
        <w:spacing w:line="560" w:lineRule="exact"/>
        <w:ind w:right="-153" w:rightChars="-73" w:firstLine="640" w:firstLineChars="200"/>
        <w:rPr>
          <w:rFonts w:ascii="黑体" w:hAnsi="黑体" w:eastAsia="黑体" w:cs="宋体"/>
          <w:color w:val="000000" w:themeColor="text1"/>
          <w:sz w:val="32"/>
          <w:szCs w:val="32"/>
          <w14:textFill>
            <w14:solidFill>
              <w14:schemeClr w14:val="tx1"/>
            </w14:solidFill>
          </w14:textFill>
        </w:rPr>
      </w:pPr>
      <w:r>
        <w:rPr>
          <w:rFonts w:hint="eastAsia" w:ascii="黑体" w:hAnsi="黑体" w:eastAsia="黑体" w:cs="宋体"/>
          <w:color w:val="000000" w:themeColor="text1"/>
          <w:sz w:val="32"/>
          <w:szCs w:val="32"/>
          <w14:textFill>
            <w14:solidFill>
              <w14:schemeClr w14:val="tx1"/>
            </w14:solidFill>
          </w14:textFill>
        </w:rPr>
        <w:t>第十六条  通知与送达</w:t>
      </w:r>
    </w:p>
    <w:p w14:paraId="2C6F58FC">
      <w:pPr>
        <w:spacing w:line="560" w:lineRule="exact"/>
        <w:ind w:right="-153" w:rightChars="-73" w:firstLine="640" w:firstLineChars="200"/>
        <w:rPr>
          <w:rFonts w:ascii="仿宋_GB2312" w:hAnsi="黑体" w:eastAsia="仿宋_GB2312" w:cs="宋体"/>
          <w:color w:val="000000" w:themeColor="text1"/>
          <w:sz w:val="32"/>
          <w:szCs w:val="32"/>
          <w14:textFill>
            <w14:solidFill>
              <w14:schemeClr w14:val="tx1"/>
            </w14:solidFill>
          </w14:textFill>
        </w:rPr>
      </w:pPr>
      <w:r>
        <w:rPr>
          <w:rFonts w:hint="eastAsia" w:ascii="仿宋_GB2312" w:hAnsi="黑体" w:eastAsia="仿宋_GB2312" w:cs="宋体"/>
          <w:color w:val="000000" w:themeColor="text1"/>
          <w:sz w:val="32"/>
          <w:szCs w:val="32"/>
          <w14:textFill>
            <w14:solidFill>
              <w14:schemeClr w14:val="tx1"/>
            </w14:solidFill>
          </w14:textFill>
        </w:rPr>
        <w:t>1.</w:t>
      </w:r>
      <w:r>
        <w:rPr>
          <w:rFonts w:hint="eastAsia" w:ascii="仿宋_GB2312" w:hAnsi="黑体" w:eastAsia="仿宋_GB2312" w:cs="宋体"/>
          <w:color w:val="000000" w:themeColor="text1"/>
          <w:sz w:val="32"/>
          <w:szCs w:val="32"/>
          <w:lang w:val="en-US" w:eastAsia="zh-CN"/>
          <w14:textFill>
            <w14:solidFill>
              <w14:schemeClr w14:val="tx1"/>
            </w14:solidFill>
          </w14:textFill>
        </w:rPr>
        <w:t>本合同落款签章处双方确定的地址、联系人、联系电话为本合同双方约定确定的送达地址。</w:t>
      </w:r>
      <w:r>
        <w:rPr>
          <w:rFonts w:hint="eastAsia" w:ascii="仿宋_GB2312" w:hAnsi="黑体" w:eastAsia="仿宋_GB2312" w:cs="宋体"/>
          <w:color w:val="000000" w:themeColor="text1"/>
          <w:sz w:val="32"/>
          <w:szCs w:val="32"/>
          <w14:textFill>
            <w14:solidFill>
              <w14:schemeClr w14:val="tx1"/>
            </w14:solidFill>
          </w14:textFill>
        </w:rPr>
        <w:t>本合同一方对另外一方的任何通知或请求，应当发送至接收方在合同中约定的地址、联系人和通信终端。一方当事人变更名称、地址、联系人或通信终端等信息的，应当在变更后3日内及时书面通知对方当事人，对方当事人实际收到变更通知前的送达仍为有效送达，电子送达与书面送达具有同等法律效力。</w:t>
      </w:r>
    </w:p>
    <w:p w14:paraId="3D733370">
      <w:pPr>
        <w:spacing w:line="560" w:lineRule="exact"/>
        <w:ind w:right="-153" w:rightChars="-73" w:firstLine="640" w:firstLineChars="200"/>
        <w:rPr>
          <w:rFonts w:ascii="仿宋_GB2312" w:hAnsi="黑体" w:eastAsia="仿宋_GB2312" w:cs="宋体"/>
          <w:color w:val="000000" w:themeColor="text1"/>
          <w:sz w:val="32"/>
          <w:szCs w:val="32"/>
          <w14:textFill>
            <w14:solidFill>
              <w14:schemeClr w14:val="tx1"/>
            </w14:solidFill>
          </w14:textFill>
        </w:rPr>
      </w:pPr>
      <w:r>
        <w:rPr>
          <w:rFonts w:hint="eastAsia" w:ascii="仿宋_GB2312" w:hAnsi="黑体" w:eastAsia="仿宋_GB2312" w:cs="宋体"/>
          <w:color w:val="000000" w:themeColor="text1"/>
          <w:sz w:val="32"/>
          <w:szCs w:val="32"/>
          <w14:textFill>
            <w14:solidFill>
              <w14:schemeClr w14:val="tx1"/>
            </w14:solidFill>
          </w14:textFill>
        </w:rPr>
        <w:t>2.任何一方当事人向对/他方所发出的通知或请求送达时间：</w:t>
      </w:r>
    </w:p>
    <w:p w14:paraId="0F3917F8">
      <w:pPr>
        <w:spacing w:line="560" w:lineRule="exact"/>
        <w:ind w:right="-153" w:rightChars="-73" w:firstLine="640" w:firstLineChars="200"/>
        <w:rPr>
          <w:rFonts w:ascii="仿宋_GB2312" w:hAnsi="黑体" w:eastAsia="仿宋_GB2312" w:cs="宋体"/>
          <w:color w:val="000000" w:themeColor="text1"/>
          <w:sz w:val="32"/>
          <w:szCs w:val="32"/>
          <w14:textFill>
            <w14:solidFill>
              <w14:schemeClr w14:val="tx1"/>
            </w14:solidFill>
          </w14:textFill>
        </w:rPr>
      </w:pPr>
      <w:r>
        <w:rPr>
          <w:rFonts w:hint="eastAsia" w:ascii="仿宋_GB2312" w:hAnsi="黑体" w:eastAsia="仿宋_GB2312" w:cs="宋体"/>
          <w:color w:val="000000" w:themeColor="text1"/>
          <w:sz w:val="32"/>
          <w:szCs w:val="32"/>
          <w14:textFill>
            <w14:solidFill>
              <w14:schemeClr w14:val="tx1"/>
            </w14:solidFill>
          </w14:textFill>
        </w:rPr>
        <w:t>（1）如果是传真，则在发送当日视为送达；</w:t>
      </w:r>
    </w:p>
    <w:p w14:paraId="7501AE2C">
      <w:pPr>
        <w:spacing w:line="560" w:lineRule="exact"/>
        <w:ind w:right="-153" w:rightChars="-73" w:firstLine="640" w:firstLineChars="200"/>
        <w:rPr>
          <w:rFonts w:ascii="仿宋_GB2312" w:hAnsi="黑体" w:eastAsia="仿宋_GB2312" w:cs="宋体"/>
          <w:color w:val="000000" w:themeColor="text1"/>
          <w:sz w:val="32"/>
          <w:szCs w:val="32"/>
          <w14:textFill>
            <w14:solidFill>
              <w14:schemeClr w14:val="tx1"/>
            </w14:solidFill>
          </w14:textFill>
        </w:rPr>
      </w:pPr>
      <w:r>
        <w:rPr>
          <w:rFonts w:hint="eastAsia" w:ascii="仿宋_GB2312" w:hAnsi="黑体" w:eastAsia="仿宋_GB2312" w:cs="宋体"/>
          <w:color w:val="000000" w:themeColor="text1"/>
          <w:sz w:val="32"/>
          <w:szCs w:val="32"/>
          <w14:textFill>
            <w14:solidFill>
              <w14:schemeClr w14:val="tx1"/>
            </w14:solidFill>
          </w14:textFill>
        </w:rPr>
        <w:t>（2）如果是短信/微信/电子邮件，自电子文件内容在发送方正确填写地址且未被系统退回的情况下，进入对方数据电文接收系统当日视为送达。</w:t>
      </w:r>
    </w:p>
    <w:p w14:paraId="3AC0D9C3">
      <w:pPr>
        <w:spacing w:line="560" w:lineRule="exact"/>
        <w:ind w:right="-153" w:rightChars="-73" w:firstLine="640" w:firstLineChars="200"/>
        <w:rPr>
          <w:rFonts w:ascii="仿宋_GB2312" w:hAnsi="黑体" w:eastAsia="仿宋_GB2312" w:cs="宋体"/>
          <w:color w:val="000000" w:themeColor="text1"/>
          <w:sz w:val="32"/>
          <w:szCs w:val="32"/>
          <w14:textFill>
            <w14:solidFill>
              <w14:schemeClr w14:val="tx1"/>
            </w14:solidFill>
          </w14:textFill>
        </w:rPr>
      </w:pPr>
      <w:r>
        <w:rPr>
          <w:rFonts w:hint="eastAsia" w:ascii="仿宋_GB2312" w:hAnsi="黑体" w:eastAsia="仿宋_GB2312" w:cs="宋体"/>
          <w:color w:val="000000" w:themeColor="text1"/>
          <w:sz w:val="32"/>
          <w:szCs w:val="32"/>
          <w14:textFill>
            <w14:solidFill>
              <w14:schemeClr w14:val="tx1"/>
            </w14:solidFill>
          </w14:textFill>
        </w:rPr>
        <w:t>（3）如果是</w:t>
      </w:r>
      <w:r>
        <w:rPr>
          <w:rFonts w:hint="eastAsia" w:ascii="仿宋_GB2312" w:hAnsi="黑体" w:eastAsia="仿宋_GB2312" w:cs="宋体"/>
          <w:color w:val="000000" w:themeColor="text1"/>
          <w:sz w:val="32"/>
          <w:szCs w:val="32"/>
          <w:lang w:val="en-US" w:eastAsia="zh-CN"/>
          <w14:textFill>
            <w14:solidFill>
              <w14:schemeClr w14:val="tx1"/>
            </w14:solidFill>
          </w14:textFill>
        </w:rPr>
        <w:t>快递</w:t>
      </w:r>
      <w:r>
        <w:rPr>
          <w:rFonts w:hint="eastAsia" w:ascii="仿宋_GB2312" w:hAnsi="黑体" w:eastAsia="仿宋_GB2312" w:cs="宋体"/>
          <w:color w:val="000000" w:themeColor="text1"/>
          <w:sz w:val="32"/>
          <w:szCs w:val="32"/>
          <w14:textFill>
            <w14:solidFill>
              <w14:schemeClr w14:val="tx1"/>
            </w14:solidFill>
          </w14:textFill>
        </w:rPr>
        <w:t>，</w:t>
      </w:r>
      <w:r>
        <w:rPr>
          <w:rFonts w:hint="eastAsia" w:ascii="仿宋_GB2312" w:hAnsi="黑体" w:eastAsia="仿宋_GB2312" w:cs="宋体"/>
          <w:color w:val="000000" w:themeColor="text1"/>
          <w:sz w:val="32"/>
          <w:szCs w:val="32"/>
          <w:lang w:val="en-US" w:eastAsia="zh-CN"/>
          <w14:textFill>
            <w14:solidFill>
              <w14:schemeClr w14:val="tx1"/>
            </w14:solidFill>
          </w14:textFill>
        </w:rPr>
        <w:t>以快递签收之日视为送达；若收件人拒收、无人签收或地址查无此人的，以快递被退回之日视为有效送达</w:t>
      </w:r>
      <w:r>
        <w:rPr>
          <w:rFonts w:hint="eastAsia" w:ascii="仿宋_GB2312" w:hAnsi="黑体" w:eastAsia="仿宋_GB2312" w:cs="宋体"/>
          <w:color w:val="000000" w:themeColor="text1"/>
          <w:sz w:val="32"/>
          <w:szCs w:val="32"/>
          <w14:textFill>
            <w14:solidFill>
              <w14:schemeClr w14:val="tx1"/>
            </w14:solidFill>
          </w14:textFill>
        </w:rPr>
        <w:t>；</w:t>
      </w:r>
    </w:p>
    <w:p w14:paraId="101374DB">
      <w:pPr>
        <w:spacing w:line="560" w:lineRule="exact"/>
        <w:ind w:right="-153" w:rightChars="-73" w:firstLine="640" w:firstLineChars="200"/>
        <w:rPr>
          <w:rFonts w:ascii="仿宋_GB2312" w:hAnsi="黑体" w:eastAsia="仿宋_GB2312" w:cs="宋体"/>
          <w:color w:val="000000" w:themeColor="text1"/>
          <w:sz w:val="32"/>
          <w:szCs w:val="32"/>
          <w14:textFill>
            <w14:solidFill>
              <w14:schemeClr w14:val="tx1"/>
            </w14:solidFill>
          </w14:textFill>
        </w:rPr>
      </w:pPr>
      <w:r>
        <w:rPr>
          <w:rFonts w:hint="eastAsia" w:ascii="仿宋_GB2312" w:hAnsi="黑体" w:eastAsia="仿宋_GB2312" w:cs="宋体"/>
          <w:color w:val="000000" w:themeColor="text1"/>
          <w:sz w:val="32"/>
          <w:szCs w:val="32"/>
          <w14:textFill>
            <w14:solidFill>
              <w14:schemeClr w14:val="tx1"/>
            </w14:solidFill>
          </w14:textFill>
        </w:rPr>
        <w:t>（4）如果是派人专程送达，则在收件人签收之日视为收到；</w:t>
      </w:r>
    </w:p>
    <w:p w14:paraId="62E1EC9A">
      <w:pPr>
        <w:spacing w:line="560" w:lineRule="exact"/>
        <w:ind w:right="-153" w:rightChars="-73" w:firstLine="640" w:firstLineChars="200"/>
        <w:rPr>
          <w:rFonts w:ascii="仿宋_GB2312" w:hAnsi="黑体" w:eastAsia="仿宋_GB2312" w:cs="宋体"/>
          <w:color w:val="000000" w:themeColor="text1"/>
          <w:sz w:val="32"/>
          <w:szCs w:val="32"/>
          <w14:textFill>
            <w14:solidFill>
              <w14:schemeClr w14:val="tx1"/>
            </w14:solidFill>
          </w14:textFill>
        </w:rPr>
      </w:pPr>
      <w:r>
        <w:rPr>
          <w:rFonts w:hint="eastAsia" w:ascii="仿宋_GB2312" w:hAnsi="黑体" w:eastAsia="仿宋_GB2312" w:cs="宋体"/>
          <w:color w:val="000000" w:themeColor="text1"/>
          <w:sz w:val="32"/>
          <w:szCs w:val="32"/>
          <w14:textFill>
            <w14:solidFill>
              <w14:schemeClr w14:val="tx1"/>
            </w14:solidFill>
          </w14:textFill>
        </w:rPr>
        <w:t>（5）如果同时使用几种通知方式的，以其中较快到达接收方者为准。</w:t>
      </w:r>
    </w:p>
    <w:p w14:paraId="16CD921D">
      <w:pPr>
        <w:spacing w:line="560" w:lineRule="exact"/>
        <w:ind w:right="-153" w:rightChars="-73" w:firstLine="640" w:firstLineChars="200"/>
        <w:rPr>
          <w:rFonts w:ascii="仿宋_GB2312" w:hAnsi="黑体" w:eastAsia="仿宋_GB2312" w:cs="宋体"/>
          <w:color w:val="000000" w:themeColor="text1"/>
          <w:sz w:val="32"/>
          <w:szCs w:val="32"/>
          <w14:textFill>
            <w14:solidFill>
              <w14:schemeClr w14:val="tx1"/>
            </w14:solidFill>
          </w14:textFill>
        </w:rPr>
      </w:pPr>
      <w:r>
        <w:rPr>
          <w:rFonts w:hint="eastAsia" w:ascii="仿宋_GB2312" w:hAnsi="黑体" w:eastAsia="仿宋_GB2312" w:cs="宋体"/>
          <w:color w:val="000000" w:themeColor="text1"/>
          <w:sz w:val="32"/>
          <w:szCs w:val="32"/>
          <w14:textFill>
            <w14:solidFill>
              <w14:schemeClr w14:val="tx1"/>
            </w14:solidFill>
          </w14:textFill>
        </w:rPr>
        <w:t>（6）若送达日为非工作日，则视为在下一工作日送达。</w:t>
      </w:r>
    </w:p>
    <w:p w14:paraId="33E172AD">
      <w:pPr>
        <w:spacing w:line="560" w:lineRule="exact"/>
        <w:ind w:right="-153" w:rightChars="-73" w:firstLine="640" w:firstLineChars="200"/>
        <w:rPr>
          <w:rFonts w:ascii="仿宋_GB2312" w:hAnsi="黑体" w:eastAsia="仿宋_GB2312" w:cs="宋体"/>
          <w:color w:val="000000" w:themeColor="text1"/>
          <w:sz w:val="32"/>
          <w:szCs w:val="32"/>
          <w14:textFill>
            <w14:solidFill>
              <w14:schemeClr w14:val="tx1"/>
            </w14:solidFill>
          </w14:textFill>
        </w:rPr>
      </w:pPr>
      <w:r>
        <w:rPr>
          <w:rFonts w:hint="eastAsia" w:ascii="仿宋_GB2312" w:hAnsi="黑体" w:eastAsia="仿宋_GB2312" w:cs="宋体"/>
          <w:color w:val="000000" w:themeColor="text1"/>
          <w:sz w:val="32"/>
          <w:szCs w:val="32"/>
          <w14:textFill>
            <w14:solidFill>
              <w14:schemeClr w14:val="tx1"/>
            </w14:solidFill>
          </w14:textFill>
        </w:rPr>
        <w:t>3.本合同约定的地址、联系人及电子通信终端等信息亦为双方工作联系往来、法律文书及争议解决时人民法院和/或仲裁机构的法律文书送达地址。人民法院和/或仲裁机构的诉讼文书（含裁判文书）向任何合同任何一方当事人的上述地址和/或工商登记公示地址（居民身份证登记地址）送达的，视为有效送达。当事人对电子通信终端的联系送达适用于争议解决时的送达。</w:t>
      </w:r>
    </w:p>
    <w:p w14:paraId="244D674E">
      <w:pPr>
        <w:spacing w:line="560" w:lineRule="exact"/>
        <w:ind w:right="-153" w:rightChars="-73" w:firstLine="640" w:firstLineChars="200"/>
        <w:rPr>
          <w:rFonts w:ascii="仿宋_GB2312" w:hAnsi="黑体" w:eastAsia="仿宋_GB2312" w:cs="宋体"/>
          <w:color w:val="000000" w:themeColor="text1"/>
          <w:sz w:val="32"/>
          <w:szCs w:val="32"/>
          <w14:textFill>
            <w14:solidFill>
              <w14:schemeClr w14:val="tx1"/>
            </w14:solidFill>
          </w14:textFill>
        </w:rPr>
      </w:pPr>
      <w:r>
        <w:rPr>
          <w:rFonts w:hint="eastAsia" w:ascii="仿宋_GB2312" w:hAnsi="黑体" w:eastAsia="仿宋_GB2312" w:cs="宋体"/>
          <w:color w:val="000000" w:themeColor="text1"/>
          <w:sz w:val="32"/>
          <w:szCs w:val="32"/>
          <w14:textFill>
            <w14:solidFill>
              <w14:schemeClr w14:val="tx1"/>
            </w14:solidFill>
          </w14:textFill>
        </w:rPr>
        <w:t>4.合同送达条款与争议解决条款均为独立条款，不受合同整体或其他条款的效力的影响。</w:t>
      </w:r>
    </w:p>
    <w:p w14:paraId="0B78E810">
      <w:pPr>
        <w:spacing w:line="560" w:lineRule="exact"/>
        <w:ind w:right="-153" w:rightChars="-73" w:firstLine="640" w:firstLineChars="200"/>
        <w:rPr>
          <w:rFonts w:ascii="黑体" w:hAnsi="黑体" w:eastAsia="黑体" w:cs="宋体"/>
          <w:color w:val="000000" w:themeColor="text1"/>
          <w:sz w:val="32"/>
          <w:szCs w:val="32"/>
          <w14:textFill>
            <w14:solidFill>
              <w14:schemeClr w14:val="tx1"/>
            </w14:solidFill>
          </w14:textFill>
        </w:rPr>
      </w:pPr>
      <w:r>
        <w:rPr>
          <w:rFonts w:hint="eastAsia" w:ascii="黑体" w:hAnsi="黑体" w:eastAsia="黑体" w:cs="宋体"/>
          <w:color w:val="000000" w:themeColor="text1"/>
          <w:sz w:val="32"/>
          <w:szCs w:val="32"/>
          <w14:textFill>
            <w14:solidFill>
              <w14:schemeClr w14:val="tx1"/>
            </w14:solidFill>
          </w14:textFill>
        </w:rPr>
        <w:t>第十七条  合同生效及其它</w:t>
      </w:r>
    </w:p>
    <w:p w14:paraId="7F0CC2AE">
      <w:pPr>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hint="eastAsia" w:ascii="仿宋_GB2312" w:hAnsi="宋体" w:eastAsia="仿宋_GB2312" w:cs="Arial"/>
          <w:color w:val="000000" w:themeColor="text1"/>
          <w:sz w:val="32"/>
          <w:szCs w:val="32"/>
          <w14:textFill>
            <w14:solidFill>
              <w14:schemeClr w14:val="tx1"/>
            </w14:solidFill>
          </w14:textFill>
        </w:rPr>
        <w:t>1.合同经双方法定代表人或授权代表签字并加盖单位公章</w:t>
      </w:r>
      <w:r>
        <w:rPr>
          <w:rFonts w:hint="eastAsia" w:ascii="仿宋_GB2312" w:hAnsi="宋体" w:eastAsia="仿宋_GB2312" w:cs="Arial"/>
          <w:color w:val="000000" w:themeColor="text1"/>
          <w:sz w:val="32"/>
          <w:szCs w:val="32"/>
          <w:lang w:val="en-US" w:eastAsia="zh-CN"/>
          <w14:textFill>
            <w14:solidFill>
              <w14:schemeClr w14:val="tx1"/>
            </w14:solidFill>
          </w14:textFill>
        </w:rPr>
        <w:t>之日起</w:t>
      </w:r>
      <w:r>
        <w:rPr>
          <w:rFonts w:hint="eastAsia" w:ascii="仿宋_GB2312" w:hAnsi="宋体" w:eastAsia="仿宋_GB2312" w:cs="Arial"/>
          <w:color w:val="000000" w:themeColor="text1"/>
          <w:sz w:val="32"/>
          <w:szCs w:val="32"/>
          <w14:textFill>
            <w14:solidFill>
              <w14:schemeClr w14:val="tx1"/>
            </w14:solidFill>
          </w14:textFill>
        </w:rPr>
        <w:t>生效。本合同一式</w:t>
      </w:r>
      <w:r>
        <w:rPr>
          <w:rFonts w:hint="eastAsia" w:ascii="仿宋_GB2312" w:hAnsi="宋体" w:eastAsia="仿宋_GB2312" w:cs="Arial"/>
          <w:color w:val="000000" w:themeColor="text1"/>
          <w:sz w:val="32"/>
          <w:szCs w:val="32"/>
          <w:lang w:val="en-US" w:eastAsia="zh-CN"/>
          <w14:textFill>
            <w14:solidFill>
              <w14:schemeClr w14:val="tx1"/>
            </w14:solidFill>
          </w14:textFill>
        </w:rPr>
        <w:t>陆</w:t>
      </w:r>
      <w:r>
        <w:rPr>
          <w:rFonts w:hint="eastAsia" w:ascii="仿宋_GB2312" w:hAnsi="宋体" w:eastAsia="仿宋_GB2312" w:cs="Arial"/>
          <w:color w:val="000000" w:themeColor="text1"/>
          <w:sz w:val="32"/>
          <w:szCs w:val="32"/>
          <w14:textFill>
            <w14:solidFill>
              <w14:schemeClr w14:val="tx1"/>
            </w14:solidFill>
          </w14:textFill>
        </w:rPr>
        <w:t>份，每份均具有同等法律效力，甲方执</w:t>
      </w:r>
      <w:r>
        <w:rPr>
          <w:rFonts w:hint="eastAsia" w:ascii="仿宋_GB2312" w:hAnsi="宋体" w:eastAsia="仿宋_GB2312" w:cs="Arial"/>
          <w:color w:val="000000" w:themeColor="text1"/>
          <w:sz w:val="32"/>
          <w:szCs w:val="32"/>
          <w:lang w:val="en-US" w:eastAsia="zh-CN"/>
          <w14:textFill>
            <w14:solidFill>
              <w14:schemeClr w14:val="tx1"/>
            </w14:solidFill>
          </w14:textFill>
        </w:rPr>
        <w:t>伍</w:t>
      </w:r>
      <w:r>
        <w:rPr>
          <w:rFonts w:hint="eastAsia" w:ascii="仿宋_GB2312" w:hAnsi="宋体" w:eastAsia="仿宋_GB2312" w:cs="Arial"/>
          <w:color w:val="000000" w:themeColor="text1"/>
          <w:sz w:val="32"/>
          <w:szCs w:val="32"/>
          <w14:textFill>
            <w14:solidFill>
              <w14:schemeClr w14:val="tx1"/>
            </w14:solidFill>
          </w14:textFill>
        </w:rPr>
        <w:t>份、乙方执</w:t>
      </w:r>
      <w:r>
        <w:rPr>
          <w:rFonts w:hint="eastAsia" w:ascii="仿宋_GB2312" w:hAnsi="宋体" w:eastAsia="仿宋_GB2312" w:cs="Arial"/>
          <w:color w:val="000000" w:themeColor="text1"/>
          <w:sz w:val="32"/>
          <w:szCs w:val="32"/>
          <w:lang w:val="en-US" w:eastAsia="zh-CN"/>
          <w14:textFill>
            <w14:solidFill>
              <w14:schemeClr w14:val="tx1"/>
            </w14:solidFill>
          </w14:textFill>
        </w:rPr>
        <w:t>壹</w:t>
      </w:r>
      <w:r>
        <w:rPr>
          <w:rFonts w:hint="eastAsia" w:ascii="仿宋_GB2312" w:hAnsi="宋体" w:eastAsia="仿宋_GB2312" w:cs="Arial"/>
          <w:color w:val="000000" w:themeColor="text1"/>
          <w:sz w:val="32"/>
          <w:szCs w:val="32"/>
          <w14:textFill>
            <w14:solidFill>
              <w14:schemeClr w14:val="tx1"/>
            </w14:solidFill>
          </w14:textFill>
        </w:rPr>
        <w:t>份。</w:t>
      </w:r>
    </w:p>
    <w:p w14:paraId="17BB8881">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w:t>
      </w:r>
      <w:r>
        <w:rPr>
          <w:rFonts w:ascii="仿宋_GB2312" w:hAnsi="宋体" w:eastAsia="仿宋_GB2312"/>
          <w:color w:val="000000" w:themeColor="text1"/>
          <w:sz w:val="32"/>
          <w:szCs w:val="32"/>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合同执行中涉及采购资金和采购内容修改或补充的，须经双方协商一致，并签书面补充协议，方可作为主合同不可分割的一部分。</w:t>
      </w:r>
    </w:p>
    <w:p w14:paraId="18D46211">
      <w:pPr>
        <w:snapToGrid w:val="0"/>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ascii="仿宋_GB2312" w:hAnsi="宋体" w:eastAsia="仿宋_GB2312" w:cs="Arial"/>
          <w:color w:val="000000" w:themeColor="text1"/>
          <w:sz w:val="32"/>
          <w:szCs w:val="32"/>
          <w14:textFill>
            <w14:solidFill>
              <w14:schemeClr w14:val="tx1"/>
            </w14:solidFill>
          </w14:textFill>
        </w:rPr>
        <w:t>3</w:t>
      </w:r>
      <w:r>
        <w:rPr>
          <w:rFonts w:hint="eastAsia" w:ascii="仿宋_GB2312" w:hAnsi="宋体" w:eastAsia="仿宋_GB2312" w:cs="Arial"/>
          <w:color w:val="000000" w:themeColor="text1"/>
          <w:sz w:val="32"/>
          <w:szCs w:val="32"/>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本次采购过程中形成的采购文件、响应文件、报价文件、优惠承诺、售后服务承诺及其他文字材料都是合同的组成部分，与合同具有同等法律效力，各文件之间内容有冲突的，以签署时间在后的为准。</w:t>
      </w:r>
    </w:p>
    <w:p w14:paraId="78B6FC5F">
      <w:pPr>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r>
        <w:rPr>
          <w:rFonts w:hint="eastAsia" w:ascii="仿宋_GB2312" w:hAnsi="宋体" w:eastAsia="仿宋_GB2312" w:cs="Arial"/>
          <w:color w:val="000000" w:themeColor="text1"/>
          <w:sz w:val="32"/>
          <w:szCs w:val="32"/>
          <w:lang w:val="en-US" w:eastAsia="zh-CN"/>
          <w14:textFill>
            <w14:solidFill>
              <w14:schemeClr w14:val="tx1"/>
            </w14:solidFill>
          </w14:textFill>
        </w:rPr>
        <w:t>4</w:t>
      </w:r>
      <w:r>
        <w:rPr>
          <w:rFonts w:hint="eastAsia" w:ascii="仿宋_GB2312" w:hAnsi="宋体" w:eastAsia="仿宋_GB2312" w:cs="Arial"/>
          <w:color w:val="000000" w:themeColor="text1"/>
          <w:sz w:val="32"/>
          <w:szCs w:val="32"/>
          <w14:textFill>
            <w14:solidFill>
              <w14:schemeClr w14:val="tx1"/>
            </w14:solidFill>
          </w14:textFill>
        </w:rPr>
        <w:t>.本合同未尽事宜，遵照《中华人民共和国民法典》有关条文执行。</w:t>
      </w:r>
    </w:p>
    <w:p w14:paraId="71844284">
      <w:pPr>
        <w:snapToGrid w:val="0"/>
        <w:spacing w:line="560" w:lineRule="exact"/>
        <w:ind w:firstLine="640" w:firstLineChars="200"/>
        <w:rPr>
          <w:rFonts w:ascii="仿宋_GB2312" w:hAnsi="宋体" w:eastAsia="仿宋_GB2312" w:cs="Arial"/>
          <w:color w:val="000000" w:themeColor="text1"/>
          <w:sz w:val="32"/>
          <w:szCs w:val="32"/>
          <w14:textFill>
            <w14:solidFill>
              <w14:schemeClr w14:val="tx1"/>
            </w14:solidFill>
          </w14:textFill>
        </w:rPr>
      </w:pPr>
    </w:p>
    <w:p w14:paraId="6F5021E0">
      <w:pPr>
        <w:spacing w:line="560" w:lineRule="exact"/>
        <w:ind w:right="-153" w:rightChars="-73" w:firstLine="640" w:firstLineChars="200"/>
        <w:jc w:val="lef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w:t>
      </w:r>
      <w:r>
        <w:rPr>
          <w:rFonts w:hint="eastAsia" w:ascii="仿宋_GB2312" w:hAnsi="宋体" w:eastAsia="仿宋_GB2312"/>
          <w:color w:val="000000" w:themeColor="text1"/>
          <w:sz w:val="32"/>
          <w:szCs w:val="32"/>
          <w:lang w:eastAsia="zh-Hans"/>
          <w14:textFill>
            <w14:solidFill>
              <w14:schemeClr w14:val="tx1"/>
            </w14:solidFill>
          </w14:textFill>
        </w:rPr>
        <w:t>以下无正文</w:t>
      </w:r>
      <w:r>
        <w:rPr>
          <w:rFonts w:hint="eastAsia" w:ascii="仿宋_GB2312" w:hAnsi="宋体" w:eastAsia="仿宋_GB2312"/>
          <w:color w:val="000000" w:themeColor="text1"/>
          <w:sz w:val="32"/>
          <w:szCs w:val="32"/>
          <w14:textFill>
            <w14:solidFill>
              <w14:schemeClr w14:val="tx1"/>
            </w14:solidFill>
          </w14:textFill>
        </w:rPr>
        <w:t>】</w:t>
      </w:r>
    </w:p>
    <w:p w14:paraId="16609179">
      <w:pPr>
        <w:spacing w:line="560" w:lineRule="exact"/>
        <w:ind w:right="-153" w:rightChars="-73" w:firstLine="640" w:firstLineChars="200"/>
        <w:jc w:val="left"/>
        <w:rPr>
          <w:rFonts w:ascii="仿宋_GB2312" w:hAnsi="宋体" w:eastAsia="仿宋_GB2312"/>
          <w:color w:val="000000" w:themeColor="text1"/>
          <w:sz w:val="32"/>
          <w:szCs w:val="32"/>
          <w14:textFill>
            <w14:solidFill>
              <w14:schemeClr w14:val="tx1"/>
            </w14:solidFill>
          </w14:textFill>
        </w:rPr>
      </w:pPr>
    </w:p>
    <w:tbl>
      <w:tblPr>
        <w:tblStyle w:val="8"/>
        <w:tblW w:w="8453"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4379"/>
        <w:gridCol w:w="4074"/>
      </w:tblGrid>
      <w:tr w14:paraId="12E8F58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4379" w:type="dxa"/>
            <w:tcBorders>
              <w:top w:val="single" w:color="auto" w:sz="8" w:space="0"/>
              <w:left w:val="single" w:color="auto" w:sz="8" w:space="0"/>
              <w:bottom w:val="single" w:color="auto" w:sz="8" w:space="0"/>
              <w:right w:val="single" w:color="auto" w:sz="8" w:space="0"/>
            </w:tcBorders>
            <w:vAlign w:val="center"/>
          </w:tcPr>
          <w:p w14:paraId="42BC8A9A">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 xml:space="preserve">甲方（章）： </w:t>
            </w:r>
          </w:p>
        </w:tc>
        <w:tc>
          <w:tcPr>
            <w:tcW w:w="4074" w:type="dxa"/>
            <w:tcBorders>
              <w:top w:val="single" w:color="auto" w:sz="8" w:space="0"/>
              <w:left w:val="single" w:color="auto" w:sz="8" w:space="0"/>
              <w:bottom w:val="single" w:color="auto" w:sz="8" w:space="0"/>
              <w:right w:val="single" w:color="auto" w:sz="8" w:space="0"/>
            </w:tcBorders>
            <w:vAlign w:val="center"/>
          </w:tcPr>
          <w:p w14:paraId="2DCD5087">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乙方（章）：</w:t>
            </w:r>
          </w:p>
        </w:tc>
      </w:tr>
      <w:tr w14:paraId="37FCC67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4379" w:type="dxa"/>
            <w:tcBorders>
              <w:top w:val="single" w:color="auto" w:sz="8" w:space="0"/>
              <w:left w:val="single" w:color="auto" w:sz="8" w:space="0"/>
              <w:bottom w:val="single" w:color="auto" w:sz="8" w:space="0"/>
              <w:right w:val="single" w:color="auto" w:sz="8" w:space="0"/>
            </w:tcBorders>
            <w:vAlign w:val="center"/>
          </w:tcPr>
          <w:p w14:paraId="4CAA2712">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地址： 南宁市大学西路189号</w:t>
            </w:r>
          </w:p>
        </w:tc>
        <w:tc>
          <w:tcPr>
            <w:tcW w:w="4074" w:type="dxa"/>
            <w:tcBorders>
              <w:top w:val="single" w:color="auto" w:sz="8" w:space="0"/>
              <w:left w:val="single" w:color="auto" w:sz="8" w:space="0"/>
              <w:bottom w:val="single" w:color="auto" w:sz="8" w:space="0"/>
              <w:right w:val="single" w:color="auto" w:sz="8" w:space="0"/>
            </w:tcBorders>
            <w:vAlign w:val="center"/>
          </w:tcPr>
          <w:p w14:paraId="3CC4DCAB">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 xml:space="preserve">地址： </w:t>
            </w:r>
          </w:p>
        </w:tc>
      </w:tr>
      <w:tr w14:paraId="3B6C7FE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4379" w:type="dxa"/>
            <w:tcBorders>
              <w:top w:val="single" w:color="auto" w:sz="8" w:space="0"/>
              <w:left w:val="single" w:color="auto" w:sz="8" w:space="0"/>
              <w:bottom w:val="single" w:color="auto" w:sz="8" w:space="0"/>
              <w:right w:val="single" w:color="auto" w:sz="8" w:space="0"/>
            </w:tcBorders>
            <w:vAlign w:val="center"/>
          </w:tcPr>
          <w:p w14:paraId="1EF2A76B">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 xml:space="preserve">法定代表人： </w:t>
            </w:r>
          </w:p>
        </w:tc>
        <w:tc>
          <w:tcPr>
            <w:tcW w:w="4074" w:type="dxa"/>
            <w:tcBorders>
              <w:top w:val="single" w:color="auto" w:sz="8" w:space="0"/>
              <w:left w:val="single" w:color="auto" w:sz="8" w:space="0"/>
              <w:bottom w:val="single" w:color="auto" w:sz="8" w:space="0"/>
              <w:right w:val="single" w:color="auto" w:sz="8" w:space="0"/>
            </w:tcBorders>
            <w:vAlign w:val="center"/>
          </w:tcPr>
          <w:p w14:paraId="426511FA">
            <w:pPr>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法定代表人：</w:t>
            </w:r>
          </w:p>
        </w:tc>
      </w:tr>
      <w:tr w14:paraId="0F1A0FE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4379" w:type="dxa"/>
            <w:tcBorders>
              <w:top w:val="single" w:color="auto" w:sz="8" w:space="0"/>
              <w:left w:val="single" w:color="auto" w:sz="8" w:space="0"/>
              <w:bottom w:val="single" w:color="auto" w:sz="8" w:space="0"/>
              <w:right w:val="single" w:color="auto" w:sz="8" w:space="0"/>
            </w:tcBorders>
            <w:vAlign w:val="center"/>
          </w:tcPr>
          <w:p w14:paraId="0DBE4B74">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委托代理人：</w:t>
            </w:r>
          </w:p>
        </w:tc>
        <w:tc>
          <w:tcPr>
            <w:tcW w:w="4074" w:type="dxa"/>
            <w:tcBorders>
              <w:top w:val="single" w:color="auto" w:sz="8" w:space="0"/>
              <w:left w:val="single" w:color="auto" w:sz="8" w:space="0"/>
              <w:bottom w:val="single" w:color="auto" w:sz="8" w:space="0"/>
              <w:right w:val="single" w:color="auto" w:sz="8" w:space="0"/>
            </w:tcBorders>
            <w:vAlign w:val="center"/>
          </w:tcPr>
          <w:p w14:paraId="309F5A8C">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委托代理人：</w:t>
            </w:r>
          </w:p>
        </w:tc>
      </w:tr>
      <w:tr w14:paraId="4C692DB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998" w:hRule="atLeast"/>
          <w:jc w:val="center"/>
        </w:trPr>
        <w:tc>
          <w:tcPr>
            <w:tcW w:w="4379" w:type="dxa"/>
            <w:tcBorders>
              <w:top w:val="single" w:color="auto" w:sz="8" w:space="0"/>
              <w:left w:val="single" w:color="auto" w:sz="8" w:space="0"/>
              <w:bottom w:val="single" w:color="auto" w:sz="8" w:space="0"/>
              <w:right w:val="single" w:color="auto" w:sz="8" w:space="0"/>
            </w:tcBorders>
          </w:tcPr>
          <w:p w14:paraId="5E5B173B">
            <w:pPr>
              <w:adjustRightInd w:val="0"/>
              <w:snapToGrid w:val="0"/>
              <w:spacing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联系人：</w:t>
            </w:r>
          </w:p>
        </w:tc>
        <w:tc>
          <w:tcPr>
            <w:tcW w:w="4074" w:type="dxa"/>
            <w:tcBorders>
              <w:top w:val="single" w:color="auto" w:sz="8" w:space="0"/>
              <w:left w:val="single" w:color="auto" w:sz="8" w:space="0"/>
              <w:bottom w:val="single" w:color="auto" w:sz="8" w:space="0"/>
              <w:right w:val="single" w:color="auto" w:sz="8" w:space="0"/>
            </w:tcBorders>
          </w:tcPr>
          <w:p w14:paraId="39CEFF9D">
            <w:pPr>
              <w:adjustRightInd w:val="0"/>
              <w:snapToGrid w:val="0"/>
              <w:spacing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联系人：</w:t>
            </w:r>
          </w:p>
        </w:tc>
      </w:tr>
      <w:tr w14:paraId="48412E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42" w:hRule="atLeast"/>
          <w:jc w:val="center"/>
        </w:trPr>
        <w:tc>
          <w:tcPr>
            <w:tcW w:w="4379" w:type="dxa"/>
            <w:tcBorders>
              <w:top w:val="single" w:color="auto" w:sz="8" w:space="0"/>
              <w:left w:val="single" w:color="auto" w:sz="8" w:space="0"/>
              <w:bottom w:val="single" w:color="auto" w:sz="8" w:space="0"/>
              <w:right w:val="single" w:color="auto" w:sz="8" w:space="0"/>
            </w:tcBorders>
          </w:tcPr>
          <w:p w14:paraId="743E23DF">
            <w:pPr>
              <w:adjustRightInd w:val="0"/>
              <w:snapToGrid w:val="0"/>
              <w:spacing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电话：</w:t>
            </w:r>
          </w:p>
        </w:tc>
        <w:tc>
          <w:tcPr>
            <w:tcW w:w="4074" w:type="dxa"/>
            <w:tcBorders>
              <w:top w:val="single" w:color="auto" w:sz="8" w:space="0"/>
              <w:left w:val="single" w:color="auto" w:sz="8" w:space="0"/>
              <w:bottom w:val="single" w:color="auto" w:sz="8" w:space="0"/>
              <w:right w:val="single" w:color="auto" w:sz="8" w:space="0"/>
            </w:tcBorders>
          </w:tcPr>
          <w:p w14:paraId="3176BB6B">
            <w:pPr>
              <w:adjustRightInd w:val="0"/>
              <w:snapToGrid w:val="0"/>
              <w:spacing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电话：</w:t>
            </w:r>
          </w:p>
        </w:tc>
      </w:tr>
      <w:tr w14:paraId="64E173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4379" w:type="dxa"/>
            <w:tcBorders>
              <w:top w:val="single" w:color="auto" w:sz="8" w:space="0"/>
              <w:left w:val="single" w:color="auto" w:sz="8" w:space="0"/>
              <w:bottom w:val="single" w:color="auto" w:sz="8" w:space="0"/>
              <w:right w:val="single" w:color="auto" w:sz="8" w:space="0"/>
            </w:tcBorders>
            <w:vAlign w:val="center"/>
          </w:tcPr>
          <w:p w14:paraId="62F09218">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邮箱：</w:t>
            </w:r>
          </w:p>
        </w:tc>
        <w:tc>
          <w:tcPr>
            <w:tcW w:w="4074" w:type="dxa"/>
            <w:tcBorders>
              <w:top w:val="single" w:color="auto" w:sz="8" w:space="0"/>
              <w:left w:val="single" w:color="auto" w:sz="8" w:space="0"/>
              <w:bottom w:val="single" w:color="auto" w:sz="8" w:space="0"/>
              <w:right w:val="single" w:color="auto" w:sz="8" w:space="0"/>
            </w:tcBorders>
            <w:vAlign w:val="center"/>
          </w:tcPr>
          <w:p w14:paraId="4C31E670">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邮箱：</w:t>
            </w:r>
          </w:p>
        </w:tc>
      </w:tr>
      <w:tr w14:paraId="75D21C8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4379" w:type="dxa"/>
            <w:tcBorders>
              <w:top w:val="single" w:color="auto" w:sz="8" w:space="0"/>
              <w:left w:val="single" w:color="auto" w:sz="8" w:space="0"/>
              <w:bottom w:val="single" w:color="auto" w:sz="8" w:space="0"/>
              <w:right w:val="single" w:color="auto" w:sz="8" w:space="0"/>
            </w:tcBorders>
            <w:vAlign w:val="center"/>
          </w:tcPr>
          <w:p w14:paraId="69E1813C">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开户名称：广西财经学院</w:t>
            </w:r>
          </w:p>
        </w:tc>
        <w:tc>
          <w:tcPr>
            <w:tcW w:w="4074" w:type="dxa"/>
            <w:tcBorders>
              <w:top w:val="single" w:color="auto" w:sz="8" w:space="0"/>
              <w:left w:val="single" w:color="auto" w:sz="8" w:space="0"/>
              <w:bottom w:val="single" w:color="auto" w:sz="8" w:space="0"/>
              <w:right w:val="single" w:color="auto" w:sz="8" w:space="0"/>
            </w:tcBorders>
            <w:vAlign w:val="center"/>
          </w:tcPr>
          <w:p w14:paraId="37C37D38">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开户名称：</w:t>
            </w:r>
          </w:p>
        </w:tc>
      </w:tr>
      <w:tr w14:paraId="2D92EE4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4379" w:type="dxa"/>
            <w:tcBorders>
              <w:top w:val="single" w:color="auto" w:sz="8" w:space="0"/>
              <w:left w:val="single" w:color="auto" w:sz="8" w:space="0"/>
              <w:bottom w:val="single" w:color="auto" w:sz="8" w:space="0"/>
              <w:right w:val="single" w:color="auto" w:sz="8" w:space="0"/>
            </w:tcBorders>
            <w:vAlign w:val="center"/>
          </w:tcPr>
          <w:p w14:paraId="6A27F64A">
            <w:pPr>
              <w:snapToGrid w:val="0"/>
              <w:spacing w:line="57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开户行：</w:t>
            </w:r>
            <w:r>
              <w:rPr>
                <w:rFonts w:hint="eastAsia" w:ascii="仿宋_GB2312" w:hAnsi="宋体" w:eastAsia="仿宋_GB2312" w:cs="宋体"/>
                <w:color w:val="000000" w:themeColor="text1"/>
                <w:sz w:val="22"/>
                <w:lang w:bidi="ar"/>
                <w14:textFill>
                  <w14:solidFill>
                    <w14:schemeClr w14:val="tx1"/>
                  </w14:solidFill>
                </w14:textFill>
              </w:rPr>
              <w:t>中国银行南宁明秀西路支行</w:t>
            </w:r>
          </w:p>
        </w:tc>
        <w:tc>
          <w:tcPr>
            <w:tcW w:w="4074" w:type="dxa"/>
            <w:tcBorders>
              <w:top w:val="single" w:color="auto" w:sz="8" w:space="0"/>
              <w:left w:val="single" w:color="auto" w:sz="8" w:space="0"/>
              <w:bottom w:val="single" w:color="auto" w:sz="8" w:space="0"/>
              <w:right w:val="single" w:color="auto" w:sz="8" w:space="0"/>
            </w:tcBorders>
            <w:vAlign w:val="center"/>
          </w:tcPr>
          <w:p w14:paraId="5CB4F059">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开户行：</w:t>
            </w:r>
          </w:p>
        </w:tc>
      </w:tr>
      <w:tr w14:paraId="655B56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4379" w:type="dxa"/>
            <w:tcBorders>
              <w:top w:val="single" w:color="auto" w:sz="8" w:space="0"/>
              <w:left w:val="single" w:color="auto" w:sz="8" w:space="0"/>
              <w:bottom w:val="single" w:color="auto" w:sz="8" w:space="0"/>
              <w:right w:val="single" w:color="auto" w:sz="8" w:space="0"/>
            </w:tcBorders>
            <w:vAlign w:val="center"/>
          </w:tcPr>
          <w:p w14:paraId="7E55D0AE">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账号：</w:t>
            </w:r>
            <w:r>
              <w:rPr>
                <w:rFonts w:hint="eastAsia" w:ascii="仿宋_GB2312" w:hAnsi="宋体" w:eastAsia="仿宋_GB2312" w:cs="宋体"/>
                <w:color w:val="000000" w:themeColor="text1"/>
                <w:sz w:val="22"/>
                <w:lang w:bidi="ar"/>
                <w14:textFill>
                  <w14:solidFill>
                    <w14:schemeClr w14:val="tx1"/>
                  </w14:solidFill>
                </w14:textFill>
              </w:rPr>
              <w:t>611957485481</w:t>
            </w:r>
          </w:p>
        </w:tc>
        <w:tc>
          <w:tcPr>
            <w:tcW w:w="4074" w:type="dxa"/>
            <w:tcBorders>
              <w:top w:val="single" w:color="auto" w:sz="8" w:space="0"/>
              <w:left w:val="single" w:color="auto" w:sz="8" w:space="0"/>
              <w:bottom w:val="single" w:color="auto" w:sz="8" w:space="0"/>
              <w:right w:val="single" w:color="auto" w:sz="8" w:space="0"/>
            </w:tcBorders>
            <w:vAlign w:val="center"/>
          </w:tcPr>
          <w:p w14:paraId="535F233B">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账号：</w:t>
            </w:r>
          </w:p>
        </w:tc>
      </w:tr>
      <w:tr w14:paraId="57AC9A6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67" w:hRule="atLeast"/>
          <w:jc w:val="center"/>
        </w:trPr>
        <w:tc>
          <w:tcPr>
            <w:tcW w:w="4379" w:type="dxa"/>
            <w:tcBorders>
              <w:top w:val="single" w:color="auto" w:sz="8" w:space="0"/>
              <w:left w:val="single" w:color="auto" w:sz="8" w:space="0"/>
              <w:bottom w:val="single" w:color="auto" w:sz="8" w:space="0"/>
              <w:right w:val="single" w:color="auto" w:sz="8" w:space="0"/>
            </w:tcBorders>
            <w:vAlign w:val="center"/>
          </w:tcPr>
          <w:p w14:paraId="095F14DB">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统一社会信用代码:</w:t>
            </w:r>
            <w:r>
              <w:rPr>
                <w:rFonts w:hint="eastAsia" w:ascii="仿宋_GB2312" w:eastAsia="仿宋_GB2312"/>
                <w:color w:val="000000" w:themeColor="text1"/>
                <w:sz w:val="22"/>
                <w14:textFill>
                  <w14:solidFill>
                    <w14:schemeClr w14:val="tx1"/>
                  </w14:solidFill>
                </w14:textFill>
              </w:rPr>
              <w:t xml:space="preserve"> </w:t>
            </w:r>
            <w:r>
              <w:rPr>
                <w:rFonts w:hint="eastAsia" w:ascii="仿宋_GB2312" w:hAnsi="宋体" w:eastAsia="仿宋_GB2312"/>
                <w:color w:val="000000" w:themeColor="text1"/>
                <w:sz w:val="22"/>
                <w14:textFill>
                  <w14:solidFill>
                    <w14:schemeClr w14:val="tx1"/>
                  </w14:solidFill>
                </w14:textFill>
              </w:rPr>
              <w:t>12450000498506139N</w:t>
            </w:r>
          </w:p>
        </w:tc>
        <w:tc>
          <w:tcPr>
            <w:tcW w:w="4074" w:type="dxa"/>
            <w:tcBorders>
              <w:top w:val="single" w:color="auto" w:sz="8" w:space="0"/>
              <w:left w:val="single" w:color="auto" w:sz="8" w:space="0"/>
              <w:bottom w:val="single" w:color="auto" w:sz="8" w:space="0"/>
              <w:right w:val="single" w:color="auto" w:sz="8" w:space="0"/>
            </w:tcBorders>
            <w:vAlign w:val="center"/>
          </w:tcPr>
          <w:p w14:paraId="70F54898">
            <w:pPr>
              <w:adjustRightInd w:val="0"/>
              <w:snapToGrid w:val="0"/>
              <w:spacing w:after="156" w:afterLines="50" w:line="440" w:lineRule="exact"/>
              <w:rPr>
                <w:rFonts w:ascii="仿宋_GB2312" w:hAnsi="宋体" w:eastAsia="仿宋_GB2312"/>
                <w:color w:val="000000" w:themeColor="text1"/>
                <w:sz w:val="22"/>
                <w14:textFill>
                  <w14:solidFill>
                    <w14:schemeClr w14:val="tx1"/>
                  </w14:solidFill>
                </w14:textFill>
              </w:rPr>
            </w:pPr>
            <w:r>
              <w:rPr>
                <w:rFonts w:hint="eastAsia" w:ascii="仿宋_GB2312" w:hAnsi="宋体" w:eastAsia="仿宋_GB2312"/>
                <w:color w:val="000000" w:themeColor="text1"/>
                <w:sz w:val="22"/>
                <w14:textFill>
                  <w14:solidFill>
                    <w14:schemeClr w14:val="tx1"/>
                  </w14:solidFill>
                </w14:textFill>
              </w:rPr>
              <w:t>统一社会信用代码:9</w:t>
            </w:r>
          </w:p>
        </w:tc>
      </w:tr>
    </w:tbl>
    <w:p w14:paraId="3D2E6A0B">
      <w:pPr>
        <w:spacing w:line="360" w:lineRule="auto"/>
        <w:jc w:val="center"/>
        <w:rPr>
          <w:rFonts w:ascii="宋体" w:hAnsi="宋体" w:eastAsia="宋体" w:cs="Times New Roman"/>
          <w:color w:val="000000" w:themeColor="text1"/>
          <w:sz w:val="18"/>
          <w:szCs w:val="20"/>
          <w14:textFill>
            <w14:solidFill>
              <w14:schemeClr w14:val="tx1"/>
            </w14:solidFill>
          </w14:textFill>
        </w:rPr>
      </w:pPr>
    </w:p>
    <w:sectPr>
      <w:footerReference r:id="rId3" w:type="default"/>
      <w:pgSz w:w="11906" w:h="16838"/>
      <w:pgMar w:top="1440" w:right="1701" w:bottom="1440" w:left="170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C6C0D7C4-FB10-45BF-B7C4-A7449666468A}"/>
  </w:font>
  <w:font w:name="Arial">
    <w:panose1 w:val="020B0604020202020204"/>
    <w:charset w:val="01"/>
    <w:family w:val="swiss"/>
    <w:pitch w:val="default"/>
    <w:sig w:usb0="E0002EFF" w:usb1="C000785B" w:usb2="00000009" w:usb3="00000000" w:csb0="400001FF" w:csb1="FFFF0000"/>
    <w:embedRegular r:id="rId2" w:fontKey="{CCB8A64E-F71E-4149-B95F-05330366A375}"/>
  </w:font>
  <w:font w:name="黑体">
    <w:panose1 w:val="02010609060101010101"/>
    <w:charset w:val="86"/>
    <w:family w:val="auto"/>
    <w:pitch w:val="default"/>
    <w:sig w:usb0="800002BF" w:usb1="38CF7CFA" w:usb2="00000016" w:usb3="00000000" w:csb0="00040001" w:csb1="00000000"/>
    <w:embedRegular r:id="rId3" w:fontKey="{3E92CA3C-8DD0-4D1C-88E6-D6ED36E6A22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3DCD49CB-FEA3-4AD4-B0A3-B029CE645401}"/>
  </w:font>
  <w:font w:name="方正小标宋简体">
    <w:panose1 w:val="02000000000000000000"/>
    <w:charset w:val="86"/>
    <w:family w:val="auto"/>
    <w:pitch w:val="default"/>
    <w:sig w:usb0="00000001" w:usb1="08000000" w:usb2="00000000" w:usb3="00000000" w:csb0="00040000" w:csb1="00000000"/>
    <w:embedRegular r:id="rId5" w:fontKey="{416B6C7A-40B0-4FE0-BEEA-4BC99F56C81F}"/>
  </w:font>
  <w:font w:name="仿宋_GB2312">
    <w:altName w:val="仿宋"/>
    <w:panose1 w:val="02010609030101010101"/>
    <w:charset w:val="86"/>
    <w:family w:val="modern"/>
    <w:pitch w:val="default"/>
    <w:sig w:usb0="00000000" w:usb1="00000000" w:usb2="00000000" w:usb3="00000000" w:csb0="00040000" w:csb1="00000000"/>
    <w:embedRegular r:id="rId6" w:fontKey="{DEECAC08-041D-4C4A-8BDD-DAFC756ED721}"/>
  </w:font>
  <w:font w:name="仿宋">
    <w:panose1 w:val="02010609060101010101"/>
    <w:charset w:val="86"/>
    <w:family w:val="modern"/>
    <w:pitch w:val="default"/>
    <w:sig w:usb0="800002BF" w:usb1="38CF7CFA" w:usb2="00000016" w:usb3="00000000" w:csb0="00040001" w:csb1="00000000"/>
    <w:embedRegular r:id="rId7" w:fontKey="{58834E70-36C0-457E-9494-1070F83E9A30}"/>
  </w:font>
  <w:font w:name="华文仿宋">
    <w:panose1 w:val="02010600040101010101"/>
    <w:charset w:val="86"/>
    <w:family w:val="auto"/>
    <w:pitch w:val="default"/>
    <w:sig w:usb0="00000287" w:usb1="080F0000" w:usb2="00000000" w:usb3="00000000" w:csb0="0004009F" w:csb1="DFD70000"/>
    <w:embedRegular r:id="rId8" w:fontKey="{E17019BD-DA2F-4E5A-AB8A-3757EE0145ED}"/>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2CBD5">
    <w:pPr>
      <w:pStyle w:val="6"/>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7835"/>
                            <w:docPartObj>
                              <w:docPartGallery w:val="autotext"/>
                            </w:docPartObj>
                          </w:sdtPr>
                          <w:sdtContent>
                            <w:p w14:paraId="065EAB7C">
                              <w:pPr>
                                <w:pStyle w:val="6"/>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6</w:t>
                              </w:r>
                              <w:r>
                                <w:rPr>
                                  <w:rFonts w:hint="eastAsia" w:ascii="宋体" w:hAnsi="宋体" w:eastAsia="宋体" w:cs="宋体"/>
                                  <w:sz w:val="28"/>
                                  <w:szCs w:val="28"/>
                                </w:rPr>
                                <w:fldChar w:fldCharType="end"/>
                              </w:r>
                            </w:p>
                          </w:sdtContent>
                        </w:sdt>
                        <w:p w14:paraId="071E642C"/>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sdt>
                    <w:sdtPr>
                      <w:id w:val="147477835"/>
                      <w:docPartObj>
                        <w:docPartGallery w:val="autotext"/>
                      </w:docPartObj>
                    </w:sdtPr>
                    <w:sdtContent>
                      <w:p w14:paraId="065EAB7C">
                        <w:pPr>
                          <w:pStyle w:val="6"/>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6</w:t>
                        </w:r>
                        <w:r>
                          <w:rPr>
                            <w:rFonts w:hint="eastAsia" w:ascii="宋体" w:hAnsi="宋体" w:eastAsia="宋体" w:cs="宋体"/>
                            <w:sz w:val="28"/>
                            <w:szCs w:val="28"/>
                          </w:rPr>
                          <w:fldChar w:fldCharType="end"/>
                        </w:r>
                      </w:p>
                    </w:sdtContent>
                  </w:sdt>
                  <w:p w14:paraId="071E642C"/>
                </w:txbxContent>
              </v:textbox>
            </v:shape>
          </w:pict>
        </mc:Fallback>
      </mc:AlternateContent>
    </w:r>
  </w:p>
  <w:p w14:paraId="0EBA5137">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YyNDU4ZWMxMzZmYWQyMzMxMWZlZDEwY2JhZGU4YWQifQ=="/>
  </w:docVars>
  <w:rsids>
    <w:rsidRoot w:val="002752F4"/>
    <w:rsid w:val="00001BCA"/>
    <w:rsid w:val="0000283C"/>
    <w:rsid w:val="00004BA8"/>
    <w:rsid w:val="00011E1E"/>
    <w:rsid w:val="00014884"/>
    <w:rsid w:val="00033C89"/>
    <w:rsid w:val="000703A7"/>
    <w:rsid w:val="000721B3"/>
    <w:rsid w:val="00076BCD"/>
    <w:rsid w:val="00081698"/>
    <w:rsid w:val="0009536A"/>
    <w:rsid w:val="000A07A1"/>
    <w:rsid w:val="000A1865"/>
    <w:rsid w:val="000B3BCC"/>
    <w:rsid w:val="000B78A3"/>
    <w:rsid w:val="000D0211"/>
    <w:rsid w:val="000D0A27"/>
    <w:rsid w:val="000D2306"/>
    <w:rsid w:val="000F0229"/>
    <w:rsid w:val="0010087C"/>
    <w:rsid w:val="001019B2"/>
    <w:rsid w:val="00126AA8"/>
    <w:rsid w:val="001377EA"/>
    <w:rsid w:val="00142991"/>
    <w:rsid w:val="0015161A"/>
    <w:rsid w:val="00157299"/>
    <w:rsid w:val="00157A9C"/>
    <w:rsid w:val="00157F20"/>
    <w:rsid w:val="001612DA"/>
    <w:rsid w:val="00170537"/>
    <w:rsid w:val="00173796"/>
    <w:rsid w:val="001749D2"/>
    <w:rsid w:val="00175CFF"/>
    <w:rsid w:val="00183F59"/>
    <w:rsid w:val="00193566"/>
    <w:rsid w:val="00193592"/>
    <w:rsid w:val="001A5ED7"/>
    <w:rsid w:val="001A6805"/>
    <w:rsid w:val="001B48AA"/>
    <w:rsid w:val="001B6836"/>
    <w:rsid w:val="001B6B50"/>
    <w:rsid w:val="001D1DAE"/>
    <w:rsid w:val="001D674C"/>
    <w:rsid w:val="001D7BA2"/>
    <w:rsid w:val="001D7FAA"/>
    <w:rsid w:val="001E1801"/>
    <w:rsid w:val="001F1AB5"/>
    <w:rsid w:val="001F468C"/>
    <w:rsid w:val="002034F1"/>
    <w:rsid w:val="0020677F"/>
    <w:rsid w:val="00206FAC"/>
    <w:rsid w:val="00207031"/>
    <w:rsid w:val="0021446E"/>
    <w:rsid w:val="00226405"/>
    <w:rsid w:val="00226A3A"/>
    <w:rsid w:val="00246FE2"/>
    <w:rsid w:val="00257C73"/>
    <w:rsid w:val="002604A2"/>
    <w:rsid w:val="002752F4"/>
    <w:rsid w:val="00276EF6"/>
    <w:rsid w:val="0028027D"/>
    <w:rsid w:val="0028052A"/>
    <w:rsid w:val="00280621"/>
    <w:rsid w:val="00285735"/>
    <w:rsid w:val="002878C8"/>
    <w:rsid w:val="00287DFD"/>
    <w:rsid w:val="002B2159"/>
    <w:rsid w:val="002B3018"/>
    <w:rsid w:val="002B4639"/>
    <w:rsid w:val="002E11CB"/>
    <w:rsid w:val="0030601C"/>
    <w:rsid w:val="00307251"/>
    <w:rsid w:val="00325E66"/>
    <w:rsid w:val="00326DF4"/>
    <w:rsid w:val="0033071B"/>
    <w:rsid w:val="003378EB"/>
    <w:rsid w:val="0035346D"/>
    <w:rsid w:val="00376492"/>
    <w:rsid w:val="00384725"/>
    <w:rsid w:val="003B16FB"/>
    <w:rsid w:val="003C47D6"/>
    <w:rsid w:val="003D39B5"/>
    <w:rsid w:val="003D6353"/>
    <w:rsid w:val="003E4403"/>
    <w:rsid w:val="00407906"/>
    <w:rsid w:val="0041797E"/>
    <w:rsid w:val="0043386E"/>
    <w:rsid w:val="00435BCF"/>
    <w:rsid w:val="0044284B"/>
    <w:rsid w:val="00451335"/>
    <w:rsid w:val="00455403"/>
    <w:rsid w:val="0046140C"/>
    <w:rsid w:val="00477437"/>
    <w:rsid w:val="004A2DAA"/>
    <w:rsid w:val="004A787F"/>
    <w:rsid w:val="004C28DB"/>
    <w:rsid w:val="004D1C33"/>
    <w:rsid w:val="004E1B21"/>
    <w:rsid w:val="004E296C"/>
    <w:rsid w:val="004F0467"/>
    <w:rsid w:val="004F1A6C"/>
    <w:rsid w:val="004F2F9D"/>
    <w:rsid w:val="004F302A"/>
    <w:rsid w:val="0050022C"/>
    <w:rsid w:val="00503608"/>
    <w:rsid w:val="00513368"/>
    <w:rsid w:val="00513D76"/>
    <w:rsid w:val="00523D3D"/>
    <w:rsid w:val="00536A4A"/>
    <w:rsid w:val="00536DC4"/>
    <w:rsid w:val="00560261"/>
    <w:rsid w:val="00565CE1"/>
    <w:rsid w:val="00572471"/>
    <w:rsid w:val="005874C2"/>
    <w:rsid w:val="005E68E4"/>
    <w:rsid w:val="005F34BB"/>
    <w:rsid w:val="00605F9C"/>
    <w:rsid w:val="00615109"/>
    <w:rsid w:val="00615701"/>
    <w:rsid w:val="00630B53"/>
    <w:rsid w:val="00632BED"/>
    <w:rsid w:val="00655646"/>
    <w:rsid w:val="006558D2"/>
    <w:rsid w:val="006617FA"/>
    <w:rsid w:val="00664190"/>
    <w:rsid w:val="00666FE1"/>
    <w:rsid w:val="0067453A"/>
    <w:rsid w:val="00680ABF"/>
    <w:rsid w:val="00684345"/>
    <w:rsid w:val="006A17DB"/>
    <w:rsid w:val="006B1DC1"/>
    <w:rsid w:val="006B773F"/>
    <w:rsid w:val="006C52B9"/>
    <w:rsid w:val="006C7DEB"/>
    <w:rsid w:val="006D3B8E"/>
    <w:rsid w:val="006D4918"/>
    <w:rsid w:val="006E094D"/>
    <w:rsid w:val="006E2C9C"/>
    <w:rsid w:val="006E6F86"/>
    <w:rsid w:val="006F1EFD"/>
    <w:rsid w:val="007060B9"/>
    <w:rsid w:val="00713C64"/>
    <w:rsid w:val="00720F13"/>
    <w:rsid w:val="00724DBE"/>
    <w:rsid w:val="007455F8"/>
    <w:rsid w:val="0075235B"/>
    <w:rsid w:val="00760DED"/>
    <w:rsid w:val="0076132F"/>
    <w:rsid w:val="007A547D"/>
    <w:rsid w:val="007B21BB"/>
    <w:rsid w:val="007C37D9"/>
    <w:rsid w:val="007C38A1"/>
    <w:rsid w:val="00807BEF"/>
    <w:rsid w:val="0081522A"/>
    <w:rsid w:val="00824049"/>
    <w:rsid w:val="00862313"/>
    <w:rsid w:val="0086730E"/>
    <w:rsid w:val="00880FC1"/>
    <w:rsid w:val="0089382C"/>
    <w:rsid w:val="00894B27"/>
    <w:rsid w:val="008B16A2"/>
    <w:rsid w:val="008C507C"/>
    <w:rsid w:val="008C5081"/>
    <w:rsid w:val="008C642F"/>
    <w:rsid w:val="008C7E43"/>
    <w:rsid w:val="008D3A71"/>
    <w:rsid w:val="008D61DC"/>
    <w:rsid w:val="0090522E"/>
    <w:rsid w:val="00910715"/>
    <w:rsid w:val="00912332"/>
    <w:rsid w:val="00915383"/>
    <w:rsid w:val="00915B2A"/>
    <w:rsid w:val="00923F06"/>
    <w:rsid w:val="00925911"/>
    <w:rsid w:val="009263C8"/>
    <w:rsid w:val="00932851"/>
    <w:rsid w:val="00963461"/>
    <w:rsid w:val="0096537F"/>
    <w:rsid w:val="00975600"/>
    <w:rsid w:val="00982E2E"/>
    <w:rsid w:val="00983E4C"/>
    <w:rsid w:val="009866A0"/>
    <w:rsid w:val="009962C4"/>
    <w:rsid w:val="009A07EE"/>
    <w:rsid w:val="009A2C07"/>
    <w:rsid w:val="009A7E66"/>
    <w:rsid w:val="009B1BDE"/>
    <w:rsid w:val="009D5CB5"/>
    <w:rsid w:val="009D69DC"/>
    <w:rsid w:val="009D7EDE"/>
    <w:rsid w:val="009E2777"/>
    <w:rsid w:val="009E2C5F"/>
    <w:rsid w:val="009E5713"/>
    <w:rsid w:val="009F176B"/>
    <w:rsid w:val="009F47AA"/>
    <w:rsid w:val="00A14CCA"/>
    <w:rsid w:val="00A1782E"/>
    <w:rsid w:val="00A443E9"/>
    <w:rsid w:val="00A52A13"/>
    <w:rsid w:val="00A612BD"/>
    <w:rsid w:val="00A6640A"/>
    <w:rsid w:val="00A721B8"/>
    <w:rsid w:val="00A72E50"/>
    <w:rsid w:val="00A838A3"/>
    <w:rsid w:val="00A84AB5"/>
    <w:rsid w:val="00A906E9"/>
    <w:rsid w:val="00A9567B"/>
    <w:rsid w:val="00A97935"/>
    <w:rsid w:val="00AA178B"/>
    <w:rsid w:val="00AA5B65"/>
    <w:rsid w:val="00AB1D5F"/>
    <w:rsid w:val="00AB22C9"/>
    <w:rsid w:val="00AC2B0A"/>
    <w:rsid w:val="00AE063B"/>
    <w:rsid w:val="00AE3899"/>
    <w:rsid w:val="00AE4205"/>
    <w:rsid w:val="00AE6307"/>
    <w:rsid w:val="00AE65F2"/>
    <w:rsid w:val="00AF65B3"/>
    <w:rsid w:val="00B04AFD"/>
    <w:rsid w:val="00B156DF"/>
    <w:rsid w:val="00B1706F"/>
    <w:rsid w:val="00B23E88"/>
    <w:rsid w:val="00B46087"/>
    <w:rsid w:val="00B50309"/>
    <w:rsid w:val="00B659AE"/>
    <w:rsid w:val="00B7569A"/>
    <w:rsid w:val="00B76B0B"/>
    <w:rsid w:val="00B83CBF"/>
    <w:rsid w:val="00B90DE6"/>
    <w:rsid w:val="00BA119E"/>
    <w:rsid w:val="00BB574D"/>
    <w:rsid w:val="00BC1489"/>
    <w:rsid w:val="00BC3BE8"/>
    <w:rsid w:val="00BD3EBB"/>
    <w:rsid w:val="00BF27E8"/>
    <w:rsid w:val="00BF6EBA"/>
    <w:rsid w:val="00C02DBF"/>
    <w:rsid w:val="00C063E0"/>
    <w:rsid w:val="00C15D83"/>
    <w:rsid w:val="00C20F75"/>
    <w:rsid w:val="00C30191"/>
    <w:rsid w:val="00C343D7"/>
    <w:rsid w:val="00C512DA"/>
    <w:rsid w:val="00C633F8"/>
    <w:rsid w:val="00C66D3B"/>
    <w:rsid w:val="00C67BA9"/>
    <w:rsid w:val="00C7308D"/>
    <w:rsid w:val="00C76FA2"/>
    <w:rsid w:val="00C93CEE"/>
    <w:rsid w:val="00C97C8A"/>
    <w:rsid w:val="00CA109A"/>
    <w:rsid w:val="00CF5372"/>
    <w:rsid w:val="00D11A18"/>
    <w:rsid w:val="00D12765"/>
    <w:rsid w:val="00D16CEC"/>
    <w:rsid w:val="00D23861"/>
    <w:rsid w:val="00D240F0"/>
    <w:rsid w:val="00D367DD"/>
    <w:rsid w:val="00D46CA3"/>
    <w:rsid w:val="00D57948"/>
    <w:rsid w:val="00D6011B"/>
    <w:rsid w:val="00D6036D"/>
    <w:rsid w:val="00D6227E"/>
    <w:rsid w:val="00D6508D"/>
    <w:rsid w:val="00D67653"/>
    <w:rsid w:val="00D802AE"/>
    <w:rsid w:val="00D818F4"/>
    <w:rsid w:val="00D94C77"/>
    <w:rsid w:val="00D96BA5"/>
    <w:rsid w:val="00DA0281"/>
    <w:rsid w:val="00DA1317"/>
    <w:rsid w:val="00DA571C"/>
    <w:rsid w:val="00DB2B75"/>
    <w:rsid w:val="00DB4930"/>
    <w:rsid w:val="00DC4BBD"/>
    <w:rsid w:val="00DD7567"/>
    <w:rsid w:val="00DE4B7C"/>
    <w:rsid w:val="00DF3164"/>
    <w:rsid w:val="00E13C78"/>
    <w:rsid w:val="00E4432C"/>
    <w:rsid w:val="00E52C71"/>
    <w:rsid w:val="00E56D61"/>
    <w:rsid w:val="00E615E3"/>
    <w:rsid w:val="00E63E76"/>
    <w:rsid w:val="00E6466B"/>
    <w:rsid w:val="00EB666D"/>
    <w:rsid w:val="00EC325B"/>
    <w:rsid w:val="00ED47CE"/>
    <w:rsid w:val="00EE5480"/>
    <w:rsid w:val="00EE5570"/>
    <w:rsid w:val="00F03062"/>
    <w:rsid w:val="00F06B08"/>
    <w:rsid w:val="00F13C21"/>
    <w:rsid w:val="00F149FD"/>
    <w:rsid w:val="00F24200"/>
    <w:rsid w:val="00F32E6C"/>
    <w:rsid w:val="00F34751"/>
    <w:rsid w:val="00F54023"/>
    <w:rsid w:val="00F57DD7"/>
    <w:rsid w:val="00F84505"/>
    <w:rsid w:val="00F860DA"/>
    <w:rsid w:val="00F868E1"/>
    <w:rsid w:val="00F8738D"/>
    <w:rsid w:val="00F90301"/>
    <w:rsid w:val="00F92A47"/>
    <w:rsid w:val="00FA0FB8"/>
    <w:rsid w:val="00FA6F3F"/>
    <w:rsid w:val="00FB0957"/>
    <w:rsid w:val="00FC3214"/>
    <w:rsid w:val="00FD061A"/>
    <w:rsid w:val="00FD1E08"/>
    <w:rsid w:val="00FD55D9"/>
    <w:rsid w:val="00FE5976"/>
    <w:rsid w:val="00FF207F"/>
    <w:rsid w:val="01402DC2"/>
    <w:rsid w:val="015651BF"/>
    <w:rsid w:val="05734296"/>
    <w:rsid w:val="06986394"/>
    <w:rsid w:val="090B5543"/>
    <w:rsid w:val="09C63CB7"/>
    <w:rsid w:val="0A6B4EB1"/>
    <w:rsid w:val="10E0773E"/>
    <w:rsid w:val="12074687"/>
    <w:rsid w:val="12E91C34"/>
    <w:rsid w:val="134648AC"/>
    <w:rsid w:val="14F670A8"/>
    <w:rsid w:val="15602074"/>
    <w:rsid w:val="1698665B"/>
    <w:rsid w:val="1824732A"/>
    <w:rsid w:val="19662322"/>
    <w:rsid w:val="198E16B0"/>
    <w:rsid w:val="1A0503C4"/>
    <w:rsid w:val="1A996A5E"/>
    <w:rsid w:val="1ACC02F4"/>
    <w:rsid w:val="1B747A47"/>
    <w:rsid w:val="1D6F49C4"/>
    <w:rsid w:val="21A61FC4"/>
    <w:rsid w:val="21D70261"/>
    <w:rsid w:val="21F16609"/>
    <w:rsid w:val="2664199B"/>
    <w:rsid w:val="267D07C5"/>
    <w:rsid w:val="279462AC"/>
    <w:rsid w:val="28433F5A"/>
    <w:rsid w:val="287655BD"/>
    <w:rsid w:val="29726CB2"/>
    <w:rsid w:val="2B5C5A0D"/>
    <w:rsid w:val="2B8A18E7"/>
    <w:rsid w:val="2E2A0088"/>
    <w:rsid w:val="312B7C81"/>
    <w:rsid w:val="38A84948"/>
    <w:rsid w:val="39100AD4"/>
    <w:rsid w:val="391C04D0"/>
    <w:rsid w:val="394C1F41"/>
    <w:rsid w:val="3999555F"/>
    <w:rsid w:val="3A7C5B6F"/>
    <w:rsid w:val="3AA5121F"/>
    <w:rsid w:val="3D52271E"/>
    <w:rsid w:val="3ECC2F16"/>
    <w:rsid w:val="44692B43"/>
    <w:rsid w:val="44705C7F"/>
    <w:rsid w:val="457C68A6"/>
    <w:rsid w:val="4673672C"/>
    <w:rsid w:val="472D080F"/>
    <w:rsid w:val="48657375"/>
    <w:rsid w:val="48F4074E"/>
    <w:rsid w:val="4A684122"/>
    <w:rsid w:val="4B054C4F"/>
    <w:rsid w:val="4B370961"/>
    <w:rsid w:val="4BD42CAE"/>
    <w:rsid w:val="4BEE5B1A"/>
    <w:rsid w:val="4D1216E3"/>
    <w:rsid w:val="4D8A789F"/>
    <w:rsid w:val="4FB22A1D"/>
    <w:rsid w:val="504D22C4"/>
    <w:rsid w:val="51A74267"/>
    <w:rsid w:val="52392F2E"/>
    <w:rsid w:val="525549C8"/>
    <w:rsid w:val="534D10E3"/>
    <w:rsid w:val="53924CA9"/>
    <w:rsid w:val="55586F77"/>
    <w:rsid w:val="557355CF"/>
    <w:rsid w:val="56244B1C"/>
    <w:rsid w:val="56EC7829"/>
    <w:rsid w:val="5911047B"/>
    <w:rsid w:val="59301524"/>
    <w:rsid w:val="59D41744"/>
    <w:rsid w:val="5C115871"/>
    <w:rsid w:val="5D257D1E"/>
    <w:rsid w:val="5E036237"/>
    <w:rsid w:val="5ED6597D"/>
    <w:rsid w:val="5F778CD6"/>
    <w:rsid w:val="5FAE3BD3"/>
    <w:rsid w:val="60082A96"/>
    <w:rsid w:val="60C74A21"/>
    <w:rsid w:val="623746EF"/>
    <w:rsid w:val="62494824"/>
    <w:rsid w:val="67785762"/>
    <w:rsid w:val="67A93F37"/>
    <w:rsid w:val="67FF52AE"/>
    <w:rsid w:val="68695492"/>
    <w:rsid w:val="6DBF2638"/>
    <w:rsid w:val="6E130755"/>
    <w:rsid w:val="71F80EDE"/>
    <w:rsid w:val="72CF421C"/>
    <w:rsid w:val="74291409"/>
    <w:rsid w:val="744C5512"/>
    <w:rsid w:val="74AC4202"/>
    <w:rsid w:val="74AE6D57"/>
    <w:rsid w:val="78374F2B"/>
    <w:rsid w:val="79C45B4A"/>
    <w:rsid w:val="7B993335"/>
    <w:rsid w:val="7E374F5D"/>
    <w:rsid w:val="7E386207"/>
    <w:rsid w:val="7FF42E43"/>
    <w:rsid w:val="9FFD5B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qFormat/>
    <w:uiPriority w:val="0"/>
    <w:pPr>
      <w:jc w:val="left"/>
    </w:pPr>
    <w:rPr>
      <w:rFonts w:ascii="Times New Roman" w:hAnsi="Times New Roman" w:eastAsia="宋体" w:cs="Times New Roman"/>
      <w:szCs w:val="24"/>
    </w:rPr>
  </w:style>
  <w:style w:type="paragraph" w:styleId="3">
    <w:name w:val="Body Text Indent"/>
    <w:basedOn w:val="1"/>
    <w:link w:val="14"/>
    <w:qFormat/>
    <w:uiPriority w:val="0"/>
    <w:pPr>
      <w:spacing w:line="340" w:lineRule="exact"/>
      <w:ind w:firstLine="420" w:firstLineChars="200"/>
    </w:pPr>
    <w:rPr>
      <w:rFonts w:ascii="宋体" w:hAnsi="宋体" w:eastAsia="宋体" w:cs="Times New Roman"/>
      <w:szCs w:val="21"/>
    </w:rPr>
  </w:style>
  <w:style w:type="paragraph" w:styleId="4">
    <w:name w:val="Plain Text"/>
    <w:basedOn w:val="1"/>
    <w:link w:val="17"/>
    <w:qFormat/>
    <w:uiPriority w:val="0"/>
    <w:rPr>
      <w:rFonts w:ascii="宋体" w:hAnsi="Courier New" w:eastAsia="宋体" w:cs="Times New Roman"/>
      <w:kern w:val="0"/>
      <w:sz w:val="20"/>
      <w:szCs w:val="21"/>
    </w:rPr>
  </w:style>
  <w:style w:type="paragraph" w:styleId="5">
    <w:name w:val="Balloon Text"/>
    <w:basedOn w:val="1"/>
    <w:link w:val="11"/>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character" w:styleId="10">
    <w:name w:val="annotation reference"/>
    <w:basedOn w:val="9"/>
    <w:semiHidden/>
    <w:unhideWhenUsed/>
    <w:qFormat/>
    <w:uiPriority w:val="99"/>
    <w:rPr>
      <w:sz w:val="21"/>
      <w:szCs w:val="21"/>
    </w:rPr>
  </w:style>
  <w:style w:type="character" w:customStyle="1" w:styleId="11">
    <w:name w:val="批注框文本 字符"/>
    <w:basedOn w:val="9"/>
    <w:link w:val="5"/>
    <w:semiHidden/>
    <w:qFormat/>
    <w:uiPriority w:val="99"/>
    <w:rPr>
      <w:sz w:val="18"/>
      <w:szCs w:val="18"/>
    </w:rPr>
  </w:style>
  <w:style w:type="character" w:customStyle="1" w:styleId="12">
    <w:name w:val="页眉 字符"/>
    <w:basedOn w:val="9"/>
    <w:link w:val="7"/>
    <w:qFormat/>
    <w:uiPriority w:val="99"/>
    <w:rPr>
      <w:sz w:val="18"/>
      <w:szCs w:val="18"/>
    </w:rPr>
  </w:style>
  <w:style w:type="character" w:customStyle="1" w:styleId="13">
    <w:name w:val="页脚 字符"/>
    <w:basedOn w:val="9"/>
    <w:link w:val="6"/>
    <w:qFormat/>
    <w:uiPriority w:val="99"/>
    <w:rPr>
      <w:sz w:val="18"/>
      <w:szCs w:val="18"/>
    </w:rPr>
  </w:style>
  <w:style w:type="character" w:customStyle="1" w:styleId="14">
    <w:name w:val="正文文本缩进 字符"/>
    <w:basedOn w:val="9"/>
    <w:link w:val="3"/>
    <w:qFormat/>
    <w:uiPriority w:val="0"/>
    <w:rPr>
      <w:rFonts w:ascii="宋体" w:hAnsi="宋体" w:eastAsia="宋体" w:cs="Times New Roman"/>
      <w:szCs w:val="21"/>
    </w:rPr>
  </w:style>
  <w:style w:type="paragraph" w:customStyle="1" w:styleId="15">
    <w:name w:val="标准"/>
    <w:basedOn w:val="1"/>
    <w:qFormat/>
    <w:uiPriority w:val="0"/>
    <w:pPr>
      <w:spacing w:line="360" w:lineRule="auto"/>
      <w:ind w:firstLine="200" w:firstLineChars="200"/>
    </w:pPr>
    <w:rPr>
      <w:rFonts w:ascii="Times New Roman" w:hAnsi="Times New Roman" w:eastAsia="宋体" w:cs="宋体"/>
      <w:szCs w:val="20"/>
    </w:rPr>
  </w:style>
  <w:style w:type="character" w:customStyle="1" w:styleId="16">
    <w:name w:val="批注文字 字符"/>
    <w:basedOn w:val="9"/>
    <w:link w:val="2"/>
    <w:qFormat/>
    <w:uiPriority w:val="0"/>
    <w:rPr>
      <w:rFonts w:ascii="Times New Roman" w:hAnsi="Times New Roman" w:eastAsia="宋体" w:cs="Times New Roman"/>
      <w:szCs w:val="24"/>
    </w:rPr>
  </w:style>
  <w:style w:type="character" w:customStyle="1" w:styleId="17">
    <w:name w:val="纯文本 字符"/>
    <w:basedOn w:val="9"/>
    <w:link w:val="4"/>
    <w:qFormat/>
    <w:uiPriority w:val="0"/>
    <w:rPr>
      <w:rFonts w:ascii="宋体" w:hAnsi="Courier New" w:eastAsia="宋体" w:cs="Times New Roman"/>
      <w:kern w:val="0"/>
      <w:sz w:val="20"/>
      <w:szCs w:val="21"/>
    </w:rPr>
  </w:style>
  <w:style w:type="paragraph" w:customStyle="1" w:styleId="18">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9">
    <w:name w:val="批注文字 字符2"/>
    <w:qFormat/>
    <w:uiPriority w:val="0"/>
    <w:rPr>
      <w:rFonts w:ascii="Times New Roman" w:hAnsi="Times New Roman" w:eastAsia="宋体" w:cs="Times New Roman"/>
      <w:szCs w:val="24"/>
    </w:rPr>
  </w:style>
  <w:style w:type="character" w:customStyle="1" w:styleId="20">
    <w:name w:val="纯文本 字符3"/>
    <w:qFormat/>
    <w:uiPriority w:val="0"/>
    <w:rPr>
      <w:rFonts w:ascii="宋体" w:hAnsi="Courier New" w:eastAsia="宋体" w:cs="Times New Roman"/>
      <w:kern w:val="0"/>
      <w:sz w:val="2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7D0FE9-6216-4AFF-91B9-56832B8CED12}">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29</Pages>
  <Words>138</Words>
  <Characters>138</Characters>
  <Lines>37</Lines>
  <Paragraphs>10</Paragraphs>
  <TotalTime>0</TotalTime>
  <ScaleCrop>false</ScaleCrop>
  <LinksUpToDate>false</LinksUpToDate>
  <CharactersWithSpaces>260</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2023-10-09T22:45:00Z</dcterms:created>
  <dc:creator>Administrator</dc:creator>
  <cp:lastModifiedBy>samas-宋</cp:lastModifiedBy>
  <dcterms:modified xsi:type="dcterms:W3CDTF">2026-11-03T12:11:45Z</dcterms:modified>
  <cp:revision>213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47FB9809AF7E4C35824E1271EDB4974B_13</vt:lpwstr>
  </property>
  <property fmtid="{D5CDD505-2E9C-101B-9397-08002B2CF9AE}" pid="4" name="KSOTemplateDocerSaveRecord">
    <vt:lpwstr>eyJoZGlkIjoiMjc4NTg0MmEwOWRiZjllZDJjYmJiZGNjNDgyYTg5YjkiLCJ1c2VySWQiOiI0NDk2NTMzMzkifQ==</vt:lpwstr>
  </property>
</Properties>
</file>