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3BA37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ascii="仿宋_GB2312" w:hAnsi="仿宋_GB2312" w:eastAsia="仿宋_GB2312" w:cs="仿宋_GB2312"/>
          <w:sz w:val="32"/>
          <w:szCs w:val="32"/>
        </w:rPr>
        <w:t>中国—东盟</w:t>
      </w:r>
      <w:r>
        <w:rPr>
          <w:rFonts w:hint="eastAsia" w:ascii="仿宋_GB2312" w:hAnsi="仿宋_GB2312" w:eastAsia="仿宋_GB2312" w:cs="仿宋_GB2312"/>
          <w:sz w:val="32"/>
          <w:szCs w:val="32"/>
        </w:rPr>
        <w:t>“AI+统计”实验室一期硬件建设项目采购需求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(目录外)</w:t>
      </w:r>
      <w:r>
        <w:rPr>
          <w:rFonts w:hint="eastAsia" w:ascii="仿宋_GB2312" w:hAnsi="仿宋_GB2312" w:eastAsia="仿宋_GB2312" w:cs="仿宋_GB2312"/>
          <w:sz w:val="32"/>
          <w:szCs w:val="32"/>
        </w:rPr>
        <w:t>（预算：455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296</w:t>
      </w:r>
      <w:r>
        <w:rPr>
          <w:rFonts w:ascii="仿宋_GB2312" w:hAnsi="仿宋_GB2312" w:eastAsia="仿宋_GB2312" w:cs="仿宋_GB2312"/>
          <w:sz w:val="32"/>
          <w:szCs w:val="32"/>
        </w:rPr>
        <w:t>.00</w:t>
      </w:r>
      <w:r>
        <w:rPr>
          <w:rFonts w:hint="eastAsia" w:ascii="仿宋_GB2312" w:hAnsi="仿宋_GB2312" w:eastAsia="仿宋_GB2312" w:cs="仿宋_GB2312"/>
          <w:sz w:val="32"/>
          <w:szCs w:val="32"/>
        </w:rPr>
        <w:t>元）</w:t>
      </w:r>
    </w:p>
    <w:tbl>
      <w:tblPr>
        <w:tblStyle w:val="2"/>
        <w:tblW w:w="95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484"/>
        <w:gridCol w:w="484"/>
        <w:gridCol w:w="486"/>
        <w:gridCol w:w="3835"/>
        <w:gridCol w:w="681"/>
        <w:gridCol w:w="994"/>
        <w:gridCol w:w="836"/>
        <w:gridCol w:w="1301"/>
      </w:tblGrid>
      <w:tr w14:paraId="7E3A2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4E9BC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E6D6F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设备名称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26C59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数量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4D2FF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单位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6D836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2"/>
                <w:lang w:bidi="ar"/>
              </w:rPr>
              <w:t>技术参数及配置要求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A545F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单价</w:t>
            </w:r>
          </w:p>
          <w:p w14:paraId="0D43F340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（元）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0B9BF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总价</w:t>
            </w:r>
          </w:p>
          <w:p w14:paraId="30914C4E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（元）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8A9BF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是否响应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00126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响应的品牌型号</w:t>
            </w:r>
          </w:p>
        </w:tc>
      </w:tr>
      <w:tr w14:paraId="73323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248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1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CBC1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安装结构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CA12F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3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A5F5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套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AAD7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1.液压前维护壁挂支架，前后升降高度112mm-307mm。</w:t>
            </w:r>
          </w:p>
          <w:p w14:paraId="1E9B163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2.材质：横梁/壁挂版：冷轧钢；挂条：冷轧钢。</w:t>
            </w:r>
          </w:p>
          <w:p w14:paraId="3B6D690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3.承重：不小于150kg。</w:t>
            </w:r>
          </w:p>
          <w:p w14:paraId="4F3B727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4.产品净重不大于20kg。</w:t>
            </w:r>
          </w:p>
          <w:p w14:paraId="5FC18A6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5.表面处理：黑色烤漆。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A1E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393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7C8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786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4A56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D72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1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4BFE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塔式GPU工作站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CDB22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3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FADB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台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94E8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1.产品认证：投标机型须为商用工作站产品，并提供官网或产品认证证明。</w:t>
            </w:r>
          </w:p>
          <w:p w14:paraId="7060573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2.核心硬件：</w:t>
            </w:r>
          </w:p>
          <w:p w14:paraId="509042A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（1）CPU：Intel Core i9-13900K 或更高级别处理器。</w:t>
            </w:r>
          </w:p>
          <w:p w14:paraId="3049C64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（2）主板：芯片组为 Intel W680 或更高级别。</w:t>
            </w:r>
          </w:p>
          <w:p w14:paraId="472C8D7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（3）内存：标配≥64GB(2×32GB)DDR5，主板须提供≥4个内存插槽。</w:t>
            </w:r>
          </w:p>
          <w:p w14:paraId="7959776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（4）显卡：独立显卡，性能不低于NVIDIA GeForce RTX 4090(24GB显存)。</w:t>
            </w:r>
          </w:p>
          <w:p w14:paraId="0BFE1B5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（5）硬盘：≥1TB M.2 NVMe SSD。</w:t>
            </w:r>
          </w:p>
          <w:p w14:paraId="197FBCB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3.集成功能：主板集成声卡及10/100/1000M以太网卡。</w:t>
            </w:r>
          </w:p>
          <w:p w14:paraId="100791F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4.外设与接口：原厂防水键盘及抗菌鼠标；前置面板≥5个USB 3.2接口（其中至少包含1个USB Type-C），2个音频接口；后置面板≥4个USB 3.2接口、1个串口、音频接口、2个DP接口、1个HDMI接口。</w:t>
            </w:r>
          </w:p>
          <w:p w14:paraId="433A116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5.扩展能力：提供1个PCIe x16及2个PCIe x4扩展插槽；标准塔式机箱，≥23L。</w:t>
            </w:r>
          </w:p>
          <w:p w14:paraId="25A3C71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6.电源：额定功率≥1100W，转换效率≥92%。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D2A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F0F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3EC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CBA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8726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389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1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D93F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键鼠套装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17385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6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98F8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套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4228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多模无线键盘鼠标套装。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E8C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9D8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F74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70E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61AE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0EA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1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3D13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网络交换机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E8FF5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1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5ADC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台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7F7C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1.设备与端口：全三层网管千兆交换机，提供不少于24个10/100/1000M自适应电口及4个万兆SFP+光口。</w:t>
            </w:r>
          </w:p>
          <w:p w14:paraId="6B7E5DC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2.性能指标：交换容量不低于336Gbps/3.36Tbps，包转发率不低于108Mpps/126Mpps。</w:t>
            </w:r>
          </w:p>
          <w:p w14:paraId="1E997EC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3.可靠性：业务端口具备共模±10kV的防雷能力，采用内置交流电源供电。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20C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76A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4FD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D7B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E726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3A9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1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67D2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万兆单模光模块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D205B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4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F2A4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个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6FE1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光模块-SFP+-10G-万兆单模模块(1310nm,10km,LC)。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E15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A90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AEE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D31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94FE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B87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1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DE3B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室内单模光纤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64D09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1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60C6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卷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7168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室内2芯2钢丝光纤线，200米。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8E3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D72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85D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B8E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9035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4B3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1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62F2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网线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CF37D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1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6054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箱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68E2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六类非屏蔽网线，305米。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747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EA1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CE2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146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3BCA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7DA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1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1E4F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PDU插座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92814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5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34D0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条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EBD2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支架支持360°可旋转安装；外壳高强度铝合金，机甲外观；开关具有保护罩；不少于8位国标5孔10A插座；≥1.8米线缆。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ADF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842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1E5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215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A315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878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1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4A60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辅材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2756C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1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F750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批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910E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包含安装研判台和数据分析工作台所需辅材。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AC1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EBC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63E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E0F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7187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C83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1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ECF8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中控主机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BEEF1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1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A744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台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5F12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一、系统与硬件</w:t>
            </w:r>
          </w:p>
          <w:p w14:paraId="12F4D19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1.系统平台：运行嵌入式Linux系统，稳定可靠，专用于对视频系统进行高效管理、控制与数据交互。</w:t>
            </w:r>
          </w:p>
          <w:p w14:paraId="3CD688A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2.硬件架构：采用1U机架式设计，结构稳固，散热优良，支持7×24小时连续运行。</w:t>
            </w:r>
          </w:p>
          <w:p w14:paraId="4923584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3.状态指示：前面板提供各物理端口的状态反馈指示灯。</w:t>
            </w:r>
          </w:p>
          <w:p w14:paraId="0EE1B01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二、控制与接口</w:t>
            </w:r>
          </w:p>
          <w:p w14:paraId="4B9B2B7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1.控制接口：提供丰富的物理控制端口，包括8路串口（4路RS232/422/485 + 4路RS232）、8路IR（红外）、8路Relay（继电器）及8路I/O，用于环境设备控制。</w:t>
            </w:r>
          </w:p>
          <w:p w14:paraId="220E544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2.网络协议：支持TCP、UDP、HTTP、HTTPS、WebSocket等多种网络控制协议。</w:t>
            </w:r>
          </w:p>
          <w:p w14:paraId="0314117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3.内容播控（选配）：获得授权后，可对网络内Windows终端进行内容播放、程序/文件打开、关机及虚拟键盘按键等操作。</w:t>
            </w:r>
          </w:p>
          <w:p w14:paraId="5647DB8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三、编程与开发</w:t>
            </w:r>
          </w:p>
          <w:p w14:paraId="12E27D2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1.编程模式：同时支持简易的列表配置编程和专家级类Java代码编程，可相互转换。</w:t>
            </w:r>
          </w:p>
          <w:p w14:paraId="642CE04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2.开发环境：使用统一的软件完成编程设计、界面制作、驱动定制、红外学习及诊断维护，降低学习成本。</w:t>
            </w:r>
          </w:p>
          <w:p w14:paraId="0082CD1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3.编程能力：提供丰富的内部函数与多种数据类型（Integer、Double、String、Json等），支持位运算、分支/循环结构及自定义函数。</w:t>
            </w:r>
          </w:p>
          <w:p w14:paraId="5CC8DE2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4.数据存储：提供非易失性内部存储，存储数据不受断电影响，程序更新时可选择是否保留。</w:t>
            </w:r>
          </w:p>
          <w:p w14:paraId="2F6BF74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四、远程与管理</w:t>
            </w:r>
          </w:p>
          <w:p w14:paraId="44093D3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1.管理架构：采用C/S架构，内嵌控制服务器及Web管理系统，支持通过电脑、手机（iOS/Android）等终端进行管理。</w:t>
            </w:r>
          </w:p>
          <w:p w14:paraId="001D488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2.远程控制：支持可启闭的远程控制功能，具备内网穿透能力，允许授权终端远程连接进行控制或调试。</w:t>
            </w:r>
          </w:p>
          <w:p w14:paraId="5AD254A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3.高可用性：支持创建分布式架构，单一节点或操作主机故障不影响其他节点及信号传输。</w:t>
            </w:r>
          </w:p>
          <w:p w14:paraId="0B95A92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4.配置同步：操作界面主机备份，更换终端时自动同步更新界面，无需手动上传。</w:t>
            </w:r>
          </w:p>
          <w:p w14:paraId="6CA01C4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5.计划任务：内置时钟，支持延迟器、定时器及日程管理，可按多种时间单位创建计划任务。</w:t>
            </w:r>
          </w:p>
          <w:p w14:paraId="5B11D0B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五、界面与路由</w:t>
            </w:r>
          </w:p>
          <w:p w14:paraId="3D90506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1.操作界面：支持实时流媒体预览与拖拽式信号路由功能。</w:t>
            </w:r>
          </w:p>
          <w:p w14:paraId="3A4BDB1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2.本地化：提供中文版软件及帮助文档。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152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051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98C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C94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2B5A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7F3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1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A942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中控墙面式控制屏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313E1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1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E8BE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台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A6DE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1.硬件配置：ARM Cortex-A55处理器，主频1.8GHz；2GB DDR4内存，8GB闪存；运行嵌入式Android 11系统。</w:t>
            </w:r>
          </w:p>
          <w:p w14:paraId="79AB04F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2.显示与连接：10英寸触摸屏，分辨率1280×800，支持壁挂安装；千兆以太网口，支持PoE供电或本地供电（无内置电池）；提供RS485接口，支持二次开发。</w:t>
            </w:r>
          </w:p>
          <w:p w14:paraId="3B1370E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3.核心功能：可快速切换并连接控制主机，实现实时控制与状态反馈，支持界面定制；支持H.264/H.265、RTSP/RTMP等流媒体及图片的预览回显；支持拖拽式信号切换及拼接、开窗、漫游等显示控制；支持安装第三方APP。</w:t>
            </w:r>
          </w:p>
          <w:p w14:paraId="5A8A361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4.材质工艺：采用铝合金机身，经阳极氧化处理，外观高档且散热优良。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934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E0A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644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67A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F486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555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1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536B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无线控制触摸屏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02374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1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CFC5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台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9A8B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11英寸，8+128GB。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957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63B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5D4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E1B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E999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1CC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1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0C04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无线路由器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CC5FA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1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3B03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台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BB76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支持WiFi 6，千兆无线路由器。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87F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8E6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D5F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6F5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9EB6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81F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1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0239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POE千兆交换机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1685D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1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D86D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台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A8B6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24口POE千兆网络交换机。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373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8F6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B84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5C7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7392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23A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1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FC74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8路继电器箱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D3906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1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17E8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台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C845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1.核心通道与控制能力：提供8路单刀双掷（SPDT）干触点控制，单通道最大负载电流20A；支持通道独立开关、时序开关（顺序与间隔时间可调）、通道互锁及断电状态记忆；内置过流保护电路，防止触点锁死；支持8个场景的存储与一键调用。</w:t>
            </w:r>
          </w:p>
          <w:p w14:paraId="5DEE317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2.状态指示与本地操作：每路通道均配备状态LED指示灯；前面板提供通道手动操作按钮及手动时序开关按钮。</w:t>
            </w:r>
          </w:p>
          <w:p w14:paraId="3B394E0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3.联网与高级控制：内置DHCP与Web服务器，支持通过手机、平板等设备的浏览器进行控制；支持ID区分，可实现多台设备级联控制。</w:t>
            </w:r>
          </w:p>
          <w:p w14:paraId="7F20220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4.控制接口与协议：支持RS232、RS485串行控制；支持TCP、UDP、HTTP网络协议控制；支持干触点信号触发控制。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7A6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B36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9B7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075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7435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AC0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1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7B84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软件编程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65EF4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1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58F9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项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211E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软件编程，定制界面。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5D5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663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AF6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476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1B1B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89A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1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15E5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操作席位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CFD15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2.87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5E16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米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017C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一、总体结构与基础规格</w:t>
            </w:r>
          </w:p>
          <w:p w14:paraId="67C1F0E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1.模块化设计：采用模块化结构，支持根据需求灵活增减模块。</w:t>
            </w:r>
          </w:p>
          <w:p w14:paraId="2FC6221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2.核心尺寸：控制台深度≥800mm，提供纵向≥620mm的桌面操作空间。工作台面高度为740-755mm，符合人机工程学要求。</w:t>
            </w:r>
          </w:p>
          <w:p w14:paraId="5AD12C0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3.后背墙：厚度≥120mm，高度≤185mm。前端配备截面厚度≥2mm的铝型材背板，带悬挂槽，可安装显示器及支持多种动态效果（长亮、闪烁、跑马、呼吸）的警示灯光系统。</w:t>
            </w:r>
          </w:p>
          <w:p w14:paraId="2B43D5E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二、材料与工艺标准</w:t>
            </w:r>
          </w:p>
          <w:p w14:paraId="6BB275A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1.框架结构：主体框架采用2.0mm厚优质冷轧钢板，前端支撑臂采用3.0mm厚钢板。表面进行防静电喷塑处理，涂层光滑均匀，无缺陷。钢结构部件需通过HJ 2547-2016环境标志产品认证，并通过连续240小时中性盐雾试验（耐腐蚀等级10级）。</w:t>
            </w:r>
          </w:p>
          <w:p w14:paraId="523D126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2.台面板：采用≥27mm厚实木颗粒板双面贴防火板，前侧为≥39mm鸭嘴封边手枕。材料需符合Enf级甲醛释放标准（GB/T 39600-2021），并通过抗菌（抗菌率≥99.9%）、物理性能（弹性模量≥4700MPa等）及有害物质（苯、TVOC、重金属等）未检出的多项检测。</w:t>
            </w:r>
          </w:p>
          <w:p w14:paraId="4A2EE9D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3.门板：采用≥20mm厚实木颗粒板双面贴防火板，使用PUR封边工艺，配备耐用铰链，保证≥250,000次无障碍开启，支持快速拆装。</w:t>
            </w:r>
          </w:p>
          <w:p w14:paraId="05CD820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三、性能与安全测试要求</w:t>
            </w:r>
          </w:p>
          <w:p w14:paraId="472DA3E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1.结构强度：需通过GB/T 10357.1-2013标准的多项力学测试，包括2000N垂直静载、800kg持续7天均匀载荷、1200N水平静载、60,000次水平耐久性测试及240mm垂直冲击测试，均无损坏。</w:t>
            </w:r>
          </w:p>
          <w:p w14:paraId="4CF58B8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2.抗震能力：需提供依据YD 5083-2005标准的检测报告，证明在配重200kg工况下可通过9烈度抗震试验。</w:t>
            </w:r>
          </w:p>
          <w:p w14:paraId="5E653B7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3.阻燃性能：整体燃烧性能按GB 20286-2006测试需达到阻燃1级，质量损失率≤0.13%。</w:t>
            </w:r>
          </w:p>
          <w:p w14:paraId="0C017FF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4.电磁兼容：传导发射与辐射骚扰需符合GB/T 17743-2017。静电放电、辐射抗扰度等多项抗扰度测试需符合GB/T 18595-2014且判定为A级。</w:t>
            </w:r>
          </w:p>
          <w:p w14:paraId="5475609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四、环保与安全认证</w:t>
            </w:r>
          </w:p>
          <w:p w14:paraId="0041693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1.有害物质释放：成品甲醛释放量≤0.005mg/m³，苯、甲苯、二甲苯、TVOC释放量均≤0.002mg/m³（依据GB/T 35607-2017）。</w:t>
            </w:r>
          </w:p>
          <w:p w14:paraId="72749EF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2.高级环保认证：产品需获得中国环境标志产品认证（实施规则ECC-1031EL-A/0）及Green-guard GOLD认证，其中TVOC排放量&lt;3μg/m²·hr，甲醛释放量&lt;3μg/m²·hr。</w:t>
            </w:r>
          </w:p>
          <w:p w14:paraId="6095E16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3.灯光控制器安全：需通过GB 19510.1、GB 19510.14、GB 7000.1、GB 7000.9等相关灯具安全标准，并通过高低温环境测试（GB/T 2423-2008）。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5C9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B12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403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526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19D4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A96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1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BF48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键盘托盘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1E737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4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01DF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套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9952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抽拉式键盘托盘，金属材质，使用优质滚珠导轨，抽拉灵活，左右晃动少；前端边缘位置应设计有柔性皮制腕垫，保护皮肤不受伤害，长时间使用手腕亦无疲劳感。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B8A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0C3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6CF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1C9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F337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032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1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0A9C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主机托盘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F210B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4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3A1B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套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F46C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扣式主机托盘安装在框架上，固定方式；托盘上方放置主机处理器；托盘上开有过线孔，方便线路布置和散热通风。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B89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2FB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448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B8C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AEBD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68E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1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738A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领导席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4FD17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6.47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E2B7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米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0B4E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一、总体结构与人体工学</w:t>
            </w:r>
          </w:p>
          <w:p w14:paraId="3DA8113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1.模块化设计：采用模块化结构，支持根据用户需求灵活增加或减少功能模块。</w:t>
            </w:r>
          </w:p>
          <w:p w14:paraId="4FED43B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2.核心尺寸：控制台深度不小于800mm，提供纵向不小于620mm的桌面操作空间。</w:t>
            </w:r>
          </w:p>
          <w:p w14:paraId="749E876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3.工作高度：工作台面到地面距离为740-755mm，符合人机工程学要求。</w:t>
            </w:r>
          </w:p>
          <w:p w14:paraId="1E27DD2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二、材料与工艺标准</w:t>
            </w:r>
          </w:p>
          <w:p w14:paraId="4112DEF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1.主体框架：主体框架采用2.0mm厚优质冷轧钢板，前端面板支撑臂采用3.0mm厚冷轧钢板；表面进行防静电喷塑涂层处理，涂层需光滑均匀、无色差及流挂等缺陷；所有金属件应通过连续150小时中性盐雾试验，涂层耐腐蚀等级及对基体保护等级均达到最高10级，并符合相关金属家具国标。</w:t>
            </w:r>
          </w:p>
          <w:p w14:paraId="0B6D8DA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2.台面板：采用实木颗粒板双面贴防火板加工，整体厚度不小于27mm，前侧采用不小于39mm的鸭嘴封边手枕；甲醛释放量需达到国标ENF级（未检出），并满足抗菌率高于99.9%的要求；板材弹性模量≥4700MPa，内胶合强度≥0.75MPa，表面结合强度≥1.99MPa，耐污染性能达5级；苯、甲苯、二甲苯、TVOC、可溶性重金属及五氯苯酚均未检出。</w:t>
            </w:r>
          </w:p>
          <w:p w14:paraId="41FB3AC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3.前后门板：采用实木颗粒板双面贴防火板，整体厚度不小于20mm，使用PUR封边工艺；配备耐用铰链，保证不小于250,000次无障碍开启，支持快速安装和拆卸。</w:t>
            </w:r>
          </w:p>
          <w:p w14:paraId="5E0B588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三、性能与安全测试要求</w:t>
            </w:r>
          </w:p>
          <w:p w14:paraId="7451457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1.结构强度：需通过2000N垂直静载、800kg持续7天均匀载荷、1200N水平静载、60,000次水平耐久性测试及240mm垂直冲击测试。</w:t>
            </w:r>
          </w:p>
          <w:p w14:paraId="6C55345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2.阻燃性能：整体按GB 20286-2006附录C测试，燃烧性能等级不低于阻燃1级，质量损失率不大于0.13%。</w:t>
            </w:r>
          </w:p>
          <w:p w14:paraId="69E34C6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3.抗震能力：需提供依据YD 5083-2005标准的检测报告，证明在配重200kg工况下可通过9烈度抗震试验。</w:t>
            </w:r>
          </w:p>
          <w:p w14:paraId="5AF1556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4.电磁兼容（EMC）：静电放电、射频电磁场辐射抗扰度等五项抗扰度测试需符合GB/T 18595-2014标准，且结果判定为A级。</w:t>
            </w:r>
          </w:p>
          <w:p w14:paraId="42B9A6C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四、环保与有害物质控制</w:t>
            </w:r>
          </w:p>
          <w:p w14:paraId="1F6969D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1.成品有害物释放：需满足甲醛释放量≤0.005mg/m³，苯、甲苯、二甲苯、TVOC释放量均≤0.002mg/m³。</w:t>
            </w:r>
          </w:p>
          <w:p w14:paraId="4F35E1A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2.高级环保认证：需获得中国环境标志产品认证（实施规则：ECC-1031EL-A/0）；需获得Green-guard GOLD认证，且168小时测试排放量满足TVOC排放量&lt;3μg/㎡.hr、甲醛释放量&lt;3μg/㎡.hr、总醛释放量&lt;0.1μmol/㎡.hr。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E75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89B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BC3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C9C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1449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245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1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E76D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PDU电源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1BC79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9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8216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套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770F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八位国标五孔；输出线长度为2米；端头为标准三孔插头；额定电压/电流为220V/10A；外壳材质为黑色铝合金；带电源开关。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6C0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19A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B5D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2B8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F65B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E07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1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916C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灯光控制器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C4442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10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3820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米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36BE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1.材质与外观：采用透明优质亚克力材质。</w:t>
            </w:r>
          </w:p>
          <w:p w14:paraId="7681F40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2.安装方式：预装于背墙。</w:t>
            </w:r>
          </w:p>
          <w:p w14:paraId="66368DD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3.核心功能：集成LED灯带及本地控制器，支持本地控制操作。</w:t>
            </w:r>
          </w:p>
          <w:p w14:paraId="53BF14A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4.控制软件：搭配专用灯光控制器软件V1.0。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88F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068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0C8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9FB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1331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9C9EE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总计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49C7C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3FF8A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Times New Roman" w:eastAsia="宋体" w:cs="Times New Roman"/>
                <w:b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F1757">
            <w:pPr>
              <w:widowControl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ascii="宋体" w:hAnsi="Times New Roman" w:eastAsia="宋体" w:cs="Times New Roman"/>
                <w:b/>
                <w:bCs/>
                <w:sz w:val="21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B8277">
            <w:pPr>
              <w:widowControl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Times New Roman" w:eastAsia="宋体" w:cs="Times New Roman"/>
                <w:b/>
                <w:bCs/>
                <w:sz w:val="21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187B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Times New Roman" w:eastAsia="宋体" w:cs="Times New Roman"/>
                <w:b/>
                <w:bCs/>
                <w:sz w:val="21"/>
              </w:rPr>
            </w:pPr>
          </w:p>
        </w:tc>
      </w:tr>
    </w:tbl>
    <w:tbl>
      <w:tblPr>
        <w:tblStyle w:val="3"/>
        <w:tblW w:w="95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522"/>
      </w:tblGrid>
      <w:tr w14:paraId="2D250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1063" w:type="dxa"/>
        </w:trPr>
        <w:tc>
          <w:tcPr>
            <w:tcW w:w="8522" w:type="dxa"/>
          </w:tcPr>
          <w:p w14:paraId="58E6390D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商务要求</w:t>
            </w:r>
          </w:p>
        </w:tc>
      </w:tr>
      <w:tr w14:paraId="60276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1063" w:type="dxa"/>
        </w:trPr>
        <w:tc>
          <w:tcPr>
            <w:tcW w:w="8522" w:type="dxa"/>
          </w:tcPr>
          <w:p w14:paraId="54372D1E">
            <w:pPr>
              <w:rPr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1.报价含包装、装卸、运输、调换、利润、税金、保险、协调、售后服务费、相关文件规定及合同包含的所有风险、责任等 各项应有费用。报价超过本项目预算价作无效报价处理。 2.供货时间：自合同签订后，接到采购人通知之日起 10日内交付货物。 3.质保期： （1）设备必须是全新原厂正品。 （2）质保要求按国家有关产品“三包”规定执行“三包”政策，质保期以通过项目最终验收的验收报告签字日开始计算。 （3）质保期内由于质量问题导致设备损坏的，成交供应商必须提供保修、人工及更换备件的上门服务，并提供终身维护。 质保期内采购人不再支付任何费用。 4.供货方式：现场交货（成交人必须当面交货）。 5.供货地点：具体地点由采购方指定（广西财经学院武鸣校区）。 6.付款方式：如货物存在质量问题或与采购规格不一致，供应商须在2个工作日内完成更换。验收通过，采购人自收到成交 人发票之日起二十个工作日内，由采购人一次性付清成交人合同总金额100%的款项（无预付款）。 7.标“★”的参数为必须满足的实质性参数，若不满足作无效报价处理。其它参数负偏离累计不得超过五项。</w:t>
            </w:r>
          </w:p>
        </w:tc>
      </w:tr>
    </w:tbl>
    <w:p w14:paraId="3EE9F3F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251A8C"/>
    <w:rsid w:val="6A25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2026-05-29T03:55:00Z</dcterms:created>
  <dc:creator>☆*:.｡. o夏末</dc:creator>
  <cp:lastModifiedBy>☆*:.｡. o夏末</cp:lastModifiedBy>
  <dcterms:modified xsi:type="dcterms:W3CDTF">2026-05-29T04:01:52Z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0AA5C878CBB246908758B3E6BD7B9628_11</vt:lpwstr>
  </property>
  <property fmtid="{D5CDD505-2E9C-101B-9397-08002B2CF9AE}" pid="4" name="KSOTemplateDocerSaveRecord">
    <vt:lpwstr>eyJoZGlkIjoiMGFhM2E5MzE5YTEwOWFlMTJmZmM0ZGQ0YzAyNWU4YjQiLCJ1c2VySWQiOiIyNzY3NDk0NjMifQ==</vt:lpwstr>
  </property>
</Properties>
</file>