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广西财经学院相思湖校区教学楼及学生宿舍楼消防通道防火门提升改造工程消防查验服务项目询价采购报价单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广西财经学院相思湖校区教学楼及学生宿舍楼消防通道防火门提升改造工程消防查验服务项目</w:t>
            </w:r>
          </w:p>
        </w:tc>
        <w:tc>
          <w:tcPr>
            <w:tcW w:w="4055" w:type="pct"/>
            <w:vAlign w:val="center"/>
          </w:tcPr>
          <w:p w14:paraId="56620F6B">
            <w:pPr>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rPr>
            </w:pPr>
            <w:r>
              <w:rPr>
                <w:rFonts w:hint="eastAsia" w:ascii="仿宋" w:hAnsi="仿宋" w:eastAsia="仿宋" w:cs="仿宋"/>
                <w:b/>
                <w:sz w:val="24"/>
              </w:rPr>
              <w:t>（一）建设地点：</w:t>
            </w:r>
          </w:p>
          <w:p w14:paraId="692F48E2">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南宁市大学西路189号，广西财经学院相思湖校区。</w:t>
            </w:r>
          </w:p>
          <w:p w14:paraId="4840028C">
            <w:pPr>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rPr>
            </w:pPr>
            <w:r>
              <w:rPr>
                <w:rFonts w:hint="eastAsia" w:ascii="仿宋" w:hAnsi="仿宋" w:eastAsia="仿宋" w:cs="仿宋"/>
                <w:b/>
                <w:sz w:val="24"/>
              </w:rPr>
              <w:t>（二）建设规模：</w:t>
            </w:r>
          </w:p>
          <w:p w14:paraId="60C8C470">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rPr>
            </w:pPr>
            <w:r>
              <w:rPr>
                <w:rFonts w:hint="eastAsia" w:ascii="仿宋" w:hAnsi="仿宋" w:eastAsia="仿宋" w:cs="仿宋"/>
                <w:bCs/>
                <w:sz w:val="24"/>
              </w:rPr>
              <w:t>广西财经学院相思湖校区已交付使用将近15年，1#-6#教学楼、9#教学楼局部区域及1#-7#学生宿舍楼的楼梯消防通道的乙级木夹板(或钢质）防火门已出现较严重破损或者脱落，存在消防安全隐患，拟更换为双扇的乙级钢制防火门；经现场核实，宿舍计划更换防火门(1200*2100)256樘；教学楼计划更换防火门(1500*2100)64樘，共计320樘。</w:t>
            </w:r>
          </w:p>
          <w:p w14:paraId="228ABB2F">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（三）采购内容：</w:t>
            </w:r>
          </w:p>
          <w:p w14:paraId="5584258E">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rPr>
            </w:pPr>
            <w:bookmarkStart w:id="0" w:name="_Hlk209370393"/>
            <w:r>
              <w:rPr>
                <w:rFonts w:hint="eastAsia" w:ascii="仿宋" w:hAnsi="仿宋" w:eastAsia="仿宋" w:cs="仿宋"/>
                <w:bCs/>
                <w:sz w:val="24"/>
              </w:rPr>
              <w:t>广西财经学院相思湖校区教学楼及学生宿舍楼消防通道防火门提升改造工程消防查验服务项目。</w:t>
            </w:r>
            <w:bookmarkStart w:id="4" w:name="_GoBack"/>
            <w:bookmarkEnd w:id="4"/>
          </w:p>
          <w:bookmarkEnd w:id="0"/>
          <w:p w14:paraId="77904615">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（四）上限控制价：</w:t>
            </w:r>
          </w:p>
          <w:p w14:paraId="48E505CF">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人民币（大写）贰仟元整（小写）¥2000.00元。</w:t>
            </w:r>
          </w:p>
          <w:p w14:paraId="2B0408BB">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（五）服务</w:t>
            </w:r>
            <w:r>
              <w:rPr>
                <w:rFonts w:hint="eastAsia" w:ascii="仿宋" w:hAnsi="仿宋" w:eastAsia="仿宋" w:cs="仿宋"/>
                <w:b/>
                <w:sz w:val="24"/>
                <w:lang w:eastAsia="zh-CN"/>
              </w:rPr>
              <w:t>要求</w:t>
            </w:r>
            <w:r>
              <w:rPr>
                <w:rFonts w:hint="eastAsia" w:ascii="仿宋" w:hAnsi="仿宋" w:eastAsia="仿宋" w:cs="仿宋"/>
                <w:b/>
                <w:sz w:val="24"/>
              </w:rPr>
              <w:t>：</w:t>
            </w:r>
          </w:p>
          <w:p w14:paraId="43886ACC">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一）参照《广西建设工程消防设计审查验收工作指导细则（试行）（桂建发〔2020〕18号）规定的程序、内容要求对楼梯消防通道的防火门组织开展客观公正的查验，做到消防查验数据完整、准确、真实、清楚，并出具防火门查验报告（包含防火门的年限、数量、评定质量、处理建议等）。</w:t>
            </w:r>
          </w:p>
          <w:p w14:paraId="303C2BD7">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（二）全程配合自治区财政评审中心对本工程的审核评审工作。</w:t>
            </w:r>
          </w:p>
          <w:p w14:paraId="25ECC397">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Cs/>
                <w:sz w:val="24"/>
              </w:rPr>
            </w:pPr>
            <w:r>
              <w:rPr>
                <w:rFonts w:hint="eastAsia" w:ascii="仿宋" w:hAnsi="仿宋" w:eastAsia="仿宋" w:cs="仿宋"/>
                <w:b/>
                <w:sz w:val="24"/>
              </w:rPr>
              <w:t>（六）</w:t>
            </w:r>
            <w:r>
              <w:rPr>
                <w:rFonts w:hint="eastAsia" w:ascii="仿宋" w:hAnsi="仿宋" w:eastAsia="仿宋" w:cs="仿宋"/>
                <w:b/>
                <w:sz w:val="24"/>
                <w:lang w:eastAsia="zh-CN"/>
              </w:rPr>
              <w:t>工期</w:t>
            </w:r>
            <w:r>
              <w:rPr>
                <w:rFonts w:hint="eastAsia" w:ascii="仿宋" w:hAnsi="仿宋" w:eastAsia="仿宋" w:cs="仿宋"/>
                <w:b/>
                <w:sz w:val="24"/>
              </w:rPr>
              <w:t>：</w:t>
            </w:r>
            <w:r>
              <w:rPr>
                <w:rFonts w:hint="eastAsia" w:ascii="仿宋" w:hAnsi="仿宋" w:eastAsia="仿宋" w:cs="仿宋"/>
                <w:bCs/>
                <w:sz w:val="24"/>
              </w:rPr>
              <w:t>3个日历日</w:t>
            </w:r>
          </w:p>
          <w:p w14:paraId="1B6F5B12">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服务周期：</w:t>
            </w:r>
          </w:p>
          <w:p w14:paraId="7D41178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自收到本项目成交通知书之日起至本工程完成竣工验收之日止。</w:t>
            </w:r>
          </w:p>
          <w:p w14:paraId="420E3DCF">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报价要求</w:t>
            </w:r>
            <w:r>
              <w:rPr>
                <w:rFonts w:ascii="仿宋" w:hAnsi="仿宋" w:eastAsia="仿宋" w:cs="仿宋"/>
                <w:b/>
                <w:sz w:val="24"/>
              </w:rPr>
              <w:t>：</w:t>
            </w:r>
          </w:p>
          <w:p w14:paraId="61FACA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bCs/>
                <w:kern w:val="2"/>
              </w:rPr>
            </w:pPr>
            <w:r>
              <w:rPr>
                <w:rFonts w:hint="eastAsia" w:ascii="仿宋" w:hAnsi="仿宋" w:eastAsia="仿宋" w:cs="仿宋"/>
                <w:bCs/>
                <w:kern w:val="2"/>
              </w:rPr>
              <w:t>总价报价，报价不能超过本项目上限控制价。</w:t>
            </w:r>
          </w:p>
          <w:p w14:paraId="779EADA7">
            <w:pPr>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02BC4171">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rPr>
            </w:pPr>
            <w:r>
              <w:rPr>
                <w:rFonts w:hint="eastAsia" w:ascii="仿宋" w:hAnsi="仿宋" w:eastAsia="仿宋" w:cs="仿宋"/>
                <w:bCs/>
                <w:sz w:val="24"/>
              </w:rPr>
              <w:t>总价包干（报价包括但不限于材料费、人工费、机械费、管理费、税金及利润等一切费用，并应综合考虑到现场条件、人工、材料价格波动、法律、法规、条例所作规定以及按合同条件进行实施所包含的所有风险、责任等所有因素）</w:t>
            </w:r>
          </w:p>
          <w:p w14:paraId="131D1502">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十、供应商资格要求</w:t>
            </w:r>
          </w:p>
          <w:p w14:paraId="100B724D">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一）供应商须满足广西壮族自治区住房和城乡建设厅印发的《广西壮族自治区建设工程消防检测技术服务机构监督管理暂行规定》要求，且在广西建设工程消防设计审查验收备案管理平台已备案，可在广西建设工程消防设计审查验收备案管理平台出具带有二维码的合法查验报告。</w:t>
            </w:r>
          </w:p>
          <w:p w14:paraId="2773B824">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（二）供应商在广西壮族自治区住房和城乡建设厅所发布的建设工程消防检测技术服务机构诚信综合评价工作的通报中，未被通报批评或责令整改。</w:t>
            </w:r>
          </w:p>
          <w:p w14:paraId="21D3E26A">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（三）供应商不得被信用中国网站（www.creditchina.gov.cn）列入失信被执行人或重大税收违法案件当事人名单，也不得被中国政府采购网（www.ccgp.gov.cn）列入政府采购严重违法失信行为记录名单。</w:t>
            </w:r>
          </w:p>
          <w:p w14:paraId="67F9DAFD">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sz w:val="24"/>
              </w:rPr>
            </w:pPr>
            <w:r>
              <w:rPr>
                <w:rFonts w:hint="eastAsia" w:ascii="仿宋" w:hAnsi="仿宋" w:eastAsia="仿宋" w:cs="仿宋"/>
                <w:b/>
                <w:sz w:val="24"/>
              </w:rPr>
              <w:t>十</w:t>
            </w:r>
            <w:r>
              <w:rPr>
                <w:rFonts w:hint="eastAsia" w:ascii="仿宋" w:hAnsi="仿宋" w:eastAsia="仿宋" w:cs="仿宋"/>
                <w:b/>
                <w:sz w:val="24"/>
                <w:lang w:eastAsia="zh-CN"/>
              </w:rPr>
              <w:t>一</w:t>
            </w:r>
            <w:r>
              <w:rPr>
                <w:rFonts w:hint="eastAsia" w:ascii="仿宋" w:hAnsi="仿宋" w:eastAsia="仿宋" w:cs="仿宋"/>
                <w:b/>
                <w:sz w:val="24"/>
              </w:rPr>
              <w:t>、支付方式</w:t>
            </w:r>
          </w:p>
          <w:p w14:paraId="62DF9992">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（一）本项目不设预付款。</w:t>
            </w:r>
          </w:p>
          <w:p w14:paraId="23B4714C">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（二）供应商提交防火门查验报告（包含防火门的年限、数量、评定质量、处理建议等），在工程竣工验收完成后，支付至成交金额的100%。请款申请经业主审核通过后，自收到合格发票之日起14个工作日内支付。</w:t>
            </w:r>
          </w:p>
          <w:p w14:paraId="107153A0">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十三、履约保证金</w:t>
            </w:r>
          </w:p>
          <w:p w14:paraId="01BD2AB7">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（一）成交供应商自收到成交通知书之日起7日历天内按成交金额的5%缴纳履约保证金（如为中小企业，则履约保证金比例为2%），否则将取消其成交资格。</w:t>
            </w:r>
          </w:p>
          <w:p w14:paraId="182E5B4F">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（二）履约保证金的形式：支票、汇票、本票、银行保函、银行转账等非现金方式。</w:t>
            </w:r>
          </w:p>
          <w:p w14:paraId="3F23FFA0">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（三）履约保证金的有效期必须涵盖本工程竣工验收的时间段。</w:t>
            </w:r>
          </w:p>
          <w:p w14:paraId="24C171FE">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（四）本工程完成竣工验收后，自成交供应商提交返还申请材料之日起14个工作日内一次性返还履约保证金（无息），成交供应商在合同期限内不能履行合同义务或违约的，履约保证金不予退还。</w:t>
            </w:r>
          </w:p>
          <w:p w14:paraId="76FDB80C">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（五）履约保证金指定账户：</w:t>
            </w:r>
          </w:p>
          <w:p w14:paraId="31EB46D2">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开户名称：广西财经学院</w:t>
            </w:r>
          </w:p>
          <w:p w14:paraId="798632BA">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开户银行：中国银行南宁明秀西路支行</w:t>
            </w:r>
          </w:p>
          <w:p w14:paraId="58A087E0">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银行账号：611957485481</w:t>
            </w:r>
          </w:p>
          <w:p w14:paraId="3B45E6A4">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十四、责任与义务</w:t>
            </w:r>
          </w:p>
          <w:p w14:paraId="483AAAFA">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一）因成交供应商原因，未在规定期限内提交查验报告或自财政评审中心出具意见后，成交供应商未在5日历天内完成修改的，从应完成日期的次日起计算，超过3日历天，业主有权解除合同。因业主原因，成交供应商逾期交付查验报告或逾期完成查验报告修改的，周期顺延，不增加费用。</w:t>
            </w:r>
          </w:p>
          <w:p w14:paraId="57E2C0BD">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（二）因成交供应商原因，逾期交付查验报告或逾期完成查验报告修改的，视为违约，成交供应商每日按成交金额的千分之二支付违约金，违约金的上限不超过成交金额的百分之五。</w:t>
            </w:r>
          </w:p>
          <w:p w14:paraId="62A446DF">
            <w:pPr>
              <w:keepNext w:val="0"/>
              <w:keepLines w:val="0"/>
              <w:pageBreakBefore w:val="0"/>
              <w:numPr>
                <w:ilvl w:val="255"/>
                <w:numId w:val="0"/>
              </w:numPr>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rPr>
              <w:t>（三）因成交供应商原因，成交供应商提交的查验报告无法获得相关主管部门同意的，业主有权解除合同，已完成的成果归业主所有。</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7AC7CEEC">
            <w:pPr>
              <w:rPr>
                <w:rFonts w:hint="eastAsia" w:ascii="宋体" w:hAnsi="宋体"/>
                <w:b/>
                <w:sz w:val="24"/>
                <w:szCs w:val="32"/>
                <w:u w:val="single"/>
              </w:rPr>
            </w:pPr>
            <w:r>
              <w:rPr>
                <w:rFonts w:hint="eastAsia" w:ascii="宋体" w:hAnsi="宋体"/>
                <w:b/>
                <w:sz w:val="24"/>
                <w:szCs w:val="32"/>
              </w:rPr>
              <w:t>包干价：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1" w:name="_Toc254970729"/>
      <w:bookmarkEnd w:id="1"/>
      <w:bookmarkStart w:id="2" w:name="_Toc254970732"/>
      <w:bookmarkEnd w:id="2"/>
      <w:bookmarkStart w:id="3" w:name="_Toc173211904"/>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AC10F38"/>
    <w:rsid w:val="0FDA6D75"/>
    <w:rsid w:val="135C2A18"/>
    <w:rsid w:val="17657E11"/>
    <w:rsid w:val="184243B2"/>
    <w:rsid w:val="191C401F"/>
    <w:rsid w:val="1C0C56BC"/>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CC91C79"/>
    <w:rsid w:val="5D5C7F59"/>
    <w:rsid w:val="5E153A5E"/>
    <w:rsid w:val="5E1E4AEE"/>
    <w:rsid w:val="5FC20152"/>
    <w:rsid w:val="5FFF268C"/>
    <w:rsid w:val="61B56FEA"/>
    <w:rsid w:val="626F78C1"/>
    <w:rsid w:val="644B6723"/>
    <w:rsid w:val="65231C0C"/>
    <w:rsid w:val="65744A4C"/>
    <w:rsid w:val="6E5056F0"/>
    <w:rsid w:val="6FC75B1F"/>
    <w:rsid w:val="718906D9"/>
    <w:rsid w:val="71F02BFB"/>
    <w:rsid w:val="77112A42"/>
    <w:rsid w:val="777F5BFE"/>
    <w:rsid w:val="7A5A39E8"/>
    <w:rsid w:val="7C2914F4"/>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1099</Words>
  <Characters>1154</Characters>
  <Lines>37</Lines>
  <Paragraphs>40</Paragraphs>
  <TotalTime>4</TotalTime>
  <ScaleCrop>false</ScaleCrop>
  <LinksUpToDate>false</LinksUpToDate>
  <CharactersWithSpaces>1193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2026-07-07T07:32:15Z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