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6 -->
  <w:body>
    <w:p>
      <w:pPr>
        <w:jc w:val="left"/>
        <w:rPr>
          <w:rFonts w:ascii="宋体" w:hAnsi="宋体"/>
          <w:sz w:val="28"/>
          <w:szCs w:val="28"/>
        </w:rPr>
      </w:pPr>
      <w:r>
        <w:rPr>
          <w:rFonts w:ascii="宋体" w:hAnsi="宋体" w:hint="eastAsia"/>
          <w:sz w:val="28"/>
          <w:szCs w:val="28"/>
        </w:rPr>
        <w:t>附件：</w:t>
      </w:r>
    </w:p>
    <w:p>
      <w:pPr>
        <w:spacing w:line="560" w:lineRule="exact"/>
        <w:jc w:val="center"/>
        <w:rPr>
          <w:rFonts w:ascii="宋体" w:hAnsi="宋体"/>
          <w:b/>
          <w:sz w:val="36"/>
          <w:szCs w:val="36"/>
        </w:rPr>
      </w:pPr>
      <w:bookmarkStart w:id="0" w:name="_GoBack"/>
      <w:r>
        <w:rPr>
          <w:rFonts w:ascii="宋体" w:hAnsi="宋体"/>
          <w:b/>
          <w:sz w:val="36"/>
          <w:szCs w:val="36"/>
        </w:rPr>
        <w:t>2024年广西财经学院中国-东盟统计学院二期项目综合实训楼工程施工图设计文件审查项目</w:t>
      </w:r>
      <w:r>
        <w:rPr>
          <w:rFonts w:ascii="宋体" w:hAnsi="宋体" w:hint="eastAsia"/>
          <w:b/>
          <w:sz w:val="36"/>
          <w:szCs w:val="36"/>
        </w:rPr>
        <w:t>采购报价单</w:t>
      </w:r>
      <w:bookmarkEnd w:id="0"/>
    </w:p>
    <w:tbl>
      <w:tblPr>
        <w:tblStyle w:val="TableNormal"/>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02"/>
        <w:gridCol w:w="6918"/>
      </w:tblGrid>
      <w:tr>
        <w:tblPrEx>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10"/>
        </w:trPr>
        <w:tc>
          <w:tcPr>
            <w:tcW w:w="940" w:type="pct"/>
            <w:vAlign w:val="center"/>
          </w:tcPr>
          <w:p>
            <w:pPr>
              <w:keepNext w:val="0"/>
              <w:keepLines w:val="0"/>
              <w:suppressLineNumbers w:val="0"/>
              <w:spacing w:before="0" w:beforeAutospacing="0" w:after="0" w:afterAutospacing="0"/>
              <w:ind w:left="0" w:right="0"/>
              <w:jc w:val="center"/>
              <w:rPr>
                <w:rFonts w:ascii="宋体" w:hAnsi="宋体" w:hint="default"/>
                <w:sz w:val="28"/>
                <w:szCs w:val="36"/>
              </w:rPr>
            </w:pPr>
            <w:r>
              <w:rPr>
                <w:rFonts w:ascii="宋体" w:hAnsi="宋体" w:hint="default"/>
                <w:b/>
                <w:sz w:val="28"/>
                <w:szCs w:val="36"/>
              </w:rPr>
              <w:t>项目名称</w:t>
            </w:r>
          </w:p>
        </w:tc>
        <w:tc>
          <w:tcPr>
            <w:tcW w:w="4059" w:type="pct"/>
            <w:vAlign w:val="center"/>
          </w:tcPr>
          <w:p>
            <w:pPr>
              <w:keepNext w:val="0"/>
              <w:keepLines w:val="0"/>
              <w:suppressLineNumbers w:val="0"/>
              <w:spacing w:before="0" w:beforeAutospacing="0" w:after="0" w:afterAutospacing="0"/>
              <w:ind w:left="0" w:right="0"/>
              <w:jc w:val="center"/>
              <w:rPr>
                <w:rFonts w:ascii="宋体" w:hAnsi="宋体" w:hint="default"/>
                <w:b/>
                <w:sz w:val="28"/>
                <w:szCs w:val="36"/>
              </w:rPr>
            </w:pPr>
            <w:r>
              <w:rPr>
                <w:rFonts w:ascii="宋体" w:hAnsi="宋体" w:hint="default"/>
                <w:b/>
                <w:sz w:val="28"/>
                <w:szCs w:val="36"/>
              </w:rPr>
              <w:t>项目规模及服务内容</w:t>
            </w:r>
          </w:p>
        </w:tc>
      </w:tr>
      <w:tr>
        <w:tblPrEx>
          <w:tblW w:w="4999" w:type="pct"/>
          <w:tblInd w:w="0" w:type="dxa"/>
          <w:tblCellMar>
            <w:top w:w="0" w:type="dxa"/>
            <w:left w:w="108" w:type="dxa"/>
            <w:bottom w:w="0" w:type="dxa"/>
            <w:right w:w="108" w:type="dxa"/>
          </w:tblCellMar>
        </w:tblPrEx>
        <w:trPr>
          <w:trHeight w:val="1125"/>
        </w:trPr>
        <w:tc>
          <w:tcPr>
            <w:tcW w:w="940" w:type="pct"/>
            <w:vAlign w:val="center"/>
          </w:tcPr>
          <w:p>
            <w:pPr>
              <w:keepNext w:val="0"/>
              <w:keepLines w:val="0"/>
              <w:suppressLineNumbers w:val="0"/>
              <w:spacing w:before="0" w:beforeAutospacing="0" w:after="0" w:afterAutospacing="0" w:line="560" w:lineRule="exact"/>
              <w:ind w:left="0" w:right="0"/>
              <w:rPr>
                <w:rFonts w:ascii="宋体" w:hAnsi="宋体" w:hint="default"/>
                <w:b/>
                <w:sz w:val="28"/>
                <w:szCs w:val="36"/>
              </w:rPr>
            </w:pPr>
            <w:r>
              <w:rPr>
                <w:rFonts w:ascii="仿宋_GB2312" w:eastAsia="仿宋_GB2312" w:hAnsi="仿宋_GB2312" w:cs="仿宋_GB2312" w:hint="default"/>
                <w:sz w:val="28"/>
                <w:szCs w:val="28"/>
              </w:rPr>
              <w:t>2024年广西财经学院中国-东盟统计学院二期项目综合实训楼工程施工图设计文件审查项目</w:t>
            </w:r>
          </w:p>
        </w:tc>
        <w:tc>
          <w:tcPr>
            <w:tcW w:w="4059" w:type="pct"/>
            <w:vAlign w:val="center"/>
          </w:tcPr>
          <w:p>
            <w:pPr>
              <w:keepNext w:val="0"/>
              <w:keepLines w:val="0"/>
              <w:suppressLineNumbers w:val="0"/>
              <w:spacing w:before="0" w:beforeAutospacing="0" w:after="0" w:afterAutospacing="0" w:line="560" w:lineRule="exact"/>
              <w:ind w:left="0" w:right="0" w:firstLine="480" w:firstLineChars="200"/>
              <w:rPr>
                <w:rFonts w:ascii="仿宋" w:eastAsia="仿宋" w:hAnsi="仿宋" w:cs="仿宋" w:hint="default"/>
                <w:bCs/>
                <w:sz w:val="24"/>
              </w:rPr>
            </w:pPr>
            <w:r>
              <w:rPr>
                <w:rFonts w:ascii="仿宋" w:eastAsia="仿宋" w:hAnsi="仿宋" w:cs="仿宋" w:hint="eastAsia"/>
                <w:bCs/>
                <w:sz w:val="24"/>
              </w:rPr>
              <w:t>（一）</w:t>
            </w:r>
            <w:r>
              <w:rPr>
                <w:rFonts w:ascii="仿宋" w:eastAsia="仿宋" w:hAnsi="仿宋" w:cs="仿宋" w:hint="default"/>
                <w:bCs/>
                <w:sz w:val="24"/>
              </w:rPr>
              <w:t>建设</w:t>
            </w:r>
            <w:r>
              <w:rPr>
                <w:rFonts w:ascii="仿宋" w:eastAsia="仿宋" w:hAnsi="仿宋" w:cs="仿宋" w:hint="eastAsia"/>
                <w:bCs/>
                <w:sz w:val="24"/>
              </w:rPr>
              <w:t>地点：南宁市大学西路189号，广西财经学院相思湖校区；</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default"/>
                <w:bCs/>
                <w:sz w:val="24"/>
              </w:rPr>
            </w:pPr>
            <w:r>
              <w:rPr>
                <w:rFonts w:ascii="仿宋" w:eastAsia="仿宋" w:hAnsi="仿宋" w:cs="仿宋" w:hint="eastAsia"/>
                <w:bCs/>
                <w:sz w:val="24"/>
              </w:rPr>
              <w:t>（二）建设规模:广西财经学院中国-东盟统计学院二期项目综合实训楼工程用地面积约29亩，综合实训楼建筑面积约14100平方米，占地面积约5400平方米，地上7层，框架结构，建筑高度约31米。主要建设内容包括土建工程、装饰工程、给排水工程、电气工程、智能化工程、消防工程、空调通风工程、设备购置及室内外绿化、室外道路综合管线、消防设施等附属配套工程。建设规模以通过规划审批部门审批的总平图及方案为准。</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default"/>
                <w:bCs/>
                <w:sz w:val="24"/>
              </w:rPr>
            </w:pPr>
            <w:r>
              <w:rPr>
                <w:rFonts w:ascii="仿宋" w:eastAsia="仿宋" w:hAnsi="仿宋" w:cs="仿宋" w:hint="eastAsia"/>
                <w:bCs/>
                <w:sz w:val="24"/>
              </w:rPr>
              <w:t>（三）审查内容：包括但不限于本工程的勘察，基坑支护、边坡支护、总图、建筑、结构、电气、给排水、暖通、节能、防雷、人防、消防、玻璃幕墙、绿色建筑、海绵城市、可再生能源利用、道路、绿化、室外配套工程及其他根据《房屋建筑和市政基础设施工程施工图设计文件审查管理办法》规定必须审查的内容等</w:t>
            </w:r>
            <w:r>
              <w:rPr>
                <w:rFonts w:ascii="仿宋" w:eastAsia="仿宋" w:hAnsi="仿宋" w:cs="仿宋" w:hint="default"/>
                <w:bCs/>
                <w:sz w:val="24"/>
              </w:rPr>
              <w:t>。</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default"/>
                <w:bCs/>
                <w:sz w:val="24"/>
              </w:rPr>
            </w:pPr>
            <w:r>
              <w:rPr>
                <w:rFonts w:ascii="仿宋" w:eastAsia="仿宋" w:hAnsi="仿宋" w:cs="仿宋" w:hint="default"/>
                <w:bCs/>
                <w:sz w:val="24"/>
              </w:rPr>
              <w:t>（四）</w:t>
            </w:r>
            <w:r>
              <w:rPr>
                <w:rFonts w:ascii="仿宋" w:eastAsia="仿宋" w:hAnsi="仿宋" w:cs="仿宋" w:hint="eastAsia"/>
                <w:bCs/>
                <w:sz w:val="24"/>
              </w:rPr>
              <w:t>上限控制价：</w:t>
            </w:r>
            <w:r>
              <w:rPr>
                <w:rFonts w:ascii="仿宋" w:eastAsia="仿宋" w:hAnsi="仿宋" w:cs="仿宋" w:hint="eastAsia"/>
                <w:bCs/>
                <w:sz w:val="24"/>
                <w:u w:val="single"/>
              </w:rPr>
              <w:t>人民币（大写）</w:t>
            </w:r>
            <w:r>
              <w:rPr>
                <w:rFonts w:ascii="仿宋" w:eastAsia="仿宋" w:hAnsi="仿宋" w:cs="仿宋" w:hint="default"/>
                <w:bCs/>
                <w:sz w:val="24"/>
                <w:u w:val="single"/>
              </w:rPr>
              <w:t>叁</w:t>
            </w:r>
            <w:r>
              <w:rPr>
                <w:rFonts w:ascii="仿宋" w:eastAsia="仿宋" w:hAnsi="仿宋" w:cs="仿宋" w:hint="eastAsia"/>
                <w:bCs/>
                <w:sz w:val="24"/>
                <w:u w:val="single"/>
              </w:rPr>
              <w:t>万贰仟伍佰元整，（小写）¥</w:t>
            </w:r>
            <w:r>
              <w:rPr>
                <w:rFonts w:ascii="仿宋" w:eastAsia="仿宋" w:hAnsi="仿宋" w:cs="仿宋" w:hint="default"/>
                <w:bCs/>
                <w:sz w:val="24"/>
                <w:u w:val="single"/>
              </w:rPr>
              <w:t>325</w:t>
            </w:r>
            <w:r>
              <w:rPr>
                <w:rFonts w:ascii="仿宋" w:eastAsia="仿宋" w:hAnsi="仿宋" w:cs="仿宋" w:hint="eastAsia"/>
                <w:bCs/>
                <w:sz w:val="24"/>
                <w:u w:val="single"/>
              </w:rPr>
              <w:t>00.00</w:t>
            </w:r>
            <w:r>
              <w:rPr>
                <w:rFonts w:ascii="仿宋" w:eastAsia="仿宋" w:hAnsi="仿宋" w:cs="仿宋" w:hint="eastAsia"/>
                <w:bCs/>
                <w:sz w:val="24"/>
              </w:rPr>
              <w:t>。</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default"/>
                <w:bCs/>
                <w:sz w:val="24"/>
              </w:rPr>
            </w:pPr>
            <w:r>
              <w:rPr>
                <w:rFonts w:ascii="仿宋" w:eastAsia="仿宋" w:hAnsi="仿宋" w:cs="仿宋" w:hint="eastAsia"/>
                <w:bCs/>
                <w:sz w:val="24"/>
              </w:rPr>
              <w:t>（</w:t>
            </w:r>
            <w:r>
              <w:rPr>
                <w:rFonts w:ascii="仿宋" w:eastAsia="仿宋" w:hAnsi="仿宋" w:cs="仿宋" w:hint="default"/>
                <w:bCs/>
                <w:sz w:val="24"/>
              </w:rPr>
              <w:t>五</w:t>
            </w:r>
            <w:r>
              <w:rPr>
                <w:rFonts w:ascii="仿宋" w:eastAsia="仿宋" w:hAnsi="仿宋" w:cs="仿宋" w:hint="eastAsia"/>
                <w:bCs/>
                <w:sz w:val="24"/>
              </w:rPr>
              <w:t>）</w:t>
            </w:r>
            <w:r>
              <w:rPr>
                <w:rFonts w:ascii="仿宋" w:eastAsia="仿宋" w:hAnsi="仿宋" w:cs="仿宋" w:hint="default"/>
                <w:bCs/>
                <w:sz w:val="24"/>
              </w:rPr>
              <w:t>服务</w:t>
            </w:r>
            <w:r>
              <w:rPr>
                <w:rFonts w:ascii="仿宋" w:eastAsia="仿宋" w:hAnsi="仿宋" w:cs="仿宋" w:hint="eastAsia"/>
                <w:bCs/>
                <w:sz w:val="24"/>
              </w:rPr>
              <w:t>周期：自成交通知书发出之日起至本工程竣工验收合格之日止。</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eastAsia"/>
                <w:bCs/>
                <w:sz w:val="24"/>
              </w:rPr>
            </w:pPr>
            <w:r>
              <w:rPr>
                <w:rFonts w:ascii="仿宋" w:eastAsia="仿宋" w:hAnsi="仿宋" w:cs="仿宋" w:hint="eastAsia"/>
                <w:bCs/>
                <w:sz w:val="24"/>
              </w:rPr>
              <w:t>（</w:t>
            </w:r>
            <w:r>
              <w:rPr>
                <w:rFonts w:ascii="仿宋" w:eastAsia="仿宋" w:hAnsi="仿宋" w:cs="仿宋" w:hint="default"/>
                <w:bCs/>
                <w:sz w:val="24"/>
              </w:rPr>
              <w:t>六</w:t>
            </w:r>
            <w:r>
              <w:rPr>
                <w:rFonts w:ascii="仿宋" w:eastAsia="仿宋" w:hAnsi="仿宋" w:cs="仿宋" w:hint="eastAsia"/>
                <w:bCs/>
                <w:sz w:val="24"/>
              </w:rPr>
              <w:t>）</w:t>
            </w:r>
            <w:r>
              <w:rPr>
                <w:rFonts w:ascii="仿宋" w:eastAsia="仿宋" w:hAnsi="仿宋" w:cs="仿宋" w:hint="default"/>
                <w:bCs/>
                <w:sz w:val="24"/>
              </w:rPr>
              <w:t>审查时限</w:t>
            </w:r>
            <w:r>
              <w:rPr>
                <w:rFonts w:ascii="仿宋" w:eastAsia="仿宋" w:hAnsi="仿宋" w:cs="仿宋" w:hint="eastAsia"/>
                <w:bCs/>
                <w:sz w:val="24"/>
              </w:rPr>
              <w:t>：1.自收到勘察文件之日起5日历天内提交勘察审查成果文件。2.自收到施工图设计文件之日起10日历天内提交施工图审查成果文件。</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default"/>
                <w:bCs/>
                <w:sz w:val="24"/>
              </w:rPr>
            </w:pPr>
            <w:r>
              <w:rPr>
                <w:rFonts w:ascii="仿宋" w:eastAsia="仿宋" w:hAnsi="仿宋" w:cs="仿宋" w:hint="default"/>
                <w:bCs/>
                <w:sz w:val="24"/>
              </w:rPr>
              <w:t>（七）成果</w:t>
            </w:r>
            <w:r>
              <w:rPr>
                <w:rFonts w:ascii="仿宋" w:eastAsia="仿宋" w:hAnsi="仿宋" w:cs="仿宋" w:hint="eastAsia"/>
                <w:bCs/>
                <w:sz w:val="24"/>
              </w:rPr>
              <w:t>要求：1.按提交的勘察文件、施工图设计文件进行审查。2.满足国家及地方有关法律法规、政策及规划，行业现行规范、规程及标准等要求，符合《房屋建筑和市政基础设施工程施工图设计文件审查管理办法》（住建部第13号令）、《住房和城乡建设部关于修改&lt;房屋建筑和市政基础设施工程施工图设计文件审查管理办法&gt;的决定》（住建部第46号令）等要求。3.所有材料，纸质一式捌份，pdf等电子文档刻成光盘一式贰份。</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default"/>
                <w:bCs/>
                <w:sz w:val="24"/>
              </w:rPr>
            </w:pPr>
            <w:r>
              <w:rPr>
                <w:rFonts w:ascii="仿宋" w:eastAsia="仿宋" w:hAnsi="仿宋" w:cs="仿宋" w:hint="eastAsia"/>
                <w:bCs/>
                <w:sz w:val="24"/>
              </w:rPr>
              <w:t>（</w:t>
            </w:r>
            <w:r>
              <w:rPr>
                <w:rFonts w:ascii="仿宋" w:eastAsia="仿宋" w:hAnsi="仿宋" w:cs="仿宋" w:hint="default"/>
                <w:bCs/>
                <w:sz w:val="24"/>
              </w:rPr>
              <w:t>八</w:t>
            </w:r>
            <w:r>
              <w:rPr>
                <w:rFonts w:ascii="仿宋" w:eastAsia="仿宋" w:hAnsi="仿宋" w:cs="仿宋" w:hint="eastAsia"/>
                <w:bCs/>
                <w:sz w:val="24"/>
              </w:rPr>
              <w:t>）</w:t>
            </w:r>
            <w:r>
              <w:rPr>
                <w:rFonts w:ascii="仿宋" w:eastAsia="仿宋" w:hAnsi="仿宋" w:cs="仿宋" w:hint="default"/>
                <w:bCs/>
                <w:sz w:val="24"/>
              </w:rPr>
              <w:t>其他要求</w:t>
            </w:r>
            <w:r>
              <w:rPr>
                <w:rFonts w:ascii="仿宋" w:eastAsia="仿宋" w:hAnsi="仿宋" w:cs="仿宋" w:hint="eastAsia"/>
                <w:bCs/>
                <w:sz w:val="24"/>
              </w:rPr>
              <w:t>：1.协助业主在“广西工程勘察设计行业监管平台”完成审查备案。2.审查过程中需委托开展的相关评审、技术审查等服务及所涉及的相关费用，均由成交供应商承担。3.审查通过前，因国家及地方有关政策、行业规范及标准变化引起的勘察文件及施工图设计文件修改的，成交供应商应配合完成审查，不另行增加费用。4.审查通过后，非业主原因造成勘察文件及施工图设计文件需要进行修改时，成交供应商应配合完成审查，不另行增加费用。</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default"/>
                <w:bCs/>
                <w:sz w:val="24"/>
              </w:rPr>
            </w:pPr>
            <w:r>
              <w:rPr>
                <w:rFonts w:ascii="仿宋" w:eastAsia="仿宋" w:hAnsi="仿宋" w:cs="仿宋" w:hint="default"/>
                <w:bCs/>
                <w:sz w:val="24"/>
              </w:rPr>
              <w:t>（九）</w:t>
            </w:r>
            <w:r>
              <w:rPr>
                <w:rFonts w:ascii="仿宋" w:eastAsia="仿宋" w:hAnsi="仿宋" w:cs="仿宋" w:hint="eastAsia"/>
                <w:bCs/>
                <w:sz w:val="24"/>
              </w:rPr>
              <w:t>付</w:t>
            </w:r>
            <w:r>
              <w:rPr>
                <w:rFonts w:ascii="仿宋" w:eastAsia="仿宋" w:hAnsi="仿宋" w:cs="仿宋" w:hint="default"/>
                <w:bCs/>
                <w:sz w:val="24"/>
              </w:rPr>
              <w:t>款</w:t>
            </w:r>
            <w:r>
              <w:rPr>
                <w:rFonts w:ascii="仿宋" w:eastAsia="仿宋" w:hAnsi="仿宋" w:cs="仿宋" w:hint="eastAsia"/>
                <w:bCs/>
                <w:sz w:val="24"/>
              </w:rPr>
              <w:t>方式</w:t>
            </w:r>
            <w:r>
              <w:rPr>
                <w:rFonts w:ascii="仿宋" w:eastAsia="仿宋" w:hAnsi="仿宋" w:cs="仿宋" w:hint="default"/>
                <w:bCs/>
                <w:sz w:val="24"/>
              </w:rPr>
              <w:t>：1.成交供应商提交合格的勘察审查成果文件及合格的施工图设计审查成果文件并协助业主在广西工程勘察设计行业监管平台完成审查备案，且请款申请经业主审核通过后，自收到成交供应商合格发票之日起14个工作日内支付成交金额的90%。2.本工程竣工验收合格后，成交供应商的请款申请经业主审核通过后，自收到成交供应商合格发票之日起14个工作日内支付至成交金额的100%（含已支付的）</w:t>
            </w:r>
            <w:r>
              <w:rPr>
                <w:rFonts w:ascii="仿宋" w:eastAsia="仿宋" w:hAnsi="仿宋" w:cs="仿宋" w:hint="eastAsia"/>
                <w:bCs/>
                <w:sz w:val="24"/>
              </w:rPr>
              <w:t>。</w:t>
            </w:r>
          </w:p>
          <w:p>
            <w:pPr>
              <w:keepNext w:val="0"/>
              <w:keepLines w:val="0"/>
              <w:widowControl/>
              <w:suppressLineNumbers w:val="0"/>
              <w:spacing w:before="0" w:beforeAutospacing="0" w:after="0" w:afterAutospacing="0" w:line="560" w:lineRule="exact"/>
              <w:ind w:left="0" w:right="0" w:firstLine="480" w:firstLineChars="200"/>
              <w:jc w:val="left"/>
              <w:rPr>
                <w:rFonts w:ascii="仿宋" w:eastAsia="仿宋" w:hAnsi="仿宋" w:cs="仿宋" w:hint="default"/>
                <w:bCs/>
                <w:sz w:val="24"/>
              </w:rPr>
            </w:pPr>
            <w:r>
              <w:rPr>
                <w:rFonts w:ascii="仿宋" w:eastAsia="仿宋" w:hAnsi="仿宋" w:cs="仿宋" w:hint="default"/>
                <w:bCs/>
                <w:sz w:val="24"/>
              </w:rPr>
              <w:t>（十）</w:t>
            </w:r>
            <w:r>
              <w:rPr>
                <w:rFonts w:ascii="仿宋" w:eastAsia="仿宋" w:hAnsi="仿宋" w:cs="仿宋" w:hint="eastAsia"/>
                <w:bCs/>
                <w:sz w:val="24"/>
              </w:rPr>
              <w:t>承包方式</w:t>
            </w:r>
            <w:r>
              <w:rPr>
                <w:rFonts w:ascii="仿宋" w:eastAsia="仿宋" w:hAnsi="仿宋" w:cs="仿宋" w:hint="default"/>
                <w:bCs/>
                <w:sz w:val="24"/>
              </w:rPr>
              <w:t>：总价包干（报价包括但不限于完成本项目所需的各项成本、人工费、材料费、管理费、专家评审费、开办费、税金及场地费、利润等所有费用）</w:t>
            </w:r>
            <w:r>
              <w:rPr>
                <w:rFonts w:ascii="仿宋" w:eastAsia="仿宋" w:hAnsi="仿宋" w:cs="仿宋" w:hint="eastAsia"/>
                <w:bCs/>
                <w:sz w:val="24"/>
              </w:rPr>
              <w:t>。</w:t>
            </w:r>
          </w:p>
          <w:p>
            <w:pPr>
              <w:keepNext w:val="0"/>
              <w:keepLines w:val="0"/>
              <w:suppressLineNumbers w:val="0"/>
              <w:spacing w:before="0" w:beforeAutospacing="0" w:after="0" w:afterAutospacing="0" w:line="560" w:lineRule="exact"/>
              <w:ind w:left="0" w:right="0" w:firstLine="480" w:firstLineChars="200"/>
              <w:rPr>
                <w:rFonts w:ascii="仿宋" w:eastAsia="仿宋" w:hAnsi="仿宋" w:cs="仿宋" w:hint="default"/>
                <w:bCs/>
                <w:sz w:val="24"/>
              </w:rPr>
            </w:pPr>
            <w:r>
              <w:rPr>
                <w:rFonts w:ascii="仿宋" w:eastAsia="仿宋" w:hAnsi="仿宋" w:cs="仿宋" w:hint="default"/>
                <w:bCs/>
                <w:sz w:val="24"/>
              </w:rPr>
              <w:t>（十一）责任与义务：1.因成交供应商原因，成交供应商未提交合格的勘察审查成果文件及合格的施工图设计审查成果文件，成交供应商不能以任何形式和方式向业主收取或追索任何费用。2.因成交供应商原因，未在规定期限内提交合格的勘察审查成果文件及合格的施工图设计审查成果文件，从应完成日期的次日起计算，超过5日历天，业主有权解除合同。因业主原因，成交供应商未在规定期限内提交合格的勘察审查成果文件及合格的施工图设计审查成果文件，审查周期顺延，不增加费用。3.因成交供应商原因，逾期提交合格的勘察审查成果文件及合格的施工图设计审查成果文件，视为违约，成交供应商每日按成交金额的千分之二支付违约金，违约金的上限不超过成交金额的百分之五。</w:t>
            </w:r>
          </w:p>
        </w:tc>
      </w:tr>
      <w:tr>
        <w:tblPrEx>
          <w:tblW w:w="4999" w:type="pct"/>
          <w:tblInd w:w="0" w:type="dxa"/>
          <w:tblCellMar>
            <w:top w:w="0" w:type="dxa"/>
            <w:left w:w="108" w:type="dxa"/>
            <w:bottom w:w="0" w:type="dxa"/>
            <w:right w:w="108" w:type="dxa"/>
          </w:tblCellMar>
        </w:tblPrEx>
        <w:trPr>
          <w:trHeight w:val="940"/>
        </w:trPr>
        <w:tc>
          <w:tcPr>
            <w:tcW w:w="5000" w:type="pct"/>
            <w:gridSpan w:val="2"/>
            <w:shd w:val="clear" w:color="auto" w:fill="auto"/>
            <w:vAlign w:val="top"/>
          </w:tcPr>
          <w:p>
            <w:pPr>
              <w:keepNext w:val="0"/>
              <w:keepLines w:val="0"/>
              <w:widowControl/>
              <w:suppressLineNumbers w:val="0"/>
              <w:spacing w:before="0" w:beforeAutospacing="0" w:after="0" w:afterAutospacing="0"/>
              <w:ind w:left="0" w:right="0"/>
              <w:jc w:val="left"/>
              <w:rPr>
                <w:rFonts w:ascii="仿宋_GB2312" w:eastAsia="仿宋_GB2312" w:hAnsi="仿宋_GB2312" w:cs="仿宋_GB2312" w:hint="eastAsia"/>
                <w:b/>
                <w:bCs w:val="0"/>
                <w:kern w:val="2"/>
                <w:sz w:val="24"/>
                <w:szCs w:val="24"/>
                <w:u w:val="single"/>
                <w:lang w:val="en-US" w:eastAsia="zh-CN" w:bidi="ar"/>
              </w:rPr>
            </w:pPr>
            <w:r>
              <w:rPr>
                <w:rFonts w:ascii="宋体" w:hAnsi="宋体" w:hint="default"/>
                <w:b/>
                <w:sz w:val="24"/>
                <w:szCs w:val="32"/>
              </w:rPr>
              <w:t>包干价（总价）</w:t>
            </w:r>
            <w:r>
              <w:rPr>
                <w:rFonts w:ascii="宋体" w:hAnsi="宋体" w:hint="eastAsia"/>
                <w:b/>
                <w:sz w:val="24"/>
                <w:szCs w:val="32"/>
              </w:rPr>
              <w:t>：</w:t>
            </w:r>
            <w:r>
              <w:rPr>
                <w:rFonts w:ascii="宋体" w:hAnsi="宋体" w:hint="default"/>
                <w:b/>
                <w:sz w:val="24"/>
                <w:szCs w:val="32"/>
                <w:u w:val="single"/>
              </w:rPr>
              <w:t>人民币</w:t>
            </w:r>
            <w:r>
              <w:rPr>
                <w:rFonts w:ascii="宋体" w:hAnsi="宋体" w:hint="default"/>
                <w:b/>
                <w:sz w:val="24"/>
                <w:szCs w:val="32"/>
              </w:rPr>
              <w:t>（大写）</w:t>
            </w:r>
            <w:r>
              <w:rPr>
                <w:rFonts w:ascii="宋体" w:hAnsi="宋体" w:hint="eastAsia"/>
                <w:b/>
                <w:sz w:val="24"/>
                <w:szCs w:val="32"/>
              </w:rPr>
              <w:t>：</w:t>
            </w:r>
            <w:r>
              <w:rPr>
                <w:rFonts w:ascii="宋体" w:hAnsi="宋体" w:hint="eastAsia"/>
                <w:b/>
                <w:sz w:val="24"/>
                <w:szCs w:val="32"/>
                <w:u w:val="single"/>
              </w:rPr>
              <w:t xml:space="preserve">       </w:t>
            </w:r>
            <w:r>
              <w:rPr>
                <w:rFonts w:ascii="宋体" w:hAnsi="宋体" w:hint="default"/>
                <w:b/>
                <w:sz w:val="24"/>
                <w:szCs w:val="32"/>
                <w:u w:val="single"/>
              </w:rPr>
              <w:t xml:space="preserve">  </w:t>
            </w:r>
            <w:r>
              <w:rPr>
                <w:rFonts w:ascii="宋体" w:hAnsi="宋体" w:hint="eastAsia"/>
                <w:b/>
                <w:sz w:val="24"/>
                <w:szCs w:val="32"/>
                <w:u w:val="single"/>
              </w:rPr>
              <w:t xml:space="preserve">  </w:t>
            </w:r>
            <w:r>
              <w:rPr>
                <w:rFonts w:ascii="宋体" w:hAnsi="宋体" w:hint="eastAsia"/>
                <w:b/>
                <w:sz w:val="24"/>
                <w:szCs w:val="32"/>
              </w:rPr>
              <w:t>（小写）:</w:t>
            </w:r>
            <w:r>
              <w:rPr>
                <w:rFonts w:ascii="宋体" w:hAnsi="宋体" w:hint="eastAsia"/>
                <w:b/>
                <w:sz w:val="24"/>
                <w:szCs w:val="32"/>
                <w:u w:val="single"/>
              </w:rPr>
              <w:t xml:space="preserve">     </w:t>
            </w:r>
            <w:r>
              <w:rPr>
                <w:rFonts w:ascii="宋体" w:hAnsi="宋体" w:hint="default"/>
                <w:b/>
                <w:sz w:val="24"/>
                <w:szCs w:val="32"/>
                <w:u w:val="single"/>
              </w:rPr>
              <w:t xml:space="preserve"> </w:t>
            </w:r>
            <w:r>
              <w:rPr>
                <w:rFonts w:ascii="宋体" w:hAnsi="宋体" w:hint="eastAsia"/>
                <w:b/>
                <w:sz w:val="24"/>
                <w:szCs w:val="32"/>
                <w:u w:val="single"/>
              </w:rPr>
              <w:t xml:space="preserve">     </w:t>
            </w:r>
          </w:p>
          <w:p>
            <w:pPr>
              <w:keepNext w:val="0"/>
              <w:keepLines w:val="0"/>
              <w:suppressLineNumbers w:val="0"/>
              <w:spacing w:before="0" w:beforeAutospacing="0" w:after="0" w:afterAutospacing="0"/>
              <w:ind w:left="0" w:right="0" w:leftChars="0" w:rightChars="0"/>
              <w:rPr>
                <w:rFonts w:ascii="宋体" w:eastAsia="宋体" w:hAnsi="宋体" w:cs="Times New Roman" w:hint="default"/>
                <w:b/>
                <w:kern w:val="2"/>
                <w:sz w:val="24"/>
                <w:szCs w:val="32"/>
                <w:u w:val="single"/>
                <w:lang w:val="en-US" w:eastAsia="zh-CN" w:bidi="ar-SA"/>
              </w:rPr>
            </w:pPr>
          </w:p>
        </w:tc>
      </w:tr>
      <w:tr>
        <w:tblPrEx>
          <w:tblW w:w="4999" w:type="pct"/>
          <w:tblInd w:w="0" w:type="dxa"/>
          <w:tblCellMar>
            <w:top w:w="0" w:type="dxa"/>
            <w:left w:w="108" w:type="dxa"/>
            <w:bottom w:w="0" w:type="dxa"/>
            <w:right w:w="108" w:type="dxa"/>
          </w:tblCellMar>
        </w:tblPrEx>
        <w:trPr>
          <w:trHeight w:val="1035"/>
        </w:trPr>
        <w:tc>
          <w:tcPr>
            <w:tcW w:w="5000" w:type="pct"/>
            <w:gridSpan w:val="2"/>
          </w:tcPr>
          <w:p>
            <w:pPr>
              <w:keepNext w:val="0"/>
              <w:keepLines w:val="0"/>
              <w:numPr>
                <w:ilvl w:val="255"/>
                <w:numId w:val="0"/>
              </w:numPr>
              <w:suppressLineNumbers w:val="0"/>
              <w:spacing w:before="0" w:beforeAutospacing="0" w:after="0" w:afterAutospacing="0"/>
              <w:ind w:left="0" w:right="0"/>
              <w:rPr>
                <w:rFonts w:ascii="宋体" w:hAnsi="宋体" w:hint="default"/>
                <w:bCs/>
                <w:sz w:val="24"/>
              </w:rPr>
            </w:pPr>
            <w:r>
              <w:rPr>
                <w:rFonts w:ascii="宋体" w:hAnsi="宋体" w:hint="eastAsia"/>
                <w:bCs/>
                <w:sz w:val="24"/>
              </w:rPr>
              <w:t>备注：</w:t>
            </w:r>
          </w:p>
          <w:p>
            <w:pPr>
              <w:keepNext w:val="0"/>
              <w:keepLines w:val="0"/>
              <w:widowControl w:val="0"/>
              <w:numPr>
                <w:ilvl w:val="0"/>
                <w:numId w:val="1"/>
              </w:numPr>
              <w:suppressLineNumbers w:val="0"/>
              <w:spacing w:before="0" w:beforeAutospacing="0" w:after="0" w:afterAutospacing="0"/>
              <w:ind w:left="0" w:right="0"/>
              <w:jc w:val="both"/>
              <w:rPr>
                <w:rFonts w:ascii="宋体" w:hAnsi="宋体" w:hint="default"/>
                <w:bCs/>
                <w:sz w:val="24"/>
              </w:rPr>
            </w:pPr>
            <w:r>
              <w:rPr>
                <w:rFonts w:ascii="宋体" w:hAnsi="宋体" w:hint="eastAsia"/>
                <w:bCs/>
                <w:sz w:val="24"/>
              </w:rPr>
              <w:t>报价人对服务内容已经完全知晓，本次报报价包括但不限于完成本项目所需的各项成本、人工费、材料费、管理费、专家评审费、开办费、税金及场地费、利润等所有费用。</w:t>
            </w:r>
          </w:p>
          <w:p>
            <w:pPr>
              <w:keepNext w:val="0"/>
              <w:keepLines w:val="0"/>
              <w:numPr>
                <w:ilvl w:val="0"/>
                <w:numId w:val="1"/>
              </w:numPr>
              <w:suppressLineNumbers w:val="0"/>
              <w:spacing w:before="0" w:beforeAutospacing="0" w:after="0" w:afterAutospacing="0"/>
              <w:ind w:left="0" w:right="0"/>
              <w:rPr>
                <w:rFonts w:ascii="宋体" w:hAnsi="宋体" w:hint="eastAsia"/>
                <w:bCs/>
                <w:sz w:val="24"/>
              </w:rPr>
            </w:pPr>
            <w:r>
              <w:rPr>
                <w:rFonts w:ascii="宋体" w:hAnsi="宋体" w:hint="eastAsia"/>
                <w:bCs/>
                <w:sz w:val="24"/>
              </w:rPr>
              <w:t>本次报价为</w:t>
            </w:r>
            <w:r>
              <w:rPr>
                <w:rFonts w:ascii="宋体" w:hAnsi="宋体" w:hint="default"/>
                <w:bCs/>
                <w:sz w:val="24"/>
              </w:rPr>
              <w:t>总价</w:t>
            </w:r>
            <w:r>
              <w:rPr>
                <w:rFonts w:ascii="宋体" w:hAnsi="宋体" w:hint="eastAsia"/>
                <w:bCs/>
                <w:sz w:val="24"/>
              </w:rPr>
              <w:t>包干报价，期间不做任何价格调整。</w:t>
            </w:r>
          </w:p>
        </w:tc>
      </w:tr>
    </w:tbl>
    <w:p>
      <w:pPr>
        <w:rPr>
          <w:rFonts w:ascii="宋体" w:hAnsi="宋体"/>
          <w:b/>
          <w:sz w:val="28"/>
          <w:szCs w:val="36"/>
        </w:rPr>
      </w:pPr>
      <w:r>
        <w:rPr>
          <w:rFonts w:ascii="宋体" w:hAnsi="宋体" w:hint="eastAsia"/>
          <w:b/>
          <w:sz w:val="28"/>
          <w:szCs w:val="36"/>
        </w:rPr>
        <w:t xml:space="preserve">法定代表人（或委托代理人）签字：            </w:t>
      </w:r>
    </w:p>
    <w:p>
      <w:pPr>
        <w:rPr>
          <w:rFonts w:ascii="宋体" w:hAnsi="宋体"/>
          <w:b/>
          <w:sz w:val="28"/>
          <w:szCs w:val="36"/>
        </w:rPr>
      </w:pPr>
      <w:r>
        <w:rPr>
          <w:rFonts w:ascii="宋体" w:hAnsi="宋体" w:hint="eastAsia"/>
          <w:b/>
          <w:sz w:val="28"/>
          <w:szCs w:val="36"/>
        </w:rPr>
        <w:t>单位名称（</w:t>
      </w:r>
      <w:r>
        <w:rPr>
          <w:rFonts w:ascii="宋体" w:hAnsi="宋体"/>
          <w:b/>
          <w:sz w:val="28"/>
          <w:szCs w:val="36"/>
        </w:rPr>
        <w:t>盖</w:t>
      </w:r>
      <w:r>
        <w:rPr>
          <w:rFonts w:ascii="宋体" w:hAnsi="宋体" w:hint="eastAsia"/>
          <w:b/>
          <w:sz w:val="28"/>
          <w:szCs w:val="36"/>
        </w:rPr>
        <w:t>章）：</w:t>
      </w:r>
    </w:p>
    <w:p>
      <w:pPr>
        <w:jc w:val="left"/>
        <w:rPr>
          <w:rFonts w:ascii="宋体" w:hAnsi="宋体"/>
          <w:b/>
          <w:sz w:val="28"/>
          <w:szCs w:val="36"/>
        </w:rPr>
      </w:pPr>
      <w:r>
        <w:rPr>
          <w:rFonts w:ascii="宋体" w:hAnsi="宋体" w:hint="eastAsia"/>
          <w:b/>
          <w:sz w:val="28"/>
          <w:szCs w:val="36"/>
        </w:rPr>
        <w:t>联系人及电话：</w:t>
      </w:r>
    </w:p>
    <w:p>
      <w:pPr>
        <w:jc w:val="left"/>
        <w:rPr>
          <w:rFonts w:ascii="宋体" w:hAnsi="宋体" w:hint="eastAsia"/>
          <w:sz w:val="28"/>
          <w:szCs w:val="28"/>
        </w:rPr>
      </w:pPr>
      <w:r>
        <w:rPr>
          <w:rFonts w:ascii="宋体" w:hAnsi="宋体"/>
          <w:b/>
          <w:sz w:val="28"/>
          <w:szCs w:val="36"/>
        </w:rPr>
        <w:t>日期：</w:t>
      </w:r>
      <w:bookmarkStart w:id="1" w:name="_Toc173211904"/>
      <w:bookmarkEnd w:id="1"/>
      <w:bookmarkStart w:id="2" w:name="_Toc254970729"/>
      <w:bookmarkEnd w:id="2"/>
      <w:bookmarkStart w:id="3" w:name="_Toc254970732"/>
      <w:bookmarkEnd w:id="3"/>
    </w:p>
    <w:p/>
    <w:sectPr>
      <w:headerReference w:type="even" r:id="rId4"/>
      <w:headerReference w:type="default" r:id="rId5"/>
      <w:headerReference w:type="firs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width:116pt;height:12pt;margin-top:55pt;margin-left:-53pt;position:absolute;rotation:-40;z-index:251691008" fillcolor="#eee" strokecolor="#eee">
          <v:textpath style="font-family:楷体" string="广西财经学院采购管理系统 "/>
        </v:shape>
      </w:pict>
    </w:r>
    <w:r>
      <w:pict>
        <v:shape id="_x0000_s2082" type="#_x0000_t136" style="width:116pt;height:12pt;margin-top:270pt;margin-left:-53pt;position:absolute;rotation:-40;z-index:251692032" fillcolor="#eee" strokecolor="#eee">
          <v:textpath style="font-family:楷体" string="广西财经学院采购管理系统 "/>
        </v:shape>
      </w:pict>
    </w:r>
    <w:r>
      <w:pict>
        <v:shape id="_x0000_s2083" type="#_x0000_t136" style="width:116pt;height:12pt;margin-top:467pt;margin-left:-53pt;position:absolute;rotation:-40;z-index:251693056" fillcolor="#eee" strokecolor="#eee">
          <v:textpath style="font-family:楷体" string="广西财经学院采购管理系统 "/>
        </v:shape>
      </w:pict>
    </w:r>
    <w:r>
      <w:pict>
        <v:shape id="_x0000_s2084" type="#_x0000_t136" style="width:116pt;height:12pt;margin-top:658pt;margin-left:-53pt;position:absolute;rotation:-40;z-index:251694080" fillcolor="#eee" strokecolor="#eee">
          <v:textpath style="font-family:楷体" string="广西财经学院采购管理系统 "/>
        </v:shape>
      </w:pict>
    </w:r>
    <w:r>
      <w:pict>
        <v:shape id="_x0000_s2085" type="#_x0000_t136" style="width:116pt;height:12pt;margin-top:55pt;margin-left:148pt;position:absolute;rotation:-40;z-index:251695104" fillcolor="#eee" strokecolor="#eee">
          <v:textpath style="font-family:楷体" string="广西财经学院采购管理系统 "/>
        </v:shape>
      </w:pict>
    </w:r>
    <w:r>
      <w:pict>
        <v:shape id="_x0000_s2086" type="#_x0000_t136" style="width:116pt;height:12pt;margin-top:256pt;margin-left:148pt;position:absolute;rotation:-40;z-index:251696128" fillcolor="#eee" strokecolor="#eee">
          <v:textpath style="font-family:楷体" string="广西财经学院采购管理系统 "/>
        </v:shape>
      </w:pict>
    </w:r>
    <w:r>
      <w:pict>
        <v:shape id="_x0000_s2087" type="#_x0000_t136" style="width:116pt;height:12pt;margin-top:470pt;margin-left:148pt;position:absolute;rotation:-40;z-index:251697152" fillcolor="#eee" strokecolor="#eee">
          <v:textpath style="font-family:楷体" string="广西财经学院采购管理系统 "/>
        </v:shape>
      </w:pict>
    </w:r>
    <w:r>
      <w:pict>
        <v:shape id="_x0000_s2088" type="#_x0000_t136" style="width:116pt;height:12pt;margin-top:668pt;margin-left:148pt;position:absolute;rotation:-40;z-index:251698176" fillcolor="#eee" strokecolor="#eee">
          <v:textpath style="font-family:楷体" string="广西财经学院采购管理系统 "/>
        </v:shape>
      </w:pict>
    </w:r>
    <w:r>
      <w:pict>
        <v:shape id="_x0000_s2089" type="#_x0000_t136" style="width:116pt;height:12pt;margin-top:69pt;margin-left:353pt;position:absolute;rotation:-40;z-index:251699200" fillcolor="#eee" strokecolor="#eee">
          <v:textpath style="font-family:楷体" string="广西财经学院采购管理系统 "/>
        </v:shape>
      </w:pict>
    </w:r>
    <w:r>
      <w:pict>
        <v:shape id="_x0000_s2090" type="#_x0000_t136" style="width:116pt;height:12pt;margin-top:260pt;margin-left:353pt;position:absolute;rotation:-40;z-index:251700224" fillcolor="#eee" strokecolor="#eee">
          <v:textpath style="font-family:楷体" string="广西财经学院采购管理系统 "/>
        </v:shape>
      </w:pict>
    </w:r>
    <w:r>
      <w:pict>
        <v:shape id="_x0000_s2091" type="#_x0000_t136" style="width:116pt;height:12pt;margin-top:470pt;margin-left:353pt;position:absolute;rotation:-40;z-index:251701248" fillcolor="#eee" strokecolor="#eee">
          <v:textpath style="font-family:楷体" string="广西财经学院采购管理系统 "/>
        </v:shape>
      </w:pict>
    </w:r>
    <w:r>
      <w:pict>
        <v:shape id="_x0000_s2092" type="#_x0000_t136" style="width:116pt;height:12pt;margin-top:662pt;margin-left:353pt;position:absolute;rotation:-40;z-index:251702272" fillcolor="#eee" strokecolor="#eee">
          <v:textpath style="font-family:楷体" string="广西财经学院采购管理系统 "/>
        </v:shape>
      </w:pict>
    </w:r>
    <w:r>
      <w:pict>
        <v:shape id="_x0000_s2093" type="#_x0000_t136" style="width:116pt;height:12pt;margin-top:67pt;margin-left:544pt;position:absolute;rotation:-40;z-index:251703296" fillcolor="#eee" strokecolor="#eee">
          <v:textpath style="font-family:楷体" string="广西财经学院采购管理系统 "/>
        </v:shape>
      </w:pict>
    </w:r>
    <w:r>
      <w:pict>
        <v:shape id="_x0000_s2094" type="#_x0000_t136" style="width:116pt;height:12pt;margin-top:257pt;margin-left:544pt;position:absolute;rotation:-40;z-index:251704320" fillcolor="#eee" strokecolor="#eee">
          <v:textpath style="font-family:楷体" string="广西财经学院采购管理系统 "/>
        </v:shape>
      </w:pict>
    </w:r>
    <w:r>
      <w:pict>
        <v:shape id="_x0000_s2095" type="#_x0000_t136" style="width:116pt;height:12pt;margin-top:460pt;margin-left:544pt;position:absolute;rotation:-40;z-index:251705344" fillcolor="#eee" strokecolor="#eee">
          <v:textpath style="font-family:楷体" string="广西财经学院采购管理系统 "/>
        </v:shape>
      </w:pict>
    </w:r>
    <w:r>
      <w:pict>
        <v:shape id="_x0000_s2096" type="#_x0000_t136" style="width:116pt;height:12pt;margin-top:670pt;margin-left:544pt;position:absolute;rotation:-40;z-index:251706368" fillcolor="#eee" strokecolor="#eee">
          <v:textpath style="font-family:楷体" string="广西财经学院采购管理系统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116pt;height:12pt;margin-top:55pt;margin-left:-53pt;position:absolute;rotation:-40;z-index:251658240" fillcolor="#eee" strokecolor="#eee">
          <v:textpath style="font-family:楷体" string="广西财经学院采购管理系统 "/>
        </v:shape>
      </w:pict>
    </w:r>
    <w:r>
      <w:pict>
        <v:shape id="_x0000_s2050" type="#_x0000_t136" style="width:116pt;height:12pt;margin-top:270pt;margin-left:-53pt;position:absolute;rotation:-40;z-index:251659264" fillcolor="#eee" strokecolor="#eee">
          <v:textpath style="font-family:楷体" string="广西财经学院采购管理系统 "/>
        </v:shape>
      </w:pict>
    </w:r>
    <w:r>
      <w:pict>
        <v:shape id="_x0000_s2051" type="#_x0000_t136" style="width:116pt;height:12pt;margin-top:467pt;margin-left:-53pt;position:absolute;rotation:-40;z-index:251660288" fillcolor="#eee" strokecolor="#eee">
          <v:textpath style="font-family:楷体" string="广西财经学院采购管理系统 "/>
        </v:shape>
      </w:pict>
    </w:r>
    <w:r>
      <w:pict>
        <v:shape id="_x0000_s2052" type="#_x0000_t136" style="width:116pt;height:12pt;margin-top:658pt;margin-left:-53pt;position:absolute;rotation:-40;z-index:251661312" fillcolor="#eee" strokecolor="#eee">
          <v:textpath style="font-family:楷体" string="广西财经学院采购管理系统 "/>
        </v:shape>
      </w:pict>
    </w:r>
    <w:r>
      <w:pict>
        <v:shape id="_x0000_s2053" type="#_x0000_t136" style="width:116pt;height:12pt;margin-top:55pt;margin-left:148pt;position:absolute;rotation:-40;z-index:251662336" fillcolor="#eee" strokecolor="#eee">
          <v:textpath style="font-family:楷体" string="广西财经学院采购管理系统 "/>
        </v:shape>
      </w:pict>
    </w:r>
    <w:r>
      <w:pict>
        <v:shape id="_x0000_s2054" type="#_x0000_t136" style="width:116pt;height:12pt;margin-top:256pt;margin-left:148pt;position:absolute;rotation:-40;z-index:251663360" fillcolor="#eee" strokecolor="#eee">
          <v:textpath style="font-family:楷体" string="广西财经学院采购管理系统 "/>
        </v:shape>
      </w:pict>
    </w:r>
    <w:r>
      <w:pict>
        <v:shape id="_x0000_s2055" type="#_x0000_t136" style="width:116pt;height:12pt;margin-top:470pt;margin-left:148pt;position:absolute;rotation:-40;z-index:251664384" fillcolor="#eee" strokecolor="#eee">
          <v:textpath style="font-family:楷体" string="广西财经学院采购管理系统 "/>
        </v:shape>
      </w:pict>
    </w:r>
    <w:r>
      <w:pict>
        <v:shape id="_x0000_s2056" type="#_x0000_t136" style="width:116pt;height:12pt;margin-top:668pt;margin-left:148pt;position:absolute;rotation:-40;z-index:251665408" fillcolor="#eee" strokecolor="#eee">
          <v:textpath style="font-family:楷体" string="广西财经学院采购管理系统 "/>
        </v:shape>
      </w:pict>
    </w:r>
    <w:r>
      <w:pict>
        <v:shape id="_x0000_s2057" type="#_x0000_t136" style="width:116pt;height:12pt;margin-top:69pt;margin-left:353pt;position:absolute;rotation:-40;z-index:251666432" fillcolor="#eee" strokecolor="#eee">
          <v:textpath style="font-family:楷体" string="广西财经学院采购管理系统 "/>
        </v:shape>
      </w:pict>
    </w:r>
    <w:r>
      <w:pict>
        <v:shape id="_x0000_s2058" type="#_x0000_t136" style="width:116pt;height:12pt;margin-top:260pt;margin-left:353pt;position:absolute;rotation:-40;z-index:251667456" fillcolor="#eee" strokecolor="#eee">
          <v:textpath style="font-family:楷体" string="广西财经学院采购管理系统 "/>
        </v:shape>
      </w:pict>
    </w:r>
    <w:r>
      <w:pict>
        <v:shape id="_x0000_s2059" type="#_x0000_t136" style="width:116pt;height:12pt;margin-top:470pt;margin-left:353pt;position:absolute;rotation:-40;z-index:251668480" fillcolor="#eee" strokecolor="#eee">
          <v:textpath style="font-family:楷体" string="广西财经学院采购管理系统 "/>
        </v:shape>
      </w:pict>
    </w:r>
    <w:r>
      <w:pict>
        <v:shape id="_x0000_s2060" type="#_x0000_t136" style="width:116pt;height:12pt;margin-top:662pt;margin-left:353pt;position:absolute;rotation:-40;z-index:251669504" fillcolor="#eee" strokecolor="#eee">
          <v:textpath style="font-family:楷体" string="广西财经学院采购管理系统 "/>
        </v:shape>
      </w:pict>
    </w:r>
    <w:r>
      <w:pict>
        <v:shape id="_x0000_s2061" type="#_x0000_t136" style="width:116pt;height:12pt;margin-top:67pt;margin-left:544pt;position:absolute;rotation:-40;z-index:251670528" fillcolor="#eee" strokecolor="#eee">
          <v:textpath style="font-family:楷体" string="广西财经学院采购管理系统 "/>
        </v:shape>
      </w:pict>
    </w:r>
    <w:r>
      <w:pict>
        <v:shape id="_x0000_s2062" type="#_x0000_t136" style="width:116pt;height:12pt;margin-top:257pt;margin-left:544pt;position:absolute;rotation:-40;z-index:251671552" fillcolor="#eee" strokecolor="#eee">
          <v:textpath style="font-family:楷体" string="广西财经学院采购管理系统 "/>
        </v:shape>
      </w:pict>
    </w:r>
    <w:r>
      <w:pict>
        <v:shape id="_x0000_s2063" type="#_x0000_t136" style="width:116pt;height:12pt;margin-top:460pt;margin-left:544pt;position:absolute;rotation:-40;z-index:251672576" fillcolor="#eee" strokecolor="#eee">
          <v:textpath style="font-family:楷体" string="广西财经学院采购管理系统 "/>
        </v:shape>
      </w:pict>
    </w:r>
    <w:r>
      <w:pict>
        <v:shape id="_x0000_s2064" type="#_x0000_t136" style="width:116pt;height:12pt;margin-top:670pt;margin-left:544pt;position:absolute;rotation:-40;z-index:251673600" fillcolor="#eee" strokecolor="#eee">
          <v:textpath style="font-family:楷体" string="广西财经学院采购管理系统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width:116pt;height:12pt;margin-top:55pt;margin-left:-53pt;position:absolute;rotation:-40;z-index:251674624" fillcolor="#eee" strokecolor="#eee">
          <v:textpath style="font-family:楷体" string="广西财经学院采购管理系统 "/>
        </v:shape>
      </w:pict>
    </w:r>
    <w:r>
      <w:pict>
        <v:shape id="_x0000_s2066" type="#_x0000_t136" style="width:116pt;height:12pt;margin-top:270pt;margin-left:-53pt;position:absolute;rotation:-40;z-index:251675648" fillcolor="#eee" strokecolor="#eee">
          <v:textpath style="font-family:楷体" string="广西财经学院采购管理系统 "/>
        </v:shape>
      </w:pict>
    </w:r>
    <w:r>
      <w:pict>
        <v:shape id="_x0000_s2067" type="#_x0000_t136" style="width:116pt;height:12pt;margin-top:467pt;margin-left:-53pt;position:absolute;rotation:-40;z-index:251676672" fillcolor="#eee" strokecolor="#eee">
          <v:textpath style="font-family:楷体" string="广西财经学院采购管理系统 "/>
        </v:shape>
      </w:pict>
    </w:r>
    <w:r>
      <w:pict>
        <v:shape id="_x0000_s2068" type="#_x0000_t136" style="width:116pt;height:12pt;margin-top:658pt;margin-left:-53pt;position:absolute;rotation:-40;z-index:251677696" fillcolor="#eee" strokecolor="#eee">
          <v:textpath style="font-family:楷体" string="广西财经学院采购管理系统 "/>
        </v:shape>
      </w:pict>
    </w:r>
    <w:r>
      <w:pict>
        <v:shape id="_x0000_s2069" type="#_x0000_t136" style="width:116pt;height:12pt;margin-top:55pt;margin-left:148pt;position:absolute;rotation:-40;z-index:251678720" fillcolor="#eee" strokecolor="#eee">
          <v:textpath style="font-family:楷体" string="广西财经学院采购管理系统 "/>
        </v:shape>
      </w:pict>
    </w:r>
    <w:r>
      <w:pict>
        <v:shape id="_x0000_s2070" type="#_x0000_t136" style="width:116pt;height:12pt;margin-top:256pt;margin-left:148pt;position:absolute;rotation:-40;z-index:251679744" fillcolor="#eee" strokecolor="#eee">
          <v:textpath style="font-family:楷体" string="广西财经学院采购管理系统 "/>
        </v:shape>
      </w:pict>
    </w:r>
    <w:r>
      <w:pict>
        <v:shape id="_x0000_s2071" type="#_x0000_t136" style="width:116pt;height:12pt;margin-top:470pt;margin-left:148pt;position:absolute;rotation:-40;z-index:251680768" fillcolor="#eee" strokecolor="#eee">
          <v:textpath style="font-family:楷体" string="广西财经学院采购管理系统 "/>
        </v:shape>
      </w:pict>
    </w:r>
    <w:r>
      <w:pict>
        <v:shape id="_x0000_s2072" type="#_x0000_t136" style="width:116pt;height:12pt;margin-top:668pt;margin-left:148pt;position:absolute;rotation:-40;z-index:251681792" fillcolor="#eee" strokecolor="#eee">
          <v:textpath style="font-family:楷体" string="广西财经学院采购管理系统 "/>
        </v:shape>
      </w:pict>
    </w:r>
    <w:r>
      <w:pict>
        <v:shape id="_x0000_s2073" type="#_x0000_t136" style="width:116pt;height:12pt;margin-top:69pt;margin-left:353pt;position:absolute;rotation:-40;z-index:251682816" fillcolor="#eee" strokecolor="#eee">
          <v:textpath style="font-family:楷体" string="广西财经学院采购管理系统 "/>
        </v:shape>
      </w:pict>
    </w:r>
    <w:r>
      <w:pict>
        <v:shape id="_x0000_s2074" type="#_x0000_t136" style="width:116pt;height:12pt;margin-top:260pt;margin-left:353pt;position:absolute;rotation:-40;z-index:251683840" fillcolor="#eee" strokecolor="#eee">
          <v:textpath style="font-family:楷体" string="广西财经学院采购管理系统 "/>
        </v:shape>
      </w:pict>
    </w:r>
    <w:r>
      <w:pict>
        <v:shape id="_x0000_s2075" type="#_x0000_t136" style="width:116pt;height:12pt;margin-top:470pt;margin-left:353pt;position:absolute;rotation:-40;z-index:251684864" fillcolor="#eee" strokecolor="#eee">
          <v:textpath style="font-family:楷体" string="广西财经学院采购管理系统 "/>
        </v:shape>
      </w:pict>
    </w:r>
    <w:r>
      <w:pict>
        <v:shape id="_x0000_s2076" type="#_x0000_t136" style="width:116pt;height:12pt;margin-top:662pt;margin-left:353pt;position:absolute;rotation:-40;z-index:251685888" fillcolor="#eee" strokecolor="#eee">
          <v:textpath style="font-family:楷体" string="广西财经学院采购管理系统 "/>
        </v:shape>
      </w:pict>
    </w:r>
    <w:r>
      <w:pict>
        <v:shape id="_x0000_s2077" type="#_x0000_t136" style="width:116pt;height:12pt;margin-top:67pt;margin-left:544pt;position:absolute;rotation:-40;z-index:251686912" fillcolor="#eee" strokecolor="#eee">
          <v:textpath style="font-family:楷体" string="广西财经学院采购管理系统 "/>
        </v:shape>
      </w:pict>
    </w:r>
    <w:r>
      <w:pict>
        <v:shape id="_x0000_s2078" type="#_x0000_t136" style="width:116pt;height:12pt;margin-top:257pt;margin-left:544pt;position:absolute;rotation:-40;z-index:251687936" fillcolor="#eee" strokecolor="#eee">
          <v:textpath style="font-family:楷体" string="广西财经学院采购管理系统 "/>
        </v:shape>
      </w:pict>
    </w:r>
    <w:r>
      <w:pict>
        <v:shape id="_x0000_s2079" type="#_x0000_t136" style="width:116pt;height:12pt;margin-top:460pt;margin-left:544pt;position:absolute;rotation:-40;z-index:251688960" fillcolor="#eee" strokecolor="#eee">
          <v:textpath style="font-family:楷体" string="广西财经学院采购管理系统 "/>
        </v:shape>
      </w:pict>
    </w:r>
    <w:r>
      <w:pict>
        <v:shape id="_x0000_s2080" type="#_x0000_t136" style="width:116pt;height:12pt;margin-top:670pt;margin-left:544pt;position:absolute;rotation:-40;z-index:251689984" fillcolor="#eee" strokecolor="#eee">
          <v:textpath style="font-family:楷体" string="广西财经学院采购管理系统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B22B99"/>
    <w:multiLevelType w:val="singleLevel"/>
    <w:tmpl w:val="5AB22B9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D7287B"/>
    <w:rsid w:val="62D7287B"/>
  </w:rsids>
  <w:docVars>
    <w:docVar w:name="commondata" w:val="eyJoZGlkIjoiMzg0YWExNzI4MzYxNmEzYzE4Mjk0ZDA0ODBkNzRhOTA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陈霄</dc:creator>
  <cp:lastModifiedBy>陈霄</cp:lastModifiedBy>
  <cp:revision>1</cp:revision>
  <dcterms:created xsi:type="dcterms:W3CDTF">2024-06-24T07:50:00Z</dcterms:created>
  <dcterms:modified xsi:type="dcterms:W3CDTF">2024-06-24T07:51:22Z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3663DBAC698C42A69746CB400EDA7611_11</vt:lpwstr>
  </property>
  <property fmtid="{D5CDD505-2E9C-101B-9397-08002B2CF9AE}" pid="3" name="KSOProductBuildVer">
    <vt:lpwstr>2052-12.1.0.16929</vt:lpwstr>
  </property>
</Properties>
</file>