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1A592">
      <w:pPr>
        <w:jc w:val="center"/>
        <w:rPr>
          <w:rFonts w:ascii="方正小标宋简体" w:hAnsi="仿宋" w:eastAsia="方正小标宋简体"/>
          <w:b/>
          <w:sz w:val="44"/>
          <w:szCs w:val="44"/>
        </w:rPr>
      </w:pPr>
      <w:r>
        <w:rPr>
          <w:rFonts w:hint="eastAsia" w:ascii="方正小标宋简体" w:hAnsi="仿宋" w:eastAsia="方正小标宋简体"/>
          <w:b/>
          <w:color w:val="000000" w:themeColor="text1"/>
          <w:sz w:val="44"/>
          <w:szCs w:val="44"/>
          <w:lang w:val="en-US" w:eastAsia="zh-CN"/>
          <w14:textFill>
            <w14:solidFill>
              <w14:schemeClr w14:val="tx1"/>
            </w14:solidFill>
          </w14:textFill>
        </w:rPr>
        <w:t xml:space="preserve"> </w:t>
      </w:r>
      <w:r>
        <w:rPr>
          <w:rFonts w:hint="eastAsia" w:ascii="方正小标宋简体" w:hAnsi="仿宋" w:eastAsia="方正小标宋简体"/>
          <w:b/>
          <w:color w:val="000000" w:themeColor="text1"/>
          <w:sz w:val="44"/>
          <w:szCs w:val="44"/>
          <w14:textFill>
            <w14:solidFill>
              <w14:schemeClr w14:val="tx1"/>
            </w14:solidFill>
          </w14:textFill>
        </w:rPr>
        <w:t>2025年广西财经学院武鸣校区体育教育设备采购</w:t>
      </w:r>
      <w:r>
        <w:rPr>
          <w:rFonts w:hint="eastAsia" w:ascii="方正小标宋简体" w:hAnsi="仿宋" w:eastAsia="方正小标宋简体"/>
          <w:b/>
          <w:sz w:val="44"/>
          <w:szCs w:val="44"/>
        </w:rPr>
        <w:t>项目（2）报价表</w:t>
      </w:r>
    </w:p>
    <w:p w14:paraId="0FB9A117">
      <w:pPr>
        <w:jc w:val="left"/>
        <w:rPr>
          <w:rFonts w:ascii="仿宋_GB2312" w:hAnsi="仿宋"/>
          <w:b/>
          <w:sz w:val="24"/>
          <w:szCs w:val="36"/>
        </w:rPr>
      </w:pPr>
    </w:p>
    <w:p w14:paraId="0A512FF4">
      <w:pPr>
        <w:jc w:val="left"/>
        <w:rPr>
          <w:rFonts w:ascii="仿宋_GB2312" w:hAnsi="仿宋"/>
          <w:b/>
          <w:sz w:val="24"/>
          <w:szCs w:val="36"/>
        </w:rPr>
      </w:pPr>
      <w:r>
        <w:rPr>
          <w:rFonts w:hint="eastAsia" w:ascii="仿宋_GB2312" w:hAnsi="仿宋"/>
          <w:b/>
          <w:sz w:val="24"/>
          <w:szCs w:val="36"/>
        </w:rPr>
        <w:t>项目名称：2025年广西财经学院武鸣校区体育教育设备采购项目（2）</w:t>
      </w:r>
      <w:r>
        <w:rPr>
          <w:rFonts w:hint="eastAsia" w:ascii="仿宋_GB2312" w:hAnsi="仿宋"/>
          <w:b/>
          <w:sz w:val="24"/>
          <w:szCs w:val="36"/>
          <w:lang w:val="en-US" w:eastAsia="zh-CN"/>
        </w:rPr>
        <w:t xml:space="preserve">                                                                    </w:t>
      </w:r>
      <w:r>
        <w:rPr>
          <w:rFonts w:hint="eastAsia" w:ascii="仿宋_GB2312" w:hAnsi="仿宋"/>
          <w:b/>
          <w:sz w:val="24"/>
          <w:szCs w:val="36"/>
        </w:rPr>
        <w:t>本项目上限控制价：418675.00元</w:t>
      </w:r>
    </w:p>
    <w:tbl>
      <w:tblPr>
        <w:tblStyle w:val="7"/>
        <w:tblpPr w:leftFromText="180" w:rightFromText="180" w:vertAnchor="text" w:tblpXSpec="center" w:tblpY="167"/>
        <w:tblW w:w="15342" w:type="dxa"/>
        <w:tblInd w:w="-2802" w:type="dxa"/>
        <w:tblLayout w:type="fixed"/>
        <w:tblCellMar>
          <w:top w:w="0" w:type="dxa"/>
          <w:left w:w="28" w:type="dxa"/>
          <w:bottom w:w="0" w:type="dxa"/>
          <w:right w:w="28" w:type="dxa"/>
        </w:tblCellMar>
      </w:tblPr>
      <w:tblGrid>
        <w:gridCol w:w="607"/>
        <w:gridCol w:w="1275"/>
        <w:gridCol w:w="6315"/>
        <w:gridCol w:w="570"/>
        <w:gridCol w:w="448"/>
        <w:gridCol w:w="731"/>
        <w:gridCol w:w="677"/>
        <w:gridCol w:w="1137"/>
        <w:gridCol w:w="517"/>
        <w:gridCol w:w="1740"/>
        <w:gridCol w:w="1325"/>
      </w:tblGrid>
      <w:tr w14:paraId="05E16989">
        <w:tblPrEx>
          <w:tblCellMar>
            <w:top w:w="0" w:type="dxa"/>
            <w:left w:w="28" w:type="dxa"/>
            <w:bottom w:w="0" w:type="dxa"/>
            <w:right w:w="28" w:type="dxa"/>
          </w:tblCellMar>
        </w:tblPrEx>
        <w:trPr>
          <w:trHeight w:val="609" w:hRule="atLeast"/>
        </w:trPr>
        <w:tc>
          <w:tcPr>
            <w:tcW w:w="607" w:type="dxa"/>
            <w:tcBorders>
              <w:top w:val="single" w:color="auto" w:sz="4" w:space="0"/>
              <w:left w:val="single" w:color="auto" w:sz="4" w:space="0"/>
              <w:bottom w:val="single" w:color="auto" w:sz="4" w:space="0"/>
              <w:right w:val="single" w:color="auto" w:sz="4" w:space="0"/>
            </w:tcBorders>
            <w:noWrap/>
            <w:vAlign w:val="center"/>
          </w:tcPr>
          <w:p w14:paraId="0E9B41CD">
            <w:pPr>
              <w:widowControl/>
              <w:jc w:val="center"/>
              <w:rPr>
                <w:rFonts w:ascii="宋体" w:hAnsi="宋体" w:eastAsia="宋体" w:cs="宋体"/>
                <w:b/>
                <w:bCs/>
                <w:color w:val="auto"/>
                <w:sz w:val="24"/>
                <w:szCs w:val="24"/>
              </w:rPr>
            </w:pPr>
          </w:p>
        </w:tc>
        <w:tc>
          <w:tcPr>
            <w:tcW w:w="8608" w:type="dxa"/>
            <w:gridSpan w:val="4"/>
            <w:tcBorders>
              <w:top w:val="single" w:color="auto" w:sz="4" w:space="0"/>
              <w:left w:val="single" w:color="auto" w:sz="4" w:space="0"/>
              <w:bottom w:val="single" w:color="auto" w:sz="4" w:space="0"/>
              <w:right w:val="single" w:color="auto" w:sz="4" w:space="0"/>
            </w:tcBorders>
            <w:noWrap/>
            <w:vAlign w:val="center"/>
          </w:tcPr>
          <w:p w14:paraId="235A515D">
            <w:pPr>
              <w:widowControl/>
              <w:jc w:val="center"/>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本项目采购标的具体</w:t>
            </w:r>
            <w:r>
              <w:rPr>
                <w:rFonts w:hint="eastAsia" w:ascii="宋体" w:hAnsi="宋体" w:eastAsia="宋体" w:cs="宋体"/>
                <w:b/>
                <w:bCs/>
                <w:color w:val="auto"/>
                <w:sz w:val="24"/>
                <w:szCs w:val="24"/>
              </w:rPr>
              <w:t>要求</w:t>
            </w:r>
          </w:p>
        </w:tc>
        <w:tc>
          <w:tcPr>
            <w:tcW w:w="6127" w:type="dxa"/>
            <w:gridSpan w:val="6"/>
            <w:tcBorders>
              <w:top w:val="single" w:color="auto" w:sz="4" w:space="0"/>
              <w:left w:val="nil"/>
              <w:bottom w:val="single" w:color="auto" w:sz="4" w:space="0"/>
              <w:right w:val="single" w:color="auto" w:sz="4" w:space="0"/>
            </w:tcBorders>
            <w:noWrap/>
            <w:vAlign w:val="center"/>
          </w:tcPr>
          <w:p w14:paraId="67AF3E19">
            <w:pPr>
              <w:widowControl/>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供应商对（详细）规格参数响应内容</w:t>
            </w:r>
          </w:p>
        </w:tc>
      </w:tr>
      <w:tr w14:paraId="11DA9393">
        <w:tblPrEx>
          <w:tblCellMar>
            <w:top w:w="0" w:type="dxa"/>
            <w:left w:w="28" w:type="dxa"/>
            <w:bottom w:w="0" w:type="dxa"/>
            <w:right w:w="28" w:type="dxa"/>
          </w:tblCellMar>
        </w:tblPrEx>
        <w:trPr>
          <w:trHeight w:val="1190" w:hRule="atLeast"/>
        </w:trPr>
        <w:tc>
          <w:tcPr>
            <w:tcW w:w="607" w:type="dxa"/>
            <w:tcBorders>
              <w:top w:val="single" w:color="auto" w:sz="4" w:space="0"/>
              <w:left w:val="single" w:color="auto" w:sz="4" w:space="0"/>
              <w:bottom w:val="single" w:color="auto" w:sz="4" w:space="0"/>
              <w:right w:val="single" w:color="auto" w:sz="4" w:space="0"/>
            </w:tcBorders>
            <w:noWrap/>
            <w:vAlign w:val="center"/>
          </w:tcPr>
          <w:p w14:paraId="281FE7E9">
            <w:pPr>
              <w:widowControl/>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75" w:type="dxa"/>
            <w:tcBorders>
              <w:top w:val="single" w:color="auto" w:sz="4" w:space="0"/>
              <w:left w:val="single" w:color="auto" w:sz="4" w:space="0"/>
              <w:bottom w:val="single" w:color="auto" w:sz="4" w:space="0"/>
              <w:right w:val="single" w:color="auto" w:sz="4" w:space="0"/>
            </w:tcBorders>
            <w:noWrap/>
            <w:vAlign w:val="center"/>
          </w:tcPr>
          <w:p w14:paraId="6B90AA47">
            <w:pPr>
              <w:widowControl/>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货物名称</w:t>
            </w:r>
          </w:p>
        </w:tc>
        <w:tc>
          <w:tcPr>
            <w:tcW w:w="6315" w:type="dxa"/>
            <w:tcBorders>
              <w:top w:val="single" w:color="auto" w:sz="4" w:space="0"/>
              <w:left w:val="nil"/>
              <w:bottom w:val="single" w:color="auto" w:sz="4" w:space="0"/>
              <w:right w:val="single" w:color="auto" w:sz="4" w:space="0"/>
            </w:tcBorders>
            <w:noWrap/>
            <w:vAlign w:val="center"/>
          </w:tcPr>
          <w:p w14:paraId="7BF6CA51">
            <w:pPr>
              <w:widowControl/>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具体（详细）规格参数</w:t>
            </w:r>
            <w:r>
              <w:rPr>
                <w:rFonts w:hint="eastAsia" w:ascii="宋体" w:hAnsi="宋体" w:eastAsia="宋体" w:cs="宋体"/>
                <w:b/>
                <w:bCs/>
                <w:color w:val="auto"/>
                <w:sz w:val="24"/>
                <w:szCs w:val="24"/>
                <w:lang w:val="en-US" w:eastAsia="zh-CN"/>
              </w:rPr>
              <w:t>要求</w:t>
            </w:r>
          </w:p>
        </w:tc>
        <w:tc>
          <w:tcPr>
            <w:tcW w:w="570" w:type="dxa"/>
            <w:tcBorders>
              <w:top w:val="single" w:color="auto" w:sz="4" w:space="0"/>
              <w:left w:val="nil"/>
              <w:bottom w:val="single" w:color="auto" w:sz="4" w:space="0"/>
              <w:right w:val="single" w:color="auto" w:sz="4" w:space="0"/>
            </w:tcBorders>
            <w:noWrap/>
            <w:vAlign w:val="center"/>
          </w:tcPr>
          <w:p w14:paraId="593B733A">
            <w:pPr>
              <w:widowControl/>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448" w:type="dxa"/>
            <w:tcBorders>
              <w:top w:val="single" w:color="auto" w:sz="4" w:space="0"/>
              <w:left w:val="nil"/>
              <w:bottom w:val="single" w:color="auto" w:sz="4" w:space="0"/>
              <w:right w:val="single" w:color="auto" w:sz="4" w:space="0"/>
            </w:tcBorders>
            <w:noWrap/>
            <w:vAlign w:val="center"/>
          </w:tcPr>
          <w:p w14:paraId="411B9D62">
            <w:pPr>
              <w:widowControl/>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731" w:type="dxa"/>
            <w:tcBorders>
              <w:top w:val="single" w:color="auto" w:sz="4" w:space="0"/>
              <w:left w:val="nil"/>
              <w:bottom w:val="single" w:color="auto" w:sz="4" w:space="0"/>
              <w:right w:val="single" w:color="auto" w:sz="4" w:space="0"/>
            </w:tcBorders>
            <w:noWrap/>
            <w:vAlign w:val="center"/>
          </w:tcPr>
          <w:p w14:paraId="62ABE31C">
            <w:pPr>
              <w:widowControl/>
              <w:snapToGrid w:val="0"/>
              <w:jc w:val="center"/>
              <w:rPr>
                <w:rFonts w:ascii="宋体" w:hAnsi="宋体" w:eastAsia="宋体" w:cs="宋体"/>
                <w:b/>
                <w:bCs/>
                <w:color w:val="auto"/>
                <w:sz w:val="24"/>
                <w:szCs w:val="24"/>
              </w:rPr>
            </w:pPr>
            <w:r>
              <w:rPr>
                <w:rFonts w:hint="eastAsia" w:ascii="宋体" w:hAnsi="宋体" w:eastAsia="宋体" w:cs="宋体"/>
                <w:b/>
                <w:bCs/>
                <w:color w:val="auto"/>
                <w:sz w:val="24"/>
                <w:szCs w:val="24"/>
              </w:rPr>
              <w:t>单价</w:t>
            </w:r>
          </w:p>
          <w:p w14:paraId="7F93AF05">
            <w:pPr>
              <w:widowControl/>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677" w:type="dxa"/>
            <w:tcBorders>
              <w:top w:val="single" w:color="auto" w:sz="4" w:space="0"/>
              <w:left w:val="nil"/>
              <w:bottom w:val="single" w:color="auto" w:sz="4" w:space="0"/>
              <w:right w:val="single" w:color="auto" w:sz="4" w:space="0"/>
            </w:tcBorders>
            <w:noWrap/>
            <w:vAlign w:val="center"/>
          </w:tcPr>
          <w:p w14:paraId="20D811E3">
            <w:pPr>
              <w:widowControl/>
              <w:snapToGrid w:val="0"/>
              <w:jc w:val="center"/>
              <w:rPr>
                <w:rFonts w:ascii="宋体" w:hAnsi="宋体" w:eastAsia="宋体" w:cs="宋体"/>
                <w:b/>
                <w:bCs/>
                <w:color w:val="auto"/>
                <w:sz w:val="24"/>
                <w:szCs w:val="24"/>
              </w:rPr>
            </w:pPr>
            <w:r>
              <w:rPr>
                <w:rFonts w:hint="eastAsia" w:ascii="宋体" w:hAnsi="宋体" w:eastAsia="宋体" w:cs="宋体"/>
                <w:b/>
                <w:bCs/>
                <w:color w:val="auto"/>
                <w:sz w:val="24"/>
                <w:szCs w:val="24"/>
              </w:rPr>
              <w:t>金额</w:t>
            </w:r>
          </w:p>
          <w:p w14:paraId="1F97BFC2">
            <w:pPr>
              <w:widowControl/>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137" w:type="dxa"/>
            <w:tcBorders>
              <w:top w:val="single" w:color="auto" w:sz="4" w:space="0"/>
              <w:left w:val="nil"/>
              <w:bottom w:val="single" w:color="auto" w:sz="4" w:space="0"/>
              <w:right w:val="single" w:color="auto" w:sz="4" w:space="0"/>
            </w:tcBorders>
            <w:vAlign w:val="center"/>
          </w:tcPr>
          <w:p w14:paraId="6909CAD5">
            <w:pPr>
              <w:widowControl/>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具体（详细）规格参数</w:t>
            </w:r>
          </w:p>
          <w:p w14:paraId="1804E4D9">
            <w:pPr>
              <w:widowControl/>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具体响应</w:t>
            </w:r>
            <w:r>
              <w:rPr>
                <w:rFonts w:hint="eastAsia" w:ascii="宋体" w:hAnsi="宋体" w:eastAsia="宋体" w:cs="宋体"/>
                <w:b/>
                <w:bCs/>
                <w:color w:val="auto"/>
                <w:sz w:val="24"/>
                <w:szCs w:val="24"/>
                <w:lang w:val="en-US" w:eastAsia="zh-CN"/>
              </w:rPr>
              <w:t>内容</w:t>
            </w:r>
          </w:p>
        </w:tc>
        <w:tc>
          <w:tcPr>
            <w:tcW w:w="517" w:type="dxa"/>
            <w:tcBorders>
              <w:top w:val="single" w:color="auto" w:sz="4" w:space="0"/>
              <w:left w:val="nil"/>
              <w:bottom w:val="single" w:color="auto" w:sz="4" w:space="0"/>
              <w:right w:val="single" w:color="auto" w:sz="4" w:space="0"/>
            </w:tcBorders>
            <w:vAlign w:val="center"/>
          </w:tcPr>
          <w:p w14:paraId="56501EE0">
            <w:pPr>
              <w:widowControl/>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是否响应</w:t>
            </w:r>
          </w:p>
        </w:tc>
        <w:tc>
          <w:tcPr>
            <w:tcW w:w="1740" w:type="dxa"/>
            <w:tcBorders>
              <w:top w:val="single" w:color="auto" w:sz="4" w:space="0"/>
              <w:left w:val="nil"/>
              <w:bottom w:val="single" w:color="auto" w:sz="4" w:space="0"/>
              <w:right w:val="single" w:color="auto" w:sz="4" w:space="0"/>
            </w:tcBorders>
            <w:vAlign w:val="center"/>
          </w:tcPr>
          <w:p w14:paraId="04EC2D89">
            <w:pPr>
              <w:widowControl/>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品牌及生产厂家</w:t>
            </w:r>
          </w:p>
        </w:tc>
        <w:tc>
          <w:tcPr>
            <w:tcW w:w="1325" w:type="dxa"/>
            <w:tcBorders>
              <w:top w:val="single" w:color="auto" w:sz="4" w:space="0"/>
              <w:left w:val="nil"/>
              <w:bottom w:val="single" w:color="auto" w:sz="4" w:space="0"/>
              <w:right w:val="single" w:color="auto" w:sz="4" w:space="0"/>
            </w:tcBorders>
            <w:vAlign w:val="center"/>
          </w:tcPr>
          <w:p w14:paraId="525AAE62">
            <w:pPr>
              <w:widowControl/>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型号规格</w:t>
            </w:r>
          </w:p>
        </w:tc>
      </w:tr>
      <w:tr w14:paraId="47A0AD0A">
        <w:tblPrEx>
          <w:tblCellMar>
            <w:top w:w="0" w:type="dxa"/>
            <w:left w:w="28" w:type="dxa"/>
            <w:bottom w:w="0" w:type="dxa"/>
            <w:right w:w="28" w:type="dxa"/>
          </w:tblCellMar>
        </w:tblPrEx>
        <w:trPr>
          <w:trHeight w:val="90" w:hRule="atLeast"/>
        </w:trPr>
        <w:tc>
          <w:tcPr>
            <w:tcW w:w="607" w:type="dxa"/>
            <w:tcBorders>
              <w:top w:val="nil"/>
              <w:left w:val="single" w:color="auto" w:sz="4" w:space="0"/>
              <w:bottom w:val="single" w:color="auto" w:sz="4" w:space="0"/>
              <w:right w:val="single" w:color="auto" w:sz="4" w:space="0"/>
            </w:tcBorders>
            <w:noWrap/>
            <w:vAlign w:val="center"/>
          </w:tcPr>
          <w:p w14:paraId="61DEE0B5">
            <w:pPr>
              <w:jc w:val="center"/>
              <w:rPr>
                <w:rFonts w:ascii="宋体" w:hAnsi="宋体" w:eastAsia="宋体" w:cs="宋体"/>
                <w:color w:val="auto"/>
                <w:sz w:val="24"/>
                <w:szCs w:val="24"/>
              </w:rPr>
            </w:pPr>
            <w:r>
              <w:rPr>
                <w:rFonts w:ascii="宋体" w:hAnsi="宋体" w:eastAsia="宋体" w:cs="宋体"/>
                <w:color w:val="auto"/>
                <w:sz w:val="24"/>
                <w:szCs w:val="24"/>
              </w:rPr>
              <w:t>1</w:t>
            </w:r>
          </w:p>
        </w:tc>
        <w:tc>
          <w:tcPr>
            <w:tcW w:w="1275" w:type="dxa"/>
            <w:tcBorders>
              <w:top w:val="nil"/>
              <w:left w:val="single" w:color="auto" w:sz="4" w:space="0"/>
              <w:bottom w:val="single" w:color="auto" w:sz="4" w:space="0"/>
              <w:right w:val="single" w:color="auto" w:sz="4" w:space="0"/>
            </w:tcBorders>
            <w:noWrap/>
            <w:vAlign w:val="center"/>
          </w:tcPr>
          <w:p w14:paraId="6F49DC5B">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篮球架</w:t>
            </w:r>
          </w:p>
        </w:tc>
        <w:tc>
          <w:tcPr>
            <w:tcW w:w="6315" w:type="dxa"/>
            <w:tcBorders>
              <w:top w:val="nil"/>
              <w:left w:val="nil"/>
              <w:bottom w:val="single" w:color="auto" w:sz="4" w:space="0"/>
              <w:right w:val="single" w:color="auto" w:sz="4" w:space="0"/>
            </w:tcBorders>
            <w:noWrap/>
            <w:vAlign w:val="center"/>
          </w:tcPr>
          <w:p w14:paraId="4DAE812F">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 类型：室内移动式篮球架；</w:t>
            </w:r>
          </w:p>
          <w:p w14:paraId="75542217">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 篮板：尺寸 1800 mm × 1050 mm（≥2mm），平面与水平面垂直；</w:t>
            </w:r>
          </w:p>
          <w:p w14:paraId="23D0713F">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 篮板材质：高强度钢化玻璃（厚度≥12 mm），外围边框采用40mm宽的铝型材经模具压制而成，下沿及侧面覆盖有48mm-55mm厚EVA保护胶条；</w:t>
            </w:r>
          </w:p>
          <w:p w14:paraId="14821E21">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 篮圈高度：3050 mm（±6mm）；</w:t>
            </w:r>
          </w:p>
          <w:p w14:paraId="6D19E66C">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 篮圈材质：实心钢制 Φ18-20 mm；内径 450-459mm；缓冲弹簧（三簧设计）；圈下均匀焊接12个成型挂钩，间隙≤8mm，装置无锐边、毛刺；</w:t>
            </w:r>
          </w:p>
          <w:p w14:paraId="7ADE7726">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6. 篮网材质：尼龙编织，网长400-450mm；</w:t>
            </w:r>
          </w:p>
          <w:p w14:paraId="4BA5B902">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7. 篮板支撑构架刚性：架体受到规定外力卸载后，从原始位置计算支撑构架的永久性水平变形量应≤10mm；</w:t>
            </w:r>
          </w:p>
          <w:p w14:paraId="42EE8CD2">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8. 篮板支撑构架稳定性：架体受到规定外力卸载后，从原始位置计算支撑构架的永久性垂直变形量应≤10 mm；</w:t>
            </w:r>
          </w:p>
          <w:p w14:paraId="424D47CF">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9. 包扎物：(1) 篮板下沿有48mm-55mm厚度的包扎物；侧表面上，从篮板下沿起有350mm-450mm高度的包扎物，厚度20mm-27mm；前、后表面上从篮板下沿起高20mm-25mm处，有20mm-27mm厚的包扎物；(2 篮球架篮板背后面向球场的篮板支撑构架应经衬填后包扎，包扎物高度≥2150mm，包扎厚度≥100mm；在篮板背后的任何支撑部分应在其下表面包扎，包扎厚度不小于25mm，直到距篮板后面1200mm处；</w:t>
            </w:r>
          </w:p>
          <w:p w14:paraId="7BAE817F">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 底座尺寸≥2000mm×1000mm×340mm（±2mm）。采用≥2.5mm厚的整张钢板经模具一次冲压成型，正面无焊缝，四周边角均采用弧形无棱角设计；</w:t>
            </w:r>
          </w:p>
          <w:p w14:paraId="5607A07E">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▲11. 立柱下面采用≥180mmx180mm大圆弧方管，壁厚≥3.0mm，立柱顶端30cm（±1cm），采用≥150mmx150mm，壁厚≥3mm的方管拼焊而成,圆弧过渡消除应力集中；</w:t>
            </w:r>
          </w:p>
          <w:p w14:paraId="02528BF7">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▲12. 横梁采用宽≥150mmx高≥200mm，壁厚≥3mm的六边成型管材制作而成；</w:t>
            </w:r>
          </w:p>
          <w:p w14:paraId="7F899960">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▲13. 后拉杆采用≥40mm×60mm矩形管，在自动弯管机上一次折弯成型。后拉杆两端采用封口焊接防水、防腐、防锈、防划伤；</w:t>
            </w:r>
          </w:p>
          <w:p w14:paraId="06C0214E">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14. 篮板上拉杆采用Φ≥48mmx2.5mm圆管在自动弯管机上一次折弯成型,拉杆前端采用免调节。尺寸严谨，安装方便一次安装到位无需多次调节篮圈与地面的平行度；</w:t>
            </w:r>
          </w:p>
          <w:p w14:paraId="2D7EC482">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15. 表面处理：表面处理符合环保标准，涂层享度70-80um，涂饰层附着力应达到一级、硬度应达到或优于2H；涂饰件表面涂层在经24h周期试验后，其耐腐蚀性能应&gt;6级：</w:t>
            </w:r>
          </w:p>
          <w:p w14:paraId="737CB93A">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▲16. 供货时需提供国家认可的检验机构出具的检验报告原件或复印件加盖生产厂商公章。</w:t>
            </w:r>
          </w:p>
        </w:tc>
        <w:tc>
          <w:tcPr>
            <w:tcW w:w="570" w:type="dxa"/>
            <w:tcBorders>
              <w:top w:val="nil"/>
              <w:left w:val="nil"/>
              <w:bottom w:val="single" w:color="auto" w:sz="4" w:space="0"/>
              <w:right w:val="single" w:color="auto" w:sz="4" w:space="0"/>
            </w:tcBorders>
            <w:vAlign w:val="center"/>
          </w:tcPr>
          <w:p w14:paraId="12DAD232">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副</w:t>
            </w:r>
          </w:p>
        </w:tc>
        <w:tc>
          <w:tcPr>
            <w:tcW w:w="448" w:type="dxa"/>
            <w:tcBorders>
              <w:top w:val="nil"/>
              <w:left w:val="nil"/>
              <w:bottom w:val="single" w:color="auto" w:sz="4" w:space="0"/>
              <w:right w:val="single" w:color="auto" w:sz="4" w:space="0"/>
            </w:tcBorders>
            <w:vAlign w:val="center"/>
          </w:tcPr>
          <w:p w14:paraId="6FBE7FD5">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1</w:t>
            </w:r>
          </w:p>
        </w:tc>
        <w:tc>
          <w:tcPr>
            <w:tcW w:w="731" w:type="dxa"/>
            <w:tcBorders>
              <w:top w:val="nil"/>
              <w:left w:val="nil"/>
              <w:bottom w:val="single" w:color="auto" w:sz="4" w:space="0"/>
              <w:right w:val="single" w:color="auto" w:sz="4" w:space="0"/>
            </w:tcBorders>
            <w:noWrap/>
            <w:vAlign w:val="center"/>
          </w:tcPr>
          <w:p w14:paraId="7A3B0D01">
            <w:pPr>
              <w:widowControl/>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466EDEAB">
            <w:pPr>
              <w:widowControl/>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266110FA">
            <w:pPr>
              <w:widowControl/>
              <w:jc w:val="center"/>
              <w:rPr>
                <w:rFonts w:ascii="宋体" w:hAnsi="宋体" w:eastAsia="宋体" w:cs="宋体"/>
                <w:color w:val="auto"/>
                <w:sz w:val="24"/>
                <w:szCs w:val="24"/>
              </w:rPr>
            </w:pPr>
          </w:p>
        </w:tc>
        <w:tc>
          <w:tcPr>
            <w:tcW w:w="517" w:type="dxa"/>
            <w:tcBorders>
              <w:top w:val="single" w:color="auto" w:sz="4" w:space="0"/>
              <w:left w:val="nil"/>
              <w:bottom w:val="single" w:color="auto" w:sz="4" w:space="0"/>
              <w:right w:val="single" w:color="auto" w:sz="4" w:space="0"/>
            </w:tcBorders>
            <w:vAlign w:val="center"/>
          </w:tcPr>
          <w:p w14:paraId="0B0B38B5">
            <w:pPr>
              <w:widowControl/>
              <w:jc w:val="center"/>
              <w:rPr>
                <w:rFonts w:ascii="宋体" w:hAnsi="宋体" w:eastAsia="宋体" w:cs="宋体"/>
                <w:color w:val="auto"/>
                <w:sz w:val="24"/>
                <w:szCs w:val="24"/>
              </w:rPr>
            </w:pPr>
          </w:p>
          <w:p w14:paraId="673681CC">
            <w:pPr>
              <w:widowControl/>
              <w:jc w:val="center"/>
              <w:rPr>
                <w:rFonts w:ascii="宋体" w:hAnsi="宋体" w:eastAsia="宋体" w:cs="宋体"/>
                <w:color w:val="auto"/>
                <w:sz w:val="24"/>
                <w:szCs w:val="24"/>
              </w:rPr>
            </w:pPr>
          </w:p>
        </w:tc>
        <w:tc>
          <w:tcPr>
            <w:tcW w:w="1740" w:type="dxa"/>
            <w:tcBorders>
              <w:top w:val="single" w:color="auto" w:sz="4" w:space="0"/>
              <w:left w:val="nil"/>
              <w:bottom w:val="single" w:color="auto" w:sz="4" w:space="0"/>
              <w:right w:val="single" w:color="auto" w:sz="4" w:space="0"/>
            </w:tcBorders>
            <w:vAlign w:val="center"/>
          </w:tcPr>
          <w:p w14:paraId="348C8DB4">
            <w:pPr>
              <w:widowControl/>
              <w:jc w:val="center"/>
              <w:rPr>
                <w:rFonts w:ascii="宋体" w:hAnsi="宋体" w:eastAsia="宋体" w:cs="宋体"/>
                <w:color w:val="auto"/>
                <w:sz w:val="24"/>
                <w:szCs w:val="24"/>
              </w:rPr>
            </w:pPr>
          </w:p>
        </w:tc>
        <w:tc>
          <w:tcPr>
            <w:tcW w:w="1325" w:type="dxa"/>
            <w:tcBorders>
              <w:top w:val="single" w:color="auto" w:sz="4" w:space="0"/>
              <w:left w:val="nil"/>
              <w:bottom w:val="single" w:color="auto" w:sz="4" w:space="0"/>
              <w:right w:val="single" w:color="auto" w:sz="4" w:space="0"/>
            </w:tcBorders>
            <w:vAlign w:val="center"/>
          </w:tcPr>
          <w:p w14:paraId="1CA49972">
            <w:pPr>
              <w:widowControl/>
              <w:jc w:val="center"/>
              <w:rPr>
                <w:rFonts w:ascii="宋体" w:hAnsi="宋体" w:eastAsia="宋体" w:cs="宋体"/>
                <w:color w:val="auto"/>
                <w:sz w:val="24"/>
                <w:szCs w:val="24"/>
              </w:rPr>
            </w:pPr>
          </w:p>
        </w:tc>
      </w:tr>
      <w:tr w14:paraId="5CB5D2B6">
        <w:tblPrEx>
          <w:tblCellMar>
            <w:top w:w="0" w:type="dxa"/>
            <w:left w:w="28" w:type="dxa"/>
            <w:bottom w:w="0" w:type="dxa"/>
            <w:right w:w="28" w:type="dxa"/>
          </w:tblCellMar>
        </w:tblPrEx>
        <w:trPr>
          <w:trHeight w:val="1236" w:hRule="atLeast"/>
        </w:trPr>
        <w:tc>
          <w:tcPr>
            <w:tcW w:w="607" w:type="dxa"/>
            <w:tcBorders>
              <w:top w:val="nil"/>
              <w:left w:val="single" w:color="auto" w:sz="4" w:space="0"/>
              <w:bottom w:val="single" w:color="auto" w:sz="4" w:space="0"/>
              <w:right w:val="single" w:color="auto" w:sz="4" w:space="0"/>
            </w:tcBorders>
            <w:noWrap/>
            <w:vAlign w:val="center"/>
          </w:tcPr>
          <w:p w14:paraId="2C3688E4">
            <w:pPr>
              <w:jc w:val="center"/>
              <w:rPr>
                <w:rFonts w:ascii="宋体" w:hAnsi="宋体" w:eastAsia="宋体" w:cs="宋体"/>
                <w:color w:val="auto"/>
                <w:sz w:val="24"/>
                <w:szCs w:val="24"/>
              </w:rPr>
            </w:pPr>
            <w:r>
              <w:rPr>
                <w:rFonts w:ascii="宋体" w:hAnsi="宋体" w:eastAsia="宋体" w:cs="宋体"/>
                <w:color w:val="auto"/>
                <w:sz w:val="24"/>
                <w:szCs w:val="24"/>
              </w:rPr>
              <w:t>2</w:t>
            </w:r>
          </w:p>
        </w:tc>
        <w:tc>
          <w:tcPr>
            <w:tcW w:w="1275" w:type="dxa"/>
            <w:tcBorders>
              <w:top w:val="nil"/>
              <w:left w:val="single" w:color="auto" w:sz="4" w:space="0"/>
              <w:bottom w:val="single" w:color="auto" w:sz="4" w:space="0"/>
              <w:right w:val="single" w:color="auto" w:sz="4" w:space="0"/>
            </w:tcBorders>
            <w:noWrap/>
            <w:vAlign w:val="center"/>
          </w:tcPr>
          <w:p w14:paraId="6595FE9A">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燕式篮球架</w:t>
            </w:r>
          </w:p>
        </w:tc>
        <w:tc>
          <w:tcPr>
            <w:tcW w:w="6315" w:type="dxa"/>
            <w:tcBorders>
              <w:top w:val="nil"/>
              <w:left w:val="nil"/>
              <w:bottom w:val="single" w:color="auto" w:sz="4" w:space="0"/>
              <w:right w:val="single" w:color="auto" w:sz="4" w:space="0"/>
            </w:tcBorders>
            <w:noWrap/>
            <w:vAlign w:val="center"/>
          </w:tcPr>
          <w:p w14:paraId="5122838D">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 类型：室内移动燕式篮球架；</w:t>
            </w:r>
          </w:p>
          <w:p w14:paraId="51BF6A47">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 篮板：2块篮板，尺寸 1800 mm × 1050 mm（≥2mm），平面与水平面垂直；</w:t>
            </w:r>
          </w:p>
          <w:p w14:paraId="31CA517A">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 篮板材质：高强度钢化玻璃（厚度≥12 mm），外围边框采用40mm宽的铝型材经模具压制而成，下沿及侧面覆盖有48mm-55mm厚EVA保护胶条；</w:t>
            </w:r>
          </w:p>
          <w:p w14:paraId="52D2CA00">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 篮圈高度：3050 mm（±6mm）；</w:t>
            </w:r>
          </w:p>
          <w:p w14:paraId="347290E4">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 篮圈材质：实心钢制 Φ18-20 mm；内径 450-459mm；缓冲弹簧（三簧设计）；圈下均匀焊接12个成型挂钩，间隙≤8mm，装置无锐边、毛刺；</w:t>
            </w:r>
          </w:p>
          <w:p w14:paraId="673434C7">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6. 篮网材质：尼龙编织，网长400-450mm；</w:t>
            </w:r>
          </w:p>
          <w:p w14:paraId="3B099FE5">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▲7. 篮板支撑构架刚性：架体受到规定外力卸载后，从原始位置计算支撑构架的永久性水平变形量应≤10mm；</w:t>
            </w:r>
          </w:p>
          <w:p w14:paraId="03052130">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▲8. 篮板支撑构架稳定性：架体受到规定外力卸载后，从原始位置计算支撑构架的永久性垂直变形量应≤10 mm；</w:t>
            </w:r>
          </w:p>
          <w:p w14:paraId="2EF3B046">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9. 包扎物：（1）篮板下沿有48mm-55mm厚度的包扎物；侧表面上，从篮板下沿起有350mm-450mm高度的包扎物，厚度20mm-27mm；前、后表面上从篮板下沿起高20mm-25mm处，有20mm-27mm厚的包扎物；（2）篮球架篮板背后面向球场的篮板支撑构架应经衬填后包扎，包扎物高度≥2150mm，包扎厚度≥100mm；在篮板背后的任何支撑部分应在其下表面包扎，包扎厚度不小于25mm，直到距篮板后面1200mm处；</w:t>
            </w:r>
          </w:p>
          <w:p w14:paraId="16F1202F">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 底座尺寸≥2000mm×1100mm×340mm（±2mm）。采用≥2.5mm厚的整张钢板经模具一次冲压成型，正面无焊缝，四周边角均采用弧形无棱角设计；</w:t>
            </w:r>
          </w:p>
          <w:p w14:paraId="656CC12F">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▲11. 篮球架伸臂：采用≥250㎜*200㎜*4㎜渐变式方通，海燕式臂长为1.7m（±2mm）；</w:t>
            </w:r>
          </w:p>
          <w:p w14:paraId="62E62B4C">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▲12. 篮球架拉杆：上拉杆采用≥∮42.厚度≥2.5mm圆管焊接而成；下拉条采用≥60㎜×40㎜×2.5mm方管，后拉条采用≥100㎜×100㎜×3㎜大方管焊接而成；</w:t>
            </w:r>
          </w:p>
          <w:p w14:paraId="711666F2">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13. 表面处理：表面处理符合环保标准，涂层享度70-80um，涂饰层附着力应达到一级、硬度应达到或优于2H；涂饰件表面涂层在经24h周期试验后，其耐腐蚀性能应&gt;6级；</w:t>
            </w:r>
          </w:p>
          <w:p w14:paraId="532B3894">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▲14. 供货时需提供国家认可的检验机构出具的检验报告原件或复印件加盖生产厂商公章。</w:t>
            </w:r>
          </w:p>
        </w:tc>
        <w:tc>
          <w:tcPr>
            <w:tcW w:w="570" w:type="dxa"/>
            <w:tcBorders>
              <w:top w:val="nil"/>
              <w:left w:val="nil"/>
              <w:bottom w:val="single" w:color="auto" w:sz="4" w:space="0"/>
              <w:right w:val="single" w:color="auto" w:sz="4" w:space="0"/>
            </w:tcBorders>
            <w:vAlign w:val="center"/>
          </w:tcPr>
          <w:p w14:paraId="3C267556">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副</w:t>
            </w:r>
          </w:p>
        </w:tc>
        <w:tc>
          <w:tcPr>
            <w:tcW w:w="448" w:type="dxa"/>
            <w:tcBorders>
              <w:top w:val="nil"/>
              <w:left w:val="nil"/>
              <w:bottom w:val="single" w:color="auto" w:sz="4" w:space="0"/>
              <w:right w:val="single" w:color="auto" w:sz="4" w:space="0"/>
            </w:tcBorders>
            <w:vAlign w:val="center"/>
          </w:tcPr>
          <w:p w14:paraId="2A70297A">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1</w:t>
            </w:r>
          </w:p>
        </w:tc>
        <w:tc>
          <w:tcPr>
            <w:tcW w:w="731" w:type="dxa"/>
            <w:tcBorders>
              <w:top w:val="nil"/>
              <w:left w:val="nil"/>
              <w:bottom w:val="single" w:color="auto" w:sz="4" w:space="0"/>
              <w:right w:val="single" w:color="auto" w:sz="4" w:space="0"/>
            </w:tcBorders>
            <w:noWrap/>
            <w:vAlign w:val="center"/>
          </w:tcPr>
          <w:p w14:paraId="2BF400DE">
            <w:pPr>
              <w:widowControl/>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4AD20C6E">
            <w:pPr>
              <w:widowControl/>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7733B23F">
            <w:pPr>
              <w:widowControl/>
              <w:jc w:val="center"/>
              <w:rPr>
                <w:rFonts w:ascii="宋体" w:hAnsi="宋体" w:eastAsia="宋体" w:cs="宋体"/>
                <w:color w:val="auto"/>
                <w:sz w:val="24"/>
                <w:szCs w:val="24"/>
              </w:rPr>
            </w:pPr>
          </w:p>
        </w:tc>
        <w:tc>
          <w:tcPr>
            <w:tcW w:w="517" w:type="dxa"/>
            <w:tcBorders>
              <w:top w:val="single" w:color="auto" w:sz="4" w:space="0"/>
              <w:left w:val="nil"/>
              <w:bottom w:val="single" w:color="auto" w:sz="4" w:space="0"/>
              <w:right w:val="single" w:color="auto" w:sz="4" w:space="0"/>
            </w:tcBorders>
            <w:vAlign w:val="center"/>
          </w:tcPr>
          <w:p w14:paraId="144CC022">
            <w:pPr>
              <w:widowControl/>
              <w:jc w:val="center"/>
              <w:rPr>
                <w:rFonts w:ascii="宋体" w:hAnsi="宋体" w:eastAsia="宋体" w:cs="宋体"/>
                <w:color w:val="auto"/>
                <w:sz w:val="24"/>
                <w:szCs w:val="24"/>
              </w:rPr>
            </w:pPr>
          </w:p>
        </w:tc>
        <w:tc>
          <w:tcPr>
            <w:tcW w:w="1740" w:type="dxa"/>
            <w:tcBorders>
              <w:top w:val="single" w:color="auto" w:sz="4" w:space="0"/>
              <w:left w:val="nil"/>
              <w:bottom w:val="single" w:color="auto" w:sz="4" w:space="0"/>
              <w:right w:val="single" w:color="auto" w:sz="4" w:space="0"/>
            </w:tcBorders>
            <w:vAlign w:val="center"/>
          </w:tcPr>
          <w:p w14:paraId="65898DE8">
            <w:pPr>
              <w:widowControl/>
              <w:jc w:val="center"/>
              <w:rPr>
                <w:rFonts w:ascii="宋体" w:hAnsi="宋体" w:eastAsia="宋体" w:cs="宋体"/>
                <w:color w:val="auto"/>
                <w:sz w:val="24"/>
                <w:szCs w:val="24"/>
              </w:rPr>
            </w:pPr>
          </w:p>
        </w:tc>
        <w:tc>
          <w:tcPr>
            <w:tcW w:w="1325" w:type="dxa"/>
            <w:tcBorders>
              <w:top w:val="single" w:color="auto" w:sz="4" w:space="0"/>
              <w:left w:val="nil"/>
              <w:bottom w:val="single" w:color="auto" w:sz="4" w:space="0"/>
              <w:right w:val="single" w:color="auto" w:sz="4" w:space="0"/>
            </w:tcBorders>
            <w:vAlign w:val="center"/>
          </w:tcPr>
          <w:p w14:paraId="08CCA844">
            <w:pPr>
              <w:widowControl/>
              <w:jc w:val="center"/>
              <w:rPr>
                <w:rFonts w:ascii="宋体" w:hAnsi="宋体" w:eastAsia="宋体" w:cs="宋体"/>
                <w:color w:val="auto"/>
                <w:sz w:val="24"/>
                <w:szCs w:val="24"/>
              </w:rPr>
            </w:pPr>
          </w:p>
        </w:tc>
      </w:tr>
      <w:tr w14:paraId="46A33491">
        <w:tblPrEx>
          <w:tblCellMar>
            <w:top w:w="0" w:type="dxa"/>
            <w:left w:w="28" w:type="dxa"/>
            <w:bottom w:w="0" w:type="dxa"/>
            <w:right w:w="28" w:type="dxa"/>
          </w:tblCellMar>
        </w:tblPrEx>
        <w:trPr>
          <w:trHeight w:val="1569" w:hRule="atLeast"/>
        </w:trPr>
        <w:tc>
          <w:tcPr>
            <w:tcW w:w="607" w:type="dxa"/>
            <w:tcBorders>
              <w:top w:val="nil"/>
              <w:left w:val="single" w:color="auto" w:sz="4" w:space="0"/>
              <w:bottom w:val="single" w:color="auto" w:sz="4" w:space="0"/>
              <w:right w:val="single" w:color="auto" w:sz="4" w:space="0"/>
            </w:tcBorders>
            <w:noWrap/>
            <w:vAlign w:val="center"/>
          </w:tcPr>
          <w:p w14:paraId="5648FB2C">
            <w:pPr>
              <w:jc w:val="center"/>
              <w:rPr>
                <w:rFonts w:ascii="宋体" w:hAnsi="宋体" w:eastAsia="宋体" w:cs="宋体"/>
                <w:color w:val="auto"/>
                <w:sz w:val="24"/>
                <w:szCs w:val="24"/>
              </w:rPr>
            </w:pPr>
            <w:r>
              <w:rPr>
                <w:rFonts w:ascii="宋体" w:hAnsi="宋体" w:eastAsia="宋体" w:cs="宋体"/>
                <w:color w:val="auto"/>
                <w:sz w:val="24"/>
                <w:szCs w:val="24"/>
              </w:rPr>
              <w:t>3</w:t>
            </w:r>
          </w:p>
        </w:tc>
        <w:tc>
          <w:tcPr>
            <w:tcW w:w="1275" w:type="dxa"/>
            <w:tcBorders>
              <w:top w:val="nil"/>
              <w:left w:val="single" w:color="auto" w:sz="4" w:space="0"/>
              <w:bottom w:val="single" w:color="auto" w:sz="4" w:space="0"/>
              <w:right w:val="single" w:color="auto" w:sz="4" w:space="0"/>
            </w:tcBorders>
            <w:noWrap/>
            <w:vAlign w:val="center"/>
          </w:tcPr>
          <w:p w14:paraId="3DF6FE47">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篮球</w:t>
            </w:r>
          </w:p>
        </w:tc>
        <w:tc>
          <w:tcPr>
            <w:tcW w:w="6315" w:type="dxa"/>
            <w:tcBorders>
              <w:top w:val="nil"/>
              <w:left w:val="nil"/>
              <w:bottom w:val="single" w:color="auto" w:sz="4" w:space="0"/>
              <w:right w:val="single" w:color="auto" w:sz="4" w:space="0"/>
            </w:tcBorders>
            <w:noWrap/>
            <w:vAlign w:val="center"/>
          </w:tcPr>
          <w:p w14:paraId="712F8331">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▲1.规格：篮球比赛用标准7号篮球。</w:t>
            </w:r>
          </w:p>
          <w:p w14:paraId="4A786F94">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▲2.材质：PU/丁基内胆。</w:t>
            </w:r>
          </w:p>
          <w:p w14:paraId="4E9E48C2">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3.圆周：74.9-78.0CM。</w:t>
            </w:r>
          </w:p>
          <w:p w14:paraId="0F93D1BB">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4.重量：567-650g。</w:t>
            </w:r>
          </w:p>
          <w:p w14:paraId="6E537630">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5.适用产地：室内/室外。</w:t>
            </w:r>
          </w:p>
        </w:tc>
        <w:tc>
          <w:tcPr>
            <w:tcW w:w="570" w:type="dxa"/>
            <w:tcBorders>
              <w:top w:val="nil"/>
              <w:left w:val="nil"/>
              <w:bottom w:val="single" w:color="auto" w:sz="4" w:space="0"/>
              <w:right w:val="single" w:color="auto" w:sz="4" w:space="0"/>
            </w:tcBorders>
            <w:vAlign w:val="center"/>
          </w:tcPr>
          <w:p w14:paraId="12EA13C4">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个</w:t>
            </w:r>
          </w:p>
        </w:tc>
        <w:tc>
          <w:tcPr>
            <w:tcW w:w="448" w:type="dxa"/>
            <w:tcBorders>
              <w:top w:val="nil"/>
              <w:left w:val="nil"/>
              <w:bottom w:val="single" w:color="auto" w:sz="4" w:space="0"/>
              <w:right w:val="single" w:color="auto" w:sz="4" w:space="0"/>
            </w:tcBorders>
            <w:vAlign w:val="center"/>
          </w:tcPr>
          <w:p w14:paraId="3904F14A">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20</w:t>
            </w:r>
          </w:p>
        </w:tc>
        <w:tc>
          <w:tcPr>
            <w:tcW w:w="731" w:type="dxa"/>
            <w:tcBorders>
              <w:top w:val="nil"/>
              <w:left w:val="nil"/>
              <w:bottom w:val="single" w:color="auto" w:sz="4" w:space="0"/>
              <w:right w:val="single" w:color="auto" w:sz="4" w:space="0"/>
            </w:tcBorders>
            <w:noWrap/>
            <w:vAlign w:val="center"/>
          </w:tcPr>
          <w:p w14:paraId="0DA9685F">
            <w:pPr>
              <w:widowControl/>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3715B8BD">
            <w:pPr>
              <w:widowControl/>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575CF54A">
            <w:pPr>
              <w:widowControl/>
              <w:jc w:val="center"/>
              <w:rPr>
                <w:rFonts w:ascii="宋体" w:hAnsi="宋体" w:eastAsia="宋体" w:cs="宋体"/>
                <w:color w:val="auto"/>
                <w:sz w:val="24"/>
                <w:szCs w:val="24"/>
              </w:rPr>
            </w:pPr>
          </w:p>
        </w:tc>
        <w:tc>
          <w:tcPr>
            <w:tcW w:w="517" w:type="dxa"/>
            <w:tcBorders>
              <w:top w:val="single" w:color="auto" w:sz="4" w:space="0"/>
              <w:left w:val="nil"/>
              <w:bottom w:val="single" w:color="auto" w:sz="4" w:space="0"/>
              <w:right w:val="single" w:color="auto" w:sz="4" w:space="0"/>
            </w:tcBorders>
            <w:vAlign w:val="center"/>
          </w:tcPr>
          <w:p w14:paraId="397EF7DD">
            <w:pPr>
              <w:widowControl/>
              <w:jc w:val="center"/>
              <w:rPr>
                <w:rFonts w:ascii="宋体" w:hAnsi="宋体" w:eastAsia="宋体" w:cs="宋体"/>
                <w:color w:val="auto"/>
                <w:sz w:val="24"/>
                <w:szCs w:val="24"/>
              </w:rPr>
            </w:pPr>
          </w:p>
        </w:tc>
        <w:tc>
          <w:tcPr>
            <w:tcW w:w="1740" w:type="dxa"/>
            <w:tcBorders>
              <w:top w:val="single" w:color="auto" w:sz="4" w:space="0"/>
              <w:left w:val="nil"/>
              <w:bottom w:val="single" w:color="auto" w:sz="4" w:space="0"/>
              <w:right w:val="single" w:color="auto" w:sz="4" w:space="0"/>
            </w:tcBorders>
            <w:vAlign w:val="center"/>
          </w:tcPr>
          <w:p w14:paraId="43052693">
            <w:pPr>
              <w:widowControl/>
              <w:jc w:val="center"/>
              <w:rPr>
                <w:rFonts w:ascii="宋体" w:hAnsi="宋体" w:eastAsia="宋体" w:cs="宋体"/>
                <w:color w:val="auto"/>
                <w:sz w:val="24"/>
                <w:szCs w:val="24"/>
              </w:rPr>
            </w:pPr>
          </w:p>
        </w:tc>
        <w:tc>
          <w:tcPr>
            <w:tcW w:w="1325" w:type="dxa"/>
            <w:tcBorders>
              <w:top w:val="single" w:color="auto" w:sz="4" w:space="0"/>
              <w:left w:val="nil"/>
              <w:bottom w:val="single" w:color="auto" w:sz="4" w:space="0"/>
              <w:right w:val="single" w:color="auto" w:sz="4" w:space="0"/>
            </w:tcBorders>
            <w:vAlign w:val="center"/>
          </w:tcPr>
          <w:p w14:paraId="4B5D93A5">
            <w:pPr>
              <w:widowControl/>
              <w:jc w:val="center"/>
              <w:rPr>
                <w:rFonts w:ascii="宋体" w:hAnsi="宋体" w:eastAsia="宋体" w:cs="宋体"/>
                <w:color w:val="auto"/>
                <w:sz w:val="24"/>
                <w:szCs w:val="24"/>
              </w:rPr>
            </w:pPr>
          </w:p>
        </w:tc>
      </w:tr>
      <w:tr w14:paraId="206AD339">
        <w:tblPrEx>
          <w:tblCellMar>
            <w:top w:w="0" w:type="dxa"/>
            <w:left w:w="28" w:type="dxa"/>
            <w:bottom w:w="0" w:type="dxa"/>
            <w:right w:w="28" w:type="dxa"/>
          </w:tblCellMar>
        </w:tblPrEx>
        <w:trPr>
          <w:trHeight w:val="3438" w:hRule="atLeast"/>
        </w:trPr>
        <w:tc>
          <w:tcPr>
            <w:tcW w:w="607" w:type="dxa"/>
            <w:tcBorders>
              <w:top w:val="nil"/>
              <w:left w:val="single" w:color="auto" w:sz="4" w:space="0"/>
              <w:bottom w:val="single" w:color="auto" w:sz="4" w:space="0"/>
              <w:right w:val="single" w:color="auto" w:sz="4" w:space="0"/>
            </w:tcBorders>
            <w:noWrap/>
            <w:vAlign w:val="center"/>
          </w:tcPr>
          <w:p w14:paraId="03D99D93">
            <w:pPr>
              <w:jc w:val="center"/>
              <w:rPr>
                <w:rFonts w:ascii="宋体" w:hAnsi="宋体" w:eastAsia="宋体" w:cs="宋体"/>
                <w:color w:val="auto"/>
                <w:sz w:val="24"/>
                <w:szCs w:val="24"/>
              </w:rPr>
            </w:pPr>
            <w:r>
              <w:rPr>
                <w:rFonts w:ascii="宋体" w:hAnsi="宋体" w:eastAsia="宋体" w:cs="宋体"/>
                <w:color w:val="auto"/>
                <w:sz w:val="24"/>
                <w:szCs w:val="24"/>
              </w:rPr>
              <w:t>4</w:t>
            </w:r>
          </w:p>
        </w:tc>
        <w:tc>
          <w:tcPr>
            <w:tcW w:w="1275" w:type="dxa"/>
            <w:tcBorders>
              <w:top w:val="nil"/>
              <w:left w:val="single" w:color="auto" w:sz="4" w:space="0"/>
              <w:bottom w:val="single" w:color="auto" w:sz="4" w:space="0"/>
              <w:right w:val="single" w:color="auto" w:sz="4" w:space="0"/>
            </w:tcBorders>
            <w:noWrap/>
            <w:vAlign w:val="center"/>
          </w:tcPr>
          <w:p w14:paraId="6E89B34A">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乒乓球桌</w:t>
            </w:r>
          </w:p>
        </w:tc>
        <w:tc>
          <w:tcPr>
            <w:tcW w:w="6315" w:type="dxa"/>
            <w:tcBorders>
              <w:top w:val="nil"/>
              <w:left w:val="nil"/>
              <w:bottom w:val="single" w:color="auto" w:sz="4" w:space="0"/>
              <w:right w:val="single" w:color="auto" w:sz="4" w:space="0"/>
            </w:tcBorders>
            <w:noWrap/>
            <w:vAlign w:val="center"/>
          </w:tcPr>
          <w:p w14:paraId="0C1ADB94">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 球桌类型：室内球桌</w:t>
            </w:r>
          </w:p>
          <w:p w14:paraId="6F8E6B92">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 桌面材质：高密度纤维板，表面喷涂耐磨涂层。</w:t>
            </w:r>
          </w:p>
          <w:p w14:paraId="06567586">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 桌面颜色：桌面为深蓝色，边线与中线为白色，不反光，边界清晰，画线标准</w:t>
            </w:r>
          </w:p>
          <w:p w14:paraId="75C9DAE1">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 台面尺寸：长2740mm × 宽1525mm × 高760mm（±2mm），台面厚度≥22mm，平整度≤3mm</w:t>
            </w:r>
          </w:p>
          <w:p w14:paraId="6AEB8305">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 物理性能：弹性：230-260mm，弹性均匀度：≤5mm，台面光泽度:≤10</w:t>
            </w:r>
          </w:p>
          <w:p w14:paraId="197F5BEF">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▲6. 台架材质：钢结构支架，≥40MM方管台脚，防锈涂层处理</w:t>
            </w:r>
          </w:p>
          <w:p w14:paraId="479BF7AD">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▲7. 台脚配置：配有≥75mm带刹车脚轮；可折叠、可移动</w:t>
            </w:r>
          </w:p>
          <w:p w14:paraId="64CE2F68">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8. 重量：100-150kg</w:t>
            </w:r>
          </w:p>
          <w:p w14:paraId="01C8082B">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9. 网架系统：配标准网架及球网，网高152.5mm（±2mm）</w:t>
            </w:r>
          </w:p>
          <w:p w14:paraId="33B01180">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 具备ITTF-国际乒联认证</w:t>
            </w:r>
          </w:p>
        </w:tc>
        <w:tc>
          <w:tcPr>
            <w:tcW w:w="570" w:type="dxa"/>
            <w:tcBorders>
              <w:top w:val="nil"/>
              <w:left w:val="nil"/>
              <w:bottom w:val="single" w:color="auto" w:sz="4" w:space="0"/>
              <w:right w:val="single" w:color="auto" w:sz="4" w:space="0"/>
            </w:tcBorders>
            <w:vAlign w:val="center"/>
          </w:tcPr>
          <w:p w14:paraId="049C1978">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张</w:t>
            </w:r>
          </w:p>
        </w:tc>
        <w:tc>
          <w:tcPr>
            <w:tcW w:w="448" w:type="dxa"/>
            <w:tcBorders>
              <w:top w:val="nil"/>
              <w:left w:val="nil"/>
              <w:bottom w:val="single" w:color="auto" w:sz="4" w:space="0"/>
              <w:right w:val="single" w:color="auto" w:sz="4" w:space="0"/>
            </w:tcBorders>
            <w:vAlign w:val="center"/>
          </w:tcPr>
          <w:p w14:paraId="7389CC62">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5</w:t>
            </w:r>
          </w:p>
        </w:tc>
        <w:tc>
          <w:tcPr>
            <w:tcW w:w="731" w:type="dxa"/>
            <w:tcBorders>
              <w:top w:val="nil"/>
              <w:left w:val="nil"/>
              <w:bottom w:val="single" w:color="auto" w:sz="4" w:space="0"/>
              <w:right w:val="single" w:color="auto" w:sz="4" w:space="0"/>
            </w:tcBorders>
            <w:noWrap/>
            <w:vAlign w:val="center"/>
          </w:tcPr>
          <w:p w14:paraId="0872C9DC">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36B6B2F2">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19FBC655">
            <w:pPr>
              <w:jc w:val="center"/>
              <w:rPr>
                <w:rFonts w:ascii="宋体" w:hAnsi="宋体" w:eastAsia="宋体" w:cs="宋体"/>
                <w:color w:val="auto"/>
                <w:sz w:val="24"/>
                <w:szCs w:val="24"/>
              </w:rPr>
            </w:pPr>
          </w:p>
        </w:tc>
        <w:tc>
          <w:tcPr>
            <w:tcW w:w="517" w:type="dxa"/>
            <w:tcBorders>
              <w:top w:val="single" w:color="auto" w:sz="4" w:space="0"/>
              <w:left w:val="nil"/>
              <w:bottom w:val="single" w:color="auto" w:sz="4" w:space="0"/>
              <w:right w:val="single" w:color="auto" w:sz="4" w:space="0"/>
            </w:tcBorders>
            <w:vAlign w:val="center"/>
          </w:tcPr>
          <w:p w14:paraId="1D72A1AC">
            <w:pPr>
              <w:jc w:val="center"/>
              <w:rPr>
                <w:rFonts w:ascii="宋体" w:hAnsi="宋体" w:eastAsia="宋体" w:cs="宋体"/>
                <w:color w:val="auto"/>
                <w:sz w:val="24"/>
                <w:szCs w:val="24"/>
              </w:rPr>
            </w:pPr>
          </w:p>
        </w:tc>
        <w:tc>
          <w:tcPr>
            <w:tcW w:w="1740" w:type="dxa"/>
            <w:tcBorders>
              <w:top w:val="single" w:color="auto" w:sz="4" w:space="0"/>
              <w:left w:val="nil"/>
              <w:bottom w:val="single" w:color="auto" w:sz="4" w:space="0"/>
              <w:right w:val="single" w:color="auto" w:sz="4" w:space="0"/>
            </w:tcBorders>
            <w:vAlign w:val="center"/>
          </w:tcPr>
          <w:p w14:paraId="4F55B8FC">
            <w:pPr>
              <w:jc w:val="center"/>
              <w:rPr>
                <w:rFonts w:ascii="宋体" w:hAnsi="宋体" w:eastAsia="宋体" w:cs="宋体"/>
                <w:color w:val="auto"/>
                <w:sz w:val="24"/>
                <w:szCs w:val="24"/>
              </w:rPr>
            </w:pPr>
          </w:p>
        </w:tc>
        <w:tc>
          <w:tcPr>
            <w:tcW w:w="1325" w:type="dxa"/>
            <w:tcBorders>
              <w:top w:val="single" w:color="auto" w:sz="4" w:space="0"/>
              <w:left w:val="nil"/>
              <w:bottom w:val="single" w:color="auto" w:sz="4" w:space="0"/>
              <w:right w:val="single" w:color="auto" w:sz="4" w:space="0"/>
            </w:tcBorders>
            <w:vAlign w:val="center"/>
          </w:tcPr>
          <w:p w14:paraId="612A82B2">
            <w:pPr>
              <w:jc w:val="center"/>
              <w:rPr>
                <w:rFonts w:ascii="宋体" w:hAnsi="宋体" w:eastAsia="宋体" w:cs="宋体"/>
                <w:color w:val="auto"/>
                <w:sz w:val="24"/>
                <w:szCs w:val="24"/>
              </w:rPr>
            </w:pPr>
          </w:p>
        </w:tc>
      </w:tr>
      <w:tr w14:paraId="47057F4C">
        <w:tblPrEx>
          <w:tblCellMar>
            <w:top w:w="0" w:type="dxa"/>
            <w:left w:w="28" w:type="dxa"/>
            <w:bottom w:w="0" w:type="dxa"/>
            <w:right w:w="28" w:type="dxa"/>
          </w:tblCellMar>
        </w:tblPrEx>
        <w:trPr>
          <w:trHeight w:val="90" w:hRule="atLeast"/>
        </w:trPr>
        <w:tc>
          <w:tcPr>
            <w:tcW w:w="607" w:type="dxa"/>
            <w:tcBorders>
              <w:top w:val="nil"/>
              <w:left w:val="single" w:color="auto" w:sz="4" w:space="0"/>
              <w:bottom w:val="single" w:color="auto" w:sz="4" w:space="0"/>
              <w:right w:val="single" w:color="auto" w:sz="4" w:space="0"/>
            </w:tcBorders>
            <w:noWrap/>
            <w:vAlign w:val="center"/>
          </w:tcPr>
          <w:p w14:paraId="3DC3047D">
            <w:pPr>
              <w:jc w:val="center"/>
              <w:rPr>
                <w:rFonts w:ascii="宋体" w:hAnsi="宋体" w:eastAsia="宋体" w:cs="宋体"/>
                <w:color w:val="auto"/>
                <w:sz w:val="24"/>
                <w:szCs w:val="24"/>
              </w:rPr>
            </w:pPr>
            <w:r>
              <w:rPr>
                <w:rFonts w:ascii="宋体" w:hAnsi="宋体" w:eastAsia="宋体" w:cs="宋体"/>
                <w:color w:val="auto"/>
                <w:sz w:val="24"/>
                <w:szCs w:val="24"/>
              </w:rPr>
              <w:t>5</w:t>
            </w:r>
          </w:p>
        </w:tc>
        <w:tc>
          <w:tcPr>
            <w:tcW w:w="1275" w:type="dxa"/>
            <w:tcBorders>
              <w:top w:val="nil"/>
              <w:left w:val="single" w:color="auto" w:sz="4" w:space="0"/>
              <w:bottom w:val="single" w:color="auto" w:sz="4" w:space="0"/>
              <w:right w:val="single" w:color="auto" w:sz="4" w:space="0"/>
            </w:tcBorders>
            <w:noWrap/>
            <w:vAlign w:val="center"/>
          </w:tcPr>
          <w:p w14:paraId="16F6CDFF">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乒乓球桌</w:t>
            </w:r>
          </w:p>
        </w:tc>
        <w:tc>
          <w:tcPr>
            <w:tcW w:w="6315" w:type="dxa"/>
            <w:tcBorders>
              <w:top w:val="nil"/>
              <w:left w:val="nil"/>
              <w:bottom w:val="single" w:color="auto" w:sz="4" w:space="0"/>
              <w:right w:val="single" w:color="auto" w:sz="4" w:space="0"/>
            </w:tcBorders>
            <w:noWrap/>
            <w:vAlign w:val="center"/>
          </w:tcPr>
          <w:p w14:paraId="0B29EC14">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 球桌类型：室内球桌</w:t>
            </w:r>
          </w:p>
          <w:p w14:paraId="397E701F">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 桌面材质：高密度纤维板，表面喷涂耐磨涂层。</w:t>
            </w:r>
          </w:p>
          <w:p w14:paraId="67395CB8">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 桌面颜色：桌面为深蓝色，边线与中线为白色，不反光，边界清晰，画线标准</w:t>
            </w:r>
          </w:p>
          <w:p w14:paraId="2209E202">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 台面尺寸：长2740mm × 宽1525mm × 高760mm（±2mm），台面厚度≥18mm，平整度≤3mm</w:t>
            </w:r>
          </w:p>
          <w:p w14:paraId="417C2848">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 物理性能：弹性：220-250mm，弹性均匀度：≤10mm，台面光泽度:≤10</w:t>
            </w:r>
          </w:p>
          <w:p w14:paraId="5CB16705">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▲6. 台架材质：钢结构支架，≥40MM方管台脚，防锈涂层处理</w:t>
            </w:r>
          </w:p>
          <w:p w14:paraId="0D27E0F2">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▲7. 台脚配置：配有≥8个直径≥75mm带刹车脚轮；可折叠、可移动</w:t>
            </w:r>
          </w:p>
          <w:p w14:paraId="356934A9">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8. 重量：100-150kg</w:t>
            </w:r>
          </w:p>
          <w:p w14:paraId="3F0F774E">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9. 网架系统：配标准网架及球网，网高152.5mm（±2mm）</w:t>
            </w:r>
          </w:p>
        </w:tc>
        <w:tc>
          <w:tcPr>
            <w:tcW w:w="570" w:type="dxa"/>
            <w:tcBorders>
              <w:top w:val="nil"/>
              <w:left w:val="nil"/>
              <w:bottom w:val="single" w:color="auto" w:sz="4" w:space="0"/>
              <w:right w:val="single" w:color="auto" w:sz="4" w:space="0"/>
            </w:tcBorders>
            <w:vAlign w:val="center"/>
          </w:tcPr>
          <w:p w14:paraId="4F60CC38">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张</w:t>
            </w:r>
          </w:p>
        </w:tc>
        <w:tc>
          <w:tcPr>
            <w:tcW w:w="448" w:type="dxa"/>
            <w:tcBorders>
              <w:top w:val="nil"/>
              <w:left w:val="nil"/>
              <w:bottom w:val="single" w:color="auto" w:sz="4" w:space="0"/>
              <w:right w:val="single" w:color="auto" w:sz="4" w:space="0"/>
            </w:tcBorders>
            <w:vAlign w:val="center"/>
          </w:tcPr>
          <w:p w14:paraId="4F8754DD">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15</w:t>
            </w:r>
          </w:p>
        </w:tc>
        <w:tc>
          <w:tcPr>
            <w:tcW w:w="731" w:type="dxa"/>
            <w:tcBorders>
              <w:top w:val="nil"/>
              <w:left w:val="nil"/>
              <w:bottom w:val="single" w:color="auto" w:sz="4" w:space="0"/>
              <w:right w:val="single" w:color="auto" w:sz="4" w:space="0"/>
            </w:tcBorders>
            <w:noWrap/>
            <w:vAlign w:val="center"/>
          </w:tcPr>
          <w:p w14:paraId="15CF77EE">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5338B08A">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40D9781F">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5D1E55F2">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5B45393D">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2DAD699C">
            <w:pPr>
              <w:jc w:val="center"/>
              <w:rPr>
                <w:color w:val="auto"/>
              </w:rPr>
            </w:pPr>
          </w:p>
        </w:tc>
      </w:tr>
      <w:tr w14:paraId="0E30962C">
        <w:tblPrEx>
          <w:tblCellMar>
            <w:top w:w="0" w:type="dxa"/>
            <w:left w:w="28" w:type="dxa"/>
            <w:bottom w:w="0" w:type="dxa"/>
            <w:right w:w="28" w:type="dxa"/>
          </w:tblCellMar>
        </w:tblPrEx>
        <w:trPr>
          <w:trHeight w:val="1569" w:hRule="atLeast"/>
        </w:trPr>
        <w:tc>
          <w:tcPr>
            <w:tcW w:w="607" w:type="dxa"/>
            <w:tcBorders>
              <w:top w:val="nil"/>
              <w:left w:val="single" w:color="auto" w:sz="4" w:space="0"/>
              <w:bottom w:val="single" w:color="auto" w:sz="4" w:space="0"/>
              <w:right w:val="single" w:color="auto" w:sz="4" w:space="0"/>
            </w:tcBorders>
            <w:noWrap/>
            <w:vAlign w:val="center"/>
          </w:tcPr>
          <w:p w14:paraId="550948CA">
            <w:pPr>
              <w:jc w:val="center"/>
              <w:rPr>
                <w:rFonts w:ascii="宋体" w:hAnsi="宋体" w:eastAsia="宋体" w:cs="宋体"/>
                <w:color w:val="auto"/>
                <w:sz w:val="24"/>
                <w:szCs w:val="24"/>
              </w:rPr>
            </w:pPr>
            <w:r>
              <w:rPr>
                <w:rFonts w:hint="eastAsia" w:ascii="宋体" w:hAnsi="宋体" w:eastAsia="宋体" w:cs="宋体"/>
                <w:color w:val="auto"/>
                <w:sz w:val="24"/>
                <w:szCs w:val="24"/>
              </w:rPr>
              <w:t>6</w:t>
            </w:r>
          </w:p>
        </w:tc>
        <w:tc>
          <w:tcPr>
            <w:tcW w:w="1275" w:type="dxa"/>
            <w:tcBorders>
              <w:top w:val="nil"/>
              <w:left w:val="single" w:color="auto" w:sz="4" w:space="0"/>
              <w:bottom w:val="single" w:color="auto" w:sz="4" w:space="0"/>
              <w:right w:val="single" w:color="auto" w:sz="4" w:space="0"/>
            </w:tcBorders>
            <w:noWrap/>
            <w:vAlign w:val="center"/>
          </w:tcPr>
          <w:p w14:paraId="4428C628">
            <w:pPr>
              <w:widowControl/>
              <w:jc w:val="left"/>
              <w:textAlignment w:val="center"/>
              <w:rPr>
                <w:color w:val="auto"/>
                <w:sz w:val="21"/>
                <w:szCs w:val="21"/>
              </w:rPr>
            </w:pPr>
            <w:r>
              <w:rPr>
                <w:rFonts w:hint="eastAsia"/>
                <w:color w:val="auto"/>
                <w:sz w:val="21"/>
                <w:szCs w:val="21"/>
              </w:rPr>
              <w:t>乒乓球围挡</w:t>
            </w:r>
          </w:p>
        </w:tc>
        <w:tc>
          <w:tcPr>
            <w:tcW w:w="6315" w:type="dxa"/>
            <w:tcBorders>
              <w:top w:val="nil"/>
              <w:left w:val="nil"/>
              <w:bottom w:val="single" w:color="auto" w:sz="4" w:space="0"/>
              <w:right w:val="single" w:color="auto" w:sz="4" w:space="0"/>
            </w:tcBorders>
            <w:noWrap/>
            <w:vAlign w:val="center"/>
          </w:tcPr>
          <w:p w14:paraId="42CE85CA">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▲1.规格：≥140×75CM。</w:t>
            </w:r>
          </w:p>
          <w:p w14:paraId="6A5ADB5A">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2.颜色：蓝色.绿色。</w:t>
            </w:r>
          </w:p>
          <w:p w14:paraId="46A31E7D">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▲3.特点：特制牛津材料，铁管T型脚可折叠。</w:t>
            </w:r>
          </w:p>
          <w:p w14:paraId="728D54EE">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4.重量：≤2.5KG。</w:t>
            </w:r>
          </w:p>
        </w:tc>
        <w:tc>
          <w:tcPr>
            <w:tcW w:w="570" w:type="dxa"/>
            <w:tcBorders>
              <w:top w:val="nil"/>
              <w:left w:val="nil"/>
              <w:bottom w:val="single" w:color="auto" w:sz="4" w:space="0"/>
              <w:right w:val="single" w:color="auto" w:sz="4" w:space="0"/>
            </w:tcBorders>
            <w:vAlign w:val="center"/>
          </w:tcPr>
          <w:p w14:paraId="04D93985">
            <w:pPr>
              <w:widowControl/>
              <w:jc w:val="center"/>
              <w:textAlignment w:val="center"/>
              <w:rPr>
                <w:color w:val="auto"/>
                <w:sz w:val="21"/>
                <w:szCs w:val="21"/>
              </w:rPr>
            </w:pPr>
            <w:r>
              <w:rPr>
                <w:rFonts w:hint="eastAsia"/>
                <w:color w:val="auto"/>
                <w:sz w:val="21"/>
                <w:szCs w:val="21"/>
              </w:rPr>
              <w:t>张</w:t>
            </w:r>
          </w:p>
        </w:tc>
        <w:tc>
          <w:tcPr>
            <w:tcW w:w="448" w:type="dxa"/>
            <w:tcBorders>
              <w:top w:val="nil"/>
              <w:left w:val="nil"/>
              <w:bottom w:val="single" w:color="auto" w:sz="4" w:space="0"/>
              <w:right w:val="single" w:color="auto" w:sz="4" w:space="0"/>
            </w:tcBorders>
            <w:vAlign w:val="center"/>
          </w:tcPr>
          <w:p w14:paraId="49422DE5">
            <w:pPr>
              <w:widowControl/>
              <w:jc w:val="center"/>
              <w:textAlignment w:val="center"/>
              <w:rPr>
                <w:color w:val="auto"/>
                <w:sz w:val="21"/>
                <w:szCs w:val="21"/>
              </w:rPr>
            </w:pPr>
            <w:r>
              <w:rPr>
                <w:rFonts w:hint="eastAsia"/>
                <w:color w:val="auto"/>
                <w:sz w:val="21"/>
                <w:szCs w:val="21"/>
              </w:rPr>
              <w:t>60</w:t>
            </w:r>
          </w:p>
        </w:tc>
        <w:tc>
          <w:tcPr>
            <w:tcW w:w="731" w:type="dxa"/>
            <w:tcBorders>
              <w:top w:val="nil"/>
              <w:left w:val="nil"/>
              <w:bottom w:val="single" w:color="auto" w:sz="4" w:space="0"/>
              <w:right w:val="single" w:color="auto" w:sz="4" w:space="0"/>
            </w:tcBorders>
            <w:noWrap/>
            <w:vAlign w:val="center"/>
          </w:tcPr>
          <w:p w14:paraId="425B0E2E">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5FC618B4">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78E2A46A">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609291CA">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050FBBC3">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37641A6A">
            <w:pPr>
              <w:jc w:val="center"/>
              <w:rPr>
                <w:color w:val="auto"/>
              </w:rPr>
            </w:pPr>
          </w:p>
        </w:tc>
      </w:tr>
      <w:tr w14:paraId="0F746B4F">
        <w:tblPrEx>
          <w:tblCellMar>
            <w:top w:w="0" w:type="dxa"/>
            <w:left w:w="28" w:type="dxa"/>
            <w:bottom w:w="0" w:type="dxa"/>
            <w:right w:w="28" w:type="dxa"/>
          </w:tblCellMar>
        </w:tblPrEx>
        <w:trPr>
          <w:trHeight w:val="1569" w:hRule="atLeast"/>
        </w:trPr>
        <w:tc>
          <w:tcPr>
            <w:tcW w:w="607" w:type="dxa"/>
            <w:tcBorders>
              <w:top w:val="nil"/>
              <w:left w:val="single" w:color="auto" w:sz="4" w:space="0"/>
              <w:bottom w:val="single" w:color="auto" w:sz="4" w:space="0"/>
              <w:right w:val="single" w:color="auto" w:sz="4" w:space="0"/>
            </w:tcBorders>
            <w:noWrap/>
            <w:vAlign w:val="center"/>
          </w:tcPr>
          <w:p w14:paraId="089B3764">
            <w:pPr>
              <w:jc w:val="center"/>
              <w:rPr>
                <w:rFonts w:ascii="宋体" w:hAnsi="宋体" w:eastAsia="宋体" w:cs="宋体"/>
                <w:color w:val="auto"/>
                <w:sz w:val="24"/>
                <w:szCs w:val="24"/>
              </w:rPr>
            </w:pPr>
            <w:r>
              <w:rPr>
                <w:rFonts w:hint="eastAsia" w:ascii="宋体" w:hAnsi="宋体" w:eastAsia="宋体" w:cs="宋体"/>
                <w:color w:val="auto"/>
                <w:sz w:val="24"/>
                <w:szCs w:val="24"/>
              </w:rPr>
              <w:t>7</w:t>
            </w:r>
          </w:p>
        </w:tc>
        <w:tc>
          <w:tcPr>
            <w:tcW w:w="1275" w:type="dxa"/>
            <w:tcBorders>
              <w:top w:val="nil"/>
              <w:left w:val="single" w:color="auto" w:sz="4" w:space="0"/>
              <w:bottom w:val="single" w:color="auto" w:sz="4" w:space="0"/>
              <w:right w:val="single" w:color="auto" w:sz="4" w:space="0"/>
            </w:tcBorders>
            <w:noWrap/>
            <w:vAlign w:val="center"/>
          </w:tcPr>
          <w:p w14:paraId="605677B7">
            <w:pPr>
              <w:widowControl/>
              <w:jc w:val="both"/>
              <w:textAlignment w:val="center"/>
              <w:rPr>
                <w:color w:val="auto"/>
                <w:sz w:val="21"/>
                <w:szCs w:val="21"/>
              </w:rPr>
            </w:pPr>
            <w:r>
              <w:rPr>
                <w:rFonts w:hint="eastAsia"/>
                <w:color w:val="auto"/>
                <w:sz w:val="21"/>
                <w:szCs w:val="21"/>
              </w:rPr>
              <w:t>乒乓球网</w:t>
            </w:r>
          </w:p>
          <w:p w14:paraId="4931C90E">
            <w:pPr>
              <w:widowControl/>
              <w:jc w:val="left"/>
              <w:textAlignment w:val="center"/>
              <w:rPr>
                <w:rFonts w:ascii="宋体" w:hAnsi="宋体" w:eastAsia="宋体" w:cs="宋体"/>
                <w:color w:val="auto"/>
                <w:sz w:val="21"/>
                <w:szCs w:val="21"/>
                <w:lang w:bidi="ar"/>
              </w:rPr>
            </w:pPr>
            <w:r>
              <w:rPr>
                <w:rFonts w:hint="eastAsia"/>
                <w:color w:val="auto"/>
                <w:sz w:val="21"/>
                <w:szCs w:val="21"/>
              </w:rPr>
              <w:t>网架</w:t>
            </w:r>
          </w:p>
        </w:tc>
        <w:tc>
          <w:tcPr>
            <w:tcW w:w="6315" w:type="dxa"/>
            <w:tcBorders>
              <w:top w:val="nil"/>
              <w:left w:val="nil"/>
              <w:bottom w:val="single" w:color="auto" w:sz="4" w:space="0"/>
              <w:right w:val="single" w:color="auto" w:sz="4" w:space="0"/>
            </w:tcBorders>
            <w:noWrap/>
            <w:vAlign w:val="center"/>
          </w:tcPr>
          <w:p w14:paraId="3C7078E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1.配置网：410网.网尺装台方式：螺旋式。</w:t>
            </w:r>
          </w:p>
          <w:p w14:paraId="1CDE957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▲2.离台高度：152.5（±3mm）。</w:t>
            </w:r>
          </w:p>
          <w:p w14:paraId="0441C56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3.装网方式：内置。</w:t>
            </w:r>
          </w:p>
          <w:p w14:paraId="78A1C95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▲4.网柱高度：152.5（士2mm）。</w:t>
            </w:r>
          </w:p>
          <w:p w14:paraId="49890E6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5.夹紧强度：&gt;18N。</w:t>
            </w:r>
          </w:p>
        </w:tc>
        <w:tc>
          <w:tcPr>
            <w:tcW w:w="570" w:type="dxa"/>
            <w:tcBorders>
              <w:top w:val="nil"/>
              <w:left w:val="nil"/>
              <w:bottom w:val="single" w:color="auto" w:sz="4" w:space="0"/>
              <w:right w:val="single" w:color="auto" w:sz="4" w:space="0"/>
            </w:tcBorders>
            <w:vAlign w:val="center"/>
          </w:tcPr>
          <w:p w14:paraId="032A3963">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张</w:t>
            </w:r>
          </w:p>
        </w:tc>
        <w:tc>
          <w:tcPr>
            <w:tcW w:w="448" w:type="dxa"/>
            <w:tcBorders>
              <w:top w:val="nil"/>
              <w:left w:val="nil"/>
              <w:bottom w:val="single" w:color="auto" w:sz="4" w:space="0"/>
              <w:right w:val="single" w:color="auto" w:sz="4" w:space="0"/>
            </w:tcBorders>
            <w:vAlign w:val="center"/>
          </w:tcPr>
          <w:p w14:paraId="31B0E90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20</w:t>
            </w:r>
          </w:p>
        </w:tc>
        <w:tc>
          <w:tcPr>
            <w:tcW w:w="731" w:type="dxa"/>
            <w:tcBorders>
              <w:top w:val="nil"/>
              <w:left w:val="nil"/>
              <w:bottom w:val="single" w:color="auto" w:sz="4" w:space="0"/>
              <w:right w:val="single" w:color="auto" w:sz="4" w:space="0"/>
            </w:tcBorders>
            <w:noWrap/>
            <w:vAlign w:val="center"/>
          </w:tcPr>
          <w:p w14:paraId="0CF03D47">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671A9D8B">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7518B29A">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27CC53FD">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6A23DCEB">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5553A999">
            <w:pPr>
              <w:jc w:val="center"/>
              <w:rPr>
                <w:color w:val="auto"/>
              </w:rPr>
            </w:pPr>
          </w:p>
        </w:tc>
      </w:tr>
      <w:tr w14:paraId="4579F68D">
        <w:tblPrEx>
          <w:tblCellMar>
            <w:top w:w="0" w:type="dxa"/>
            <w:left w:w="28" w:type="dxa"/>
            <w:bottom w:w="0" w:type="dxa"/>
            <w:right w:w="28" w:type="dxa"/>
          </w:tblCellMar>
        </w:tblPrEx>
        <w:trPr>
          <w:trHeight w:val="1257" w:hRule="atLeast"/>
        </w:trPr>
        <w:tc>
          <w:tcPr>
            <w:tcW w:w="607" w:type="dxa"/>
            <w:tcBorders>
              <w:top w:val="nil"/>
              <w:left w:val="single" w:color="auto" w:sz="4" w:space="0"/>
              <w:bottom w:val="single" w:color="auto" w:sz="4" w:space="0"/>
              <w:right w:val="single" w:color="auto" w:sz="4" w:space="0"/>
            </w:tcBorders>
            <w:noWrap/>
            <w:vAlign w:val="center"/>
          </w:tcPr>
          <w:p w14:paraId="25D5EF2C">
            <w:pPr>
              <w:jc w:val="center"/>
              <w:rPr>
                <w:rFonts w:ascii="宋体" w:hAnsi="宋体" w:eastAsia="宋体" w:cs="宋体"/>
                <w:color w:val="auto"/>
                <w:sz w:val="24"/>
                <w:szCs w:val="24"/>
              </w:rPr>
            </w:pPr>
            <w:r>
              <w:rPr>
                <w:rFonts w:hint="eastAsia" w:ascii="宋体" w:hAnsi="宋体" w:eastAsia="宋体" w:cs="宋体"/>
                <w:color w:val="auto"/>
                <w:sz w:val="24"/>
                <w:szCs w:val="24"/>
              </w:rPr>
              <w:t>8</w:t>
            </w:r>
          </w:p>
        </w:tc>
        <w:tc>
          <w:tcPr>
            <w:tcW w:w="1275" w:type="dxa"/>
            <w:tcBorders>
              <w:top w:val="nil"/>
              <w:left w:val="single" w:color="auto" w:sz="4" w:space="0"/>
              <w:bottom w:val="single" w:color="auto" w:sz="4" w:space="0"/>
              <w:right w:val="single" w:color="auto" w:sz="4" w:space="0"/>
            </w:tcBorders>
            <w:noWrap/>
            <w:vAlign w:val="center"/>
          </w:tcPr>
          <w:p w14:paraId="443FF03B">
            <w:pPr>
              <w:widowControl/>
              <w:jc w:val="left"/>
              <w:textAlignment w:val="center"/>
              <w:rPr>
                <w:rFonts w:ascii="宋体" w:hAnsi="宋体" w:eastAsia="宋体" w:cs="宋体"/>
                <w:color w:val="auto"/>
                <w:sz w:val="21"/>
                <w:szCs w:val="21"/>
                <w:lang w:bidi="ar"/>
              </w:rPr>
            </w:pPr>
            <w:r>
              <w:rPr>
                <w:rFonts w:hint="eastAsia"/>
                <w:color w:val="auto"/>
                <w:sz w:val="21"/>
                <w:szCs w:val="21"/>
              </w:rPr>
              <w:t>跆拳道地垫</w:t>
            </w:r>
          </w:p>
        </w:tc>
        <w:tc>
          <w:tcPr>
            <w:tcW w:w="6315" w:type="dxa"/>
            <w:tcBorders>
              <w:top w:val="nil"/>
              <w:left w:val="nil"/>
              <w:bottom w:val="single" w:color="auto" w:sz="4" w:space="0"/>
              <w:right w:val="single" w:color="auto" w:sz="4" w:space="0"/>
            </w:tcBorders>
            <w:noWrap/>
            <w:vAlign w:val="center"/>
          </w:tcPr>
          <w:p w14:paraId="7B93804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▲1.材质：国产EVA制，环保无味。</w:t>
            </w:r>
          </w:p>
          <w:p w14:paraId="21E7376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2.花纹：五道纹。</w:t>
            </w:r>
          </w:p>
          <w:p w14:paraId="5C9C670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3.颜色：红蓝.黄蓝.黑黄。</w:t>
            </w:r>
          </w:p>
          <w:p w14:paraId="5F64FC7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▲4.规格：≥100cm*100cm*2.5cm。</w:t>
            </w:r>
          </w:p>
        </w:tc>
        <w:tc>
          <w:tcPr>
            <w:tcW w:w="570" w:type="dxa"/>
            <w:tcBorders>
              <w:top w:val="nil"/>
              <w:left w:val="nil"/>
              <w:bottom w:val="single" w:color="auto" w:sz="4" w:space="0"/>
              <w:right w:val="single" w:color="auto" w:sz="4" w:space="0"/>
            </w:tcBorders>
            <w:vAlign w:val="center"/>
          </w:tcPr>
          <w:p w14:paraId="1AADD6B8">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张</w:t>
            </w:r>
          </w:p>
        </w:tc>
        <w:tc>
          <w:tcPr>
            <w:tcW w:w="448" w:type="dxa"/>
            <w:tcBorders>
              <w:top w:val="nil"/>
              <w:left w:val="nil"/>
              <w:bottom w:val="single" w:color="auto" w:sz="4" w:space="0"/>
              <w:right w:val="single" w:color="auto" w:sz="4" w:space="0"/>
            </w:tcBorders>
            <w:vAlign w:val="center"/>
          </w:tcPr>
          <w:p w14:paraId="54930337">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140</w:t>
            </w:r>
          </w:p>
        </w:tc>
        <w:tc>
          <w:tcPr>
            <w:tcW w:w="731" w:type="dxa"/>
            <w:tcBorders>
              <w:top w:val="nil"/>
              <w:left w:val="nil"/>
              <w:bottom w:val="single" w:color="auto" w:sz="4" w:space="0"/>
              <w:right w:val="single" w:color="auto" w:sz="4" w:space="0"/>
            </w:tcBorders>
            <w:noWrap/>
            <w:vAlign w:val="center"/>
          </w:tcPr>
          <w:p w14:paraId="47051993">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35AE00B6">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16CC752E">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06F8D7BB">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42A2D64D">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25AB7143">
            <w:pPr>
              <w:jc w:val="center"/>
              <w:rPr>
                <w:color w:val="auto"/>
              </w:rPr>
            </w:pPr>
          </w:p>
        </w:tc>
      </w:tr>
      <w:tr w14:paraId="746A3149">
        <w:tblPrEx>
          <w:tblCellMar>
            <w:top w:w="0" w:type="dxa"/>
            <w:left w:w="28" w:type="dxa"/>
            <w:bottom w:w="0" w:type="dxa"/>
            <w:right w:w="28" w:type="dxa"/>
          </w:tblCellMar>
        </w:tblPrEx>
        <w:trPr>
          <w:trHeight w:val="945" w:hRule="atLeast"/>
        </w:trPr>
        <w:tc>
          <w:tcPr>
            <w:tcW w:w="607" w:type="dxa"/>
            <w:tcBorders>
              <w:top w:val="nil"/>
              <w:left w:val="single" w:color="auto" w:sz="4" w:space="0"/>
              <w:bottom w:val="single" w:color="auto" w:sz="4" w:space="0"/>
              <w:right w:val="single" w:color="auto" w:sz="4" w:space="0"/>
            </w:tcBorders>
            <w:noWrap/>
            <w:vAlign w:val="center"/>
          </w:tcPr>
          <w:p w14:paraId="01FEBA07">
            <w:pPr>
              <w:jc w:val="center"/>
              <w:rPr>
                <w:rFonts w:ascii="宋体" w:hAnsi="宋体" w:eastAsia="宋体" w:cs="宋体"/>
                <w:color w:val="auto"/>
                <w:sz w:val="24"/>
                <w:szCs w:val="24"/>
              </w:rPr>
            </w:pPr>
            <w:r>
              <w:rPr>
                <w:rFonts w:hint="eastAsia" w:ascii="宋体" w:hAnsi="宋体" w:eastAsia="宋体" w:cs="宋体"/>
                <w:color w:val="auto"/>
                <w:sz w:val="24"/>
                <w:szCs w:val="24"/>
              </w:rPr>
              <w:t>9</w:t>
            </w:r>
          </w:p>
        </w:tc>
        <w:tc>
          <w:tcPr>
            <w:tcW w:w="1275" w:type="dxa"/>
            <w:tcBorders>
              <w:top w:val="nil"/>
              <w:left w:val="single" w:color="auto" w:sz="4" w:space="0"/>
              <w:bottom w:val="single" w:color="auto" w:sz="4" w:space="0"/>
              <w:right w:val="single" w:color="auto" w:sz="4" w:space="0"/>
            </w:tcBorders>
            <w:noWrap/>
            <w:vAlign w:val="center"/>
          </w:tcPr>
          <w:p w14:paraId="00DDE81B">
            <w:pPr>
              <w:widowControl/>
              <w:jc w:val="left"/>
              <w:textAlignment w:val="center"/>
              <w:rPr>
                <w:rFonts w:ascii="宋体" w:hAnsi="宋体" w:eastAsia="宋体" w:cs="宋体"/>
                <w:color w:val="auto"/>
                <w:sz w:val="21"/>
                <w:szCs w:val="21"/>
                <w:lang w:bidi="ar"/>
              </w:rPr>
            </w:pPr>
            <w:r>
              <w:rPr>
                <w:rFonts w:hint="eastAsia"/>
                <w:color w:val="auto"/>
                <w:sz w:val="21"/>
                <w:szCs w:val="21"/>
              </w:rPr>
              <w:t>ABS全塑储物柜</w:t>
            </w:r>
          </w:p>
        </w:tc>
        <w:tc>
          <w:tcPr>
            <w:tcW w:w="6315" w:type="dxa"/>
            <w:tcBorders>
              <w:top w:val="nil"/>
              <w:left w:val="nil"/>
              <w:bottom w:val="single" w:color="auto" w:sz="4" w:space="0"/>
              <w:right w:val="single" w:color="auto" w:sz="4" w:space="0"/>
            </w:tcBorders>
            <w:noWrap/>
            <w:vAlign w:val="center"/>
          </w:tcPr>
          <w:p w14:paraId="1E41915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▲1.每组9个门。</w:t>
            </w:r>
          </w:p>
          <w:p w14:paraId="5E82537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▲2.单门尺寸：≥310mm*388mm*436mm。</w:t>
            </w:r>
          </w:p>
        </w:tc>
        <w:tc>
          <w:tcPr>
            <w:tcW w:w="570" w:type="dxa"/>
            <w:tcBorders>
              <w:top w:val="nil"/>
              <w:left w:val="nil"/>
              <w:bottom w:val="single" w:color="auto" w:sz="4" w:space="0"/>
              <w:right w:val="single" w:color="auto" w:sz="4" w:space="0"/>
            </w:tcBorders>
            <w:vAlign w:val="center"/>
          </w:tcPr>
          <w:p w14:paraId="7C4768CC">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组</w:t>
            </w:r>
          </w:p>
        </w:tc>
        <w:tc>
          <w:tcPr>
            <w:tcW w:w="448" w:type="dxa"/>
            <w:tcBorders>
              <w:top w:val="nil"/>
              <w:left w:val="nil"/>
              <w:bottom w:val="single" w:color="auto" w:sz="4" w:space="0"/>
              <w:right w:val="single" w:color="auto" w:sz="4" w:space="0"/>
            </w:tcBorders>
            <w:vAlign w:val="center"/>
          </w:tcPr>
          <w:p w14:paraId="14BB7CA1">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5</w:t>
            </w:r>
          </w:p>
        </w:tc>
        <w:tc>
          <w:tcPr>
            <w:tcW w:w="731" w:type="dxa"/>
            <w:tcBorders>
              <w:top w:val="nil"/>
              <w:left w:val="nil"/>
              <w:bottom w:val="single" w:color="auto" w:sz="4" w:space="0"/>
              <w:right w:val="single" w:color="auto" w:sz="4" w:space="0"/>
            </w:tcBorders>
            <w:noWrap/>
            <w:vAlign w:val="center"/>
          </w:tcPr>
          <w:p w14:paraId="28F44CDA">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237DDE3A">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37359140">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717E21B2">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7AA01AF7">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1F8E4255">
            <w:pPr>
              <w:jc w:val="center"/>
              <w:rPr>
                <w:color w:val="auto"/>
              </w:rPr>
            </w:pPr>
          </w:p>
        </w:tc>
      </w:tr>
      <w:tr w14:paraId="17DA5C11">
        <w:tblPrEx>
          <w:tblCellMar>
            <w:top w:w="0" w:type="dxa"/>
            <w:left w:w="28" w:type="dxa"/>
            <w:bottom w:w="0" w:type="dxa"/>
            <w:right w:w="28" w:type="dxa"/>
          </w:tblCellMar>
        </w:tblPrEx>
        <w:trPr>
          <w:trHeight w:val="890" w:hRule="atLeast"/>
        </w:trPr>
        <w:tc>
          <w:tcPr>
            <w:tcW w:w="607" w:type="dxa"/>
            <w:tcBorders>
              <w:top w:val="nil"/>
              <w:left w:val="single" w:color="auto" w:sz="4" w:space="0"/>
              <w:bottom w:val="single" w:color="auto" w:sz="4" w:space="0"/>
              <w:right w:val="single" w:color="auto" w:sz="4" w:space="0"/>
            </w:tcBorders>
            <w:noWrap/>
            <w:vAlign w:val="center"/>
          </w:tcPr>
          <w:p w14:paraId="1A52C5AE">
            <w:pPr>
              <w:jc w:val="center"/>
              <w:rPr>
                <w:rFonts w:ascii="宋体" w:hAnsi="宋体" w:eastAsia="宋体" w:cs="宋体"/>
                <w:color w:val="auto"/>
                <w:sz w:val="24"/>
                <w:szCs w:val="24"/>
              </w:rPr>
            </w:pPr>
            <w:r>
              <w:rPr>
                <w:rFonts w:hint="eastAsia" w:ascii="宋体" w:hAnsi="宋体" w:eastAsia="宋体" w:cs="宋体"/>
                <w:color w:val="auto"/>
                <w:sz w:val="24"/>
                <w:szCs w:val="24"/>
              </w:rPr>
              <w:t>10</w:t>
            </w:r>
          </w:p>
        </w:tc>
        <w:tc>
          <w:tcPr>
            <w:tcW w:w="1275" w:type="dxa"/>
            <w:tcBorders>
              <w:top w:val="nil"/>
              <w:left w:val="single" w:color="auto" w:sz="4" w:space="0"/>
              <w:bottom w:val="single" w:color="auto" w:sz="4" w:space="0"/>
              <w:right w:val="single" w:color="auto" w:sz="4" w:space="0"/>
            </w:tcBorders>
            <w:noWrap/>
            <w:vAlign w:val="center"/>
          </w:tcPr>
          <w:p w14:paraId="4904DF90">
            <w:pPr>
              <w:widowControl/>
              <w:jc w:val="left"/>
              <w:textAlignment w:val="center"/>
              <w:rPr>
                <w:rFonts w:ascii="宋体" w:hAnsi="宋体" w:eastAsia="宋体" w:cs="宋体"/>
                <w:color w:val="auto"/>
                <w:sz w:val="21"/>
                <w:szCs w:val="21"/>
                <w:lang w:bidi="ar"/>
              </w:rPr>
            </w:pPr>
            <w:r>
              <w:rPr>
                <w:rFonts w:hint="eastAsia"/>
                <w:color w:val="auto"/>
                <w:sz w:val="21"/>
                <w:szCs w:val="21"/>
              </w:rPr>
              <w:t>五层鞋架</w:t>
            </w:r>
          </w:p>
        </w:tc>
        <w:tc>
          <w:tcPr>
            <w:tcW w:w="6315" w:type="dxa"/>
            <w:tcBorders>
              <w:top w:val="nil"/>
              <w:left w:val="nil"/>
              <w:bottom w:val="single" w:color="auto" w:sz="4" w:space="0"/>
              <w:right w:val="single" w:color="auto" w:sz="4" w:space="0"/>
            </w:tcBorders>
            <w:noWrap/>
            <w:vAlign w:val="center"/>
          </w:tcPr>
          <w:p w14:paraId="5500780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1.材质：密度板</w:t>
            </w:r>
          </w:p>
          <w:p w14:paraId="5153A5D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▲2.规格：≥100cm*23cm*72cm</w:t>
            </w:r>
          </w:p>
        </w:tc>
        <w:tc>
          <w:tcPr>
            <w:tcW w:w="570" w:type="dxa"/>
            <w:tcBorders>
              <w:top w:val="nil"/>
              <w:left w:val="nil"/>
              <w:bottom w:val="single" w:color="auto" w:sz="4" w:space="0"/>
              <w:right w:val="single" w:color="auto" w:sz="4" w:space="0"/>
            </w:tcBorders>
            <w:vAlign w:val="center"/>
          </w:tcPr>
          <w:p w14:paraId="3050228D">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组</w:t>
            </w:r>
          </w:p>
        </w:tc>
        <w:tc>
          <w:tcPr>
            <w:tcW w:w="448" w:type="dxa"/>
            <w:tcBorders>
              <w:top w:val="nil"/>
              <w:left w:val="nil"/>
              <w:bottom w:val="single" w:color="auto" w:sz="4" w:space="0"/>
              <w:right w:val="single" w:color="auto" w:sz="4" w:space="0"/>
            </w:tcBorders>
            <w:vAlign w:val="center"/>
          </w:tcPr>
          <w:p w14:paraId="35AAAC3D">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3</w:t>
            </w:r>
          </w:p>
        </w:tc>
        <w:tc>
          <w:tcPr>
            <w:tcW w:w="731" w:type="dxa"/>
            <w:tcBorders>
              <w:top w:val="nil"/>
              <w:left w:val="nil"/>
              <w:bottom w:val="single" w:color="auto" w:sz="4" w:space="0"/>
              <w:right w:val="single" w:color="auto" w:sz="4" w:space="0"/>
            </w:tcBorders>
            <w:noWrap/>
            <w:vAlign w:val="center"/>
          </w:tcPr>
          <w:p w14:paraId="64F72995">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30A5B6EA">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3E5B865D">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23AA12BE">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70A39EE1">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2C35F33D">
            <w:pPr>
              <w:jc w:val="center"/>
              <w:rPr>
                <w:color w:val="auto"/>
              </w:rPr>
            </w:pPr>
          </w:p>
        </w:tc>
      </w:tr>
      <w:tr w14:paraId="77DE7378">
        <w:tblPrEx>
          <w:tblCellMar>
            <w:top w:w="0" w:type="dxa"/>
            <w:left w:w="28" w:type="dxa"/>
            <w:bottom w:w="0" w:type="dxa"/>
            <w:right w:w="28" w:type="dxa"/>
          </w:tblCellMar>
        </w:tblPrEx>
        <w:trPr>
          <w:trHeight w:val="945" w:hRule="atLeast"/>
        </w:trPr>
        <w:tc>
          <w:tcPr>
            <w:tcW w:w="607" w:type="dxa"/>
            <w:tcBorders>
              <w:top w:val="nil"/>
              <w:left w:val="single" w:color="auto" w:sz="4" w:space="0"/>
              <w:bottom w:val="single" w:color="auto" w:sz="4" w:space="0"/>
              <w:right w:val="single" w:color="auto" w:sz="4" w:space="0"/>
            </w:tcBorders>
            <w:noWrap/>
            <w:vAlign w:val="center"/>
          </w:tcPr>
          <w:p w14:paraId="1440B57E">
            <w:pPr>
              <w:jc w:val="center"/>
              <w:rPr>
                <w:rFonts w:ascii="宋体" w:hAnsi="宋体" w:eastAsia="宋体" w:cs="宋体"/>
                <w:color w:val="auto"/>
                <w:sz w:val="24"/>
                <w:szCs w:val="24"/>
              </w:rPr>
            </w:pPr>
            <w:r>
              <w:rPr>
                <w:rFonts w:hint="eastAsia" w:ascii="宋体" w:hAnsi="宋体" w:eastAsia="宋体" w:cs="宋体"/>
                <w:color w:val="auto"/>
                <w:sz w:val="24"/>
                <w:szCs w:val="24"/>
              </w:rPr>
              <w:t>11</w:t>
            </w:r>
          </w:p>
        </w:tc>
        <w:tc>
          <w:tcPr>
            <w:tcW w:w="1275" w:type="dxa"/>
            <w:tcBorders>
              <w:top w:val="nil"/>
              <w:left w:val="single" w:color="auto" w:sz="4" w:space="0"/>
              <w:bottom w:val="single" w:color="auto" w:sz="4" w:space="0"/>
              <w:right w:val="single" w:color="auto" w:sz="4" w:space="0"/>
            </w:tcBorders>
            <w:noWrap/>
            <w:vAlign w:val="center"/>
          </w:tcPr>
          <w:p w14:paraId="1DD15F30">
            <w:pPr>
              <w:widowControl/>
              <w:jc w:val="left"/>
              <w:textAlignment w:val="center"/>
              <w:rPr>
                <w:rFonts w:ascii="宋体" w:hAnsi="宋体" w:eastAsia="宋体" w:cs="宋体"/>
                <w:color w:val="auto"/>
                <w:sz w:val="21"/>
                <w:szCs w:val="21"/>
                <w:lang w:bidi="ar"/>
              </w:rPr>
            </w:pPr>
            <w:r>
              <w:rPr>
                <w:rFonts w:hint="eastAsia"/>
                <w:color w:val="auto"/>
                <w:sz w:val="21"/>
                <w:szCs w:val="21"/>
              </w:rPr>
              <w:t>手靶</w:t>
            </w:r>
          </w:p>
        </w:tc>
        <w:tc>
          <w:tcPr>
            <w:tcW w:w="6315" w:type="dxa"/>
            <w:tcBorders>
              <w:top w:val="nil"/>
              <w:left w:val="nil"/>
              <w:bottom w:val="single" w:color="auto" w:sz="4" w:space="0"/>
              <w:right w:val="single" w:color="auto" w:sz="4" w:space="0"/>
            </w:tcBorders>
            <w:noWrap/>
            <w:vAlign w:val="center"/>
          </w:tcPr>
          <w:p w14:paraId="3279931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1.颜色：红，蓝，金，白。</w:t>
            </w:r>
          </w:p>
          <w:p w14:paraId="000D00B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▲2.材质：环保耐撕裂PU+EVA多层模压成型内胆，弧形设计，掌心有突兀，着力点强。</w:t>
            </w:r>
          </w:p>
        </w:tc>
        <w:tc>
          <w:tcPr>
            <w:tcW w:w="570" w:type="dxa"/>
            <w:tcBorders>
              <w:top w:val="nil"/>
              <w:left w:val="nil"/>
              <w:bottom w:val="single" w:color="auto" w:sz="4" w:space="0"/>
              <w:right w:val="single" w:color="auto" w:sz="4" w:space="0"/>
            </w:tcBorders>
            <w:vAlign w:val="center"/>
          </w:tcPr>
          <w:p w14:paraId="6960752A">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个</w:t>
            </w:r>
          </w:p>
        </w:tc>
        <w:tc>
          <w:tcPr>
            <w:tcW w:w="448" w:type="dxa"/>
            <w:tcBorders>
              <w:top w:val="nil"/>
              <w:left w:val="nil"/>
              <w:bottom w:val="single" w:color="auto" w:sz="4" w:space="0"/>
              <w:right w:val="single" w:color="auto" w:sz="4" w:space="0"/>
            </w:tcBorders>
            <w:vAlign w:val="center"/>
          </w:tcPr>
          <w:p w14:paraId="6E700E53">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30</w:t>
            </w:r>
          </w:p>
        </w:tc>
        <w:tc>
          <w:tcPr>
            <w:tcW w:w="731" w:type="dxa"/>
            <w:tcBorders>
              <w:top w:val="nil"/>
              <w:left w:val="nil"/>
              <w:bottom w:val="single" w:color="auto" w:sz="4" w:space="0"/>
              <w:right w:val="single" w:color="auto" w:sz="4" w:space="0"/>
            </w:tcBorders>
            <w:noWrap/>
            <w:vAlign w:val="center"/>
          </w:tcPr>
          <w:p w14:paraId="1DF29342">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6BE59249">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464166F8">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0A8D0425">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72101556">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456D8C33">
            <w:pPr>
              <w:jc w:val="center"/>
              <w:rPr>
                <w:color w:val="auto"/>
              </w:rPr>
            </w:pPr>
          </w:p>
        </w:tc>
      </w:tr>
      <w:tr w14:paraId="6BD26948">
        <w:tblPrEx>
          <w:tblCellMar>
            <w:top w:w="0" w:type="dxa"/>
            <w:left w:w="28" w:type="dxa"/>
            <w:bottom w:w="0" w:type="dxa"/>
            <w:right w:w="28" w:type="dxa"/>
          </w:tblCellMar>
        </w:tblPrEx>
        <w:trPr>
          <w:trHeight w:val="1569" w:hRule="atLeast"/>
        </w:trPr>
        <w:tc>
          <w:tcPr>
            <w:tcW w:w="607" w:type="dxa"/>
            <w:tcBorders>
              <w:top w:val="nil"/>
              <w:left w:val="single" w:color="auto" w:sz="4" w:space="0"/>
              <w:bottom w:val="single" w:color="auto" w:sz="4" w:space="0"/>
              <w:right w:val="single" w:color="auto" w:sz="4" w:space="0"/>
            </w:tcBorders>
            <w:noWrap/>
            <w:vAlign w:val="center"/>
          </w:tcPr>
          <w:p w14:paraId="5F5C126F">
            <w:pPr>
              <w:jc w:val="center"/>
              <w:rPr>
                <w:rFonts w:ascii="宋体" w:hAnsi="宋体" w:eastAsia="宋体" w:cs="宋体"/>
                <w:color w:val="auto"/>
                <w:sz w:val="24"/>
                <w:szCs w:val="24"/>
              </w:rPr>
            </w:pPr>
            <w:r>
              <w:rPr>
                <w:rFonts w:hint="eastAsia" w:ascii="宋体" w:hAnsi="宋体" w:eastAsia="宋体" w:cs="宋体"/>
                <w:color w:val="auto"/>
                <w:sz w:val="24"/>
                <w:szCs w:val="24"/>
              </w:rPr>
              <w:t>12</w:t>
            </w:r>
          </w:p>
        </w:tc>
        <w:tc>
          <w:tcPr>
            <w:tcW w:w="1275" w:type="dxa"/>
            <w:tcBorders>
              <w:top w:val="nil"/>
              <w:left w:val="single" w:color="auto" w:sz="4" w:space="0"/>
              <w:bottom w:val="single" w:color="auto" w:sz="4" w:space="0"/>
              <w:right w:val="single" w:color="auto" w:sz="4" w:space="0"/>
            </w:tcBorders>
            <w:noWrap/>
            <w:vAlign w:val="center"/>
          </w:tcPr>
          <w:p w14:paraId="5D9CAB54">
            <w:pPr>
              <w:widowControl/>
              <w:jc w:val="left"/>
              <w:textAlignment w:val="center"/>
              <w:rPr>
                <w:rFonts w:ascii="宋体" w:hAnsi="宋体" w:eastAsia="宋体" w:cs="宋体"/>
                <w:color w:val="auto"/>
                <w:sz w:val="21"/>
                <w:szCs w:val="21"/>
                <w:lang w:bidi="ar"/>
              </w:rPr>
            </w:pPr>
            <w:r>
              <w:rPr>
                <w:rFonts w:hint="eastAsia"/>
                <w:color w:val="auto"/>
                <w:sz w:val="21"/>
                <w:szCs w:val="21"/>
              </w:rPr>
              <w:t>脚靶</w:t>
            </w:r>
          </w:p>
        </w:tc>
        <w:tc>
          <w:tcPr>
            <w:tcW w:w="6315" w:type="dxa"/>
            <w:tcBorders>
              <w:top w:val="nil"/>
              <w:left w:val="nil"/>
              <w:bottom w:val="single" w:color="auto" w:sz="4" w:space="0"/>
              <w:right w:val="single" w:color="auto" w:sz="4" w:space="0"/>
            </w:tcBorders>
            <w:noWrap/>
            <w:vAlign w:val="center"/>
          </w:tcPr>
          <w:p w14:paraId="29BD692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1.规格：≥38cm*20cm*9cm。</w:t>
            </w:r>
          </w:p>
          <w:p w14:paraId="61C1956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2.颜色：红/黑。</w:t>
            </w:r>
          </w:p>
          <w:p w14:paraId="799EAE9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▲3.材质：耐撕裂环保PU，内胆高压海绵+EVA多层复合模板，弧形设计，更方便腿部动作的训练。</w:t>
            </w:r>
          </w:p>
        </w:tc>
        <w:tc>
          <w:tcPr>
            <w:tcW w:w="570" w:type="dxa"/>
            <w:tcBorders>
              <w:top w:val="nil"/>
              <w:left w:val="nil"/>
              <w:bottom w:val="single" w:color="auto" w:sz="4" w:space="0"/>
              <w:right w:val="single" w:color="auto" w:sz="4" w:space="0"/>
            </w:tcBorders>
            <w:vAlign w:val="center"/>
          </w:tcPr>
          <w:p w14:paraId="22D2085B">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个</w:t>
            </w:r>
          </w:p>
        </w:tc>
        <w:tc>
          <w:tcPr>
            <w:tcW w:w="448" w:type="dxa"/>
            <w:tcBorders>
              <w:top w:val="nil"/>
              <w:left w:val="nil"/>
              <w:bottom w:val="single" w:color="auto" w:sz="4" w:space="0"/>
              <w:right w:val="single" w:color="auto" w:sz="4" w:space="0"/>
            </w:tcBorders>
            <w:vAlign w:val="center"/>
          </w:tcPr>
          <w:p w14:paraId="659EB98D">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w:t>
            </w:r>
          </w:p>
        </w:tc>
        <w:tc>
          <w:tcPr>
            <w:tcW w:w="731" w:type="dxa"/>
            <w:tcBorders>
              <w:top w:val="nil"/>
              <w:left w:val="nil"/>
              <w:bottom w:val="single" w:color="auto" w:sz="4" w:space="0"/>
              <w:right w:val="single" w:color="auto" w:sz="4" w:space="0"/>
            </w:tcBorders>
            <w:noWrap/>
            <w:vAlign w:val="center"/>
          </w:tcPr>
          <w:p w14:paraId="03D484E0">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19150934">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59EEA307">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14BB9D95">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7E89032C">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4AFFD0AC">
            <w:pPr>
              <w:jc w:val="center"/>
              <w:rPr>
                <w:color w:val="auto"/>
              </w:rPr>
            </w:pPr>
          </w:p>
        </w:tc>
      </w:tr>
      <w:tr w14:paraId="56881B60">
        <w:tblPrEx>
          <w:tblCellMar>
            <w:top w:w="0" w:type="dxa"/>
            <w:left w:w="28" w:type="dxa"/>
            <w:bottom w:w="0" w:type="dxa"/>
            <w:right w:w="28" w:type="dxa"/>
          </w:tblCellMar>
        </w:tblPrEx>
        <w:trPr>
          <w:trHeight w:val="90" w:hRule="atLeast"/>
        </w:trPr>
        <w:tc>
          <w:tcPr>
            <w:tcW w:w="607" w:type="dxa"/>
            <w:tcBorders>
              <w:top w:val="nil"/>
              <w:left w:val="single" w:color="auto" w:sz="4" w:space="0"/>
              <w:bottom w:val="single" w:color="auto" w:sz="4" w:space="0"/>
              <w:right w:val="single" w:color="auto" w:sz="4" w:space="0"/>
            </w:tcBorders>
            <w:noWrap/>
            <w:vAlign w:val="center"/>
          </w:tcPr>
          <w:p w14:paraId="7275CD11">
            <w:pPr>
              <w:jc w:val="center"/>
              <w:rPr>
                <w:rFonts w:ascii="宋体" w:hAnsi="宋体" w:eastAsia="宋体" w:cs="宋体"/>
                <w:color w:val="auto"/>
                <w:sz w:val="24"/>
                <w:szCs w:val="24"/>
              </w:rPr>
            </w:pPr>
            <w:r>
              <w:rPr>
                <w:rFonts w:hint="eastAsia" w:ascii="宋体" w:hAnsi="宋体" w:eastAsia="宋体" w:cs="宋体"/>
                <w:color w:val="auto"/>
                <w:sz w:val="24"/>
                <w:szCs w:val="24"/>
              </w:rPr>
              <w:t>13</w:t>
            </w:r>
          </w:p>
        </w:tc>
        <w:tc>
          <w:tcPr>
            <w:tcW w:w="1275" w:type="dxa"/>
            <w:tcBorders>
              <w:top w:val="nil"/>
              <w:left w:val="single" w:color="auto" w:sz="4" w:space="0"/>
              <w:bottom w:val="single" w:color="auto" w:sz="4" w:space="0"/>
              <w:right w:val="single" w:color="auto" w:sz="4" w:space="0"/>
            </w:tcBorders>
            <w:noWrap/>
            <w:vAlign w:val="center"/>
          </w:tcPr>
          <w:p w14:paraId="757BA3FE">
            <w:pPr>
              <w:widowControl/>
              <w:jc w:val="left"/>
              <w:textAlignment w:val="center"/>
              <w:rPr>
                <w:rFonts w:ascii="宋体" w:hAnsi="宋体" w:eastAsia="宋体" w:cs="宋体"/>
                <w:color w:val="auto"/>
                <w:sz w:val="21"/>
                <w:szCs w:val="21"/>
                <w:lang w:bidi="ar"/>
              </w:rPr>
            </w:pPr>
            <w:r>
              <w:rPr>
                <w:rFonts w:hint="eastAsia"/>
                <w:color w:val="auto"/>
                <w:sz w:val="21"/>
                <w:szCs w:val="21"/>
              </w:rPr>
              <w:t>护具</w:t>
            </w:r>
          </w:p>
        </w:tc>
        <w:tc>
          <w:tcPr>
            <w:tcW w:w="6315" w:type="dxa"/>
            <w:tcBorders>
              <w:top w:val="nil"/>
              <w:left w:val="nil"/>
              <w:bottom w:val="single" w:color="auto" w:sz="4" w:space="0"/>
              <w:right w:val="single" w:color="auto" w:sz="4" w:space="0"/>
            </w:tcBorders>
            <w:noWrap/>
            <w:vAlign w:val="center"/>
          </w:tcPr>
          <w:p w14:paraId="7AE46DF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▲1.护头：NBR弹性泡棉+PU涂层一次发泡成型,佩戴舒适,保护性能佳。</w:t>
            </w:r>
          </w:p>
          <w:p w14:paraId="5F6610B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▲2.护脚套：.环保弹力PU皮制，严格按照WTF专业设计。</w:t>
            </w:r>
          </w:p>
          <w:p w14:paraId="487D9EC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▲3.护手套：环保弹力PU皮制，严格按照WTF专业设计。</w:t>
            </w:r>
          </w:p>
          <w:p w14:paraId="68F5CD9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▲4.护胸：环保耐撕裂PU，双面设计，适用于比赛，带护肩，可有效保护肩部和后背，后背为系绳，方便耐用。根据WTF和人体工程学原理设计制造，通过不含有害物的检验。</w:t>
            </w:r>
          </w:p>
          <w:p w14:paraId="63F8B25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▲5.护裆：环保可拉伸耐撕裂PU，内芯为高回弹EVA+塑形内壳，腰部粘扣设计穿脱更方便，分为男女款，具有较好的支撑和保卫防护作用。</w:t>
            </w:r>
          </w:p>
          <w:p w14:paraId="136E3AE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▲6.护齿材质：进口环保EVA，颜色：透明。</w:t>
            </w:r>
          </w:p>
          <w:p w14:paraId="4D12078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▲7.护手绷带颜色：红/黑/黄/白，规格：≥250cm*5cm，100%纯棉。</w:t>
            </w:r>
          </w:p>
          <w:p w14:paraId="503E58E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▲8.护具包颜色：蓝色，材质：面料采用精密涂层牛津布。</w:t>
            </w:r>
          </w:p>
        </w:tc>
        <w:tc>
          <w:tcPr>
            <w:tcW w:w="570" w:type="dxa"/>
            <w:tcBorders>
              <w:top w:val="nil"/>
              <w:left w:val="nil"/>
              <w:bottom w:val="single" w:color="auto" w:sz="4" w:space="0"/>
              <w:right w:val="single" w:color="auto" w:sz="4" w:space="0"/>
            </w:tcBorders>
            <w:vAlign w:val="center"/>
          </w:tcPr>
          <w:p w14:paraId="6C6B0D74">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副</w:t>
            </w:r>
          </w:p>
        </w:tc>
        <w:tc>
          <w:tcPr>
            <w:tcW w:w="448" w:type="dxa"/>
            <w:tcBorders>
              <w:top w:val="nil"/>
              <w:left w:val="nil"/>
              <w:bottom w:val="single" w:color="auto" w:sz="4" w:space="0"/>
              <w:right w:val="single" w:color="auto" w:sz="4" w:space="0"/>
            </w:tcBorders>
            <w:vAlign w:val="center"/>
          </w:tcPr>
          <w:p w14:paraId="7667BE94">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w:t>
            </w:r>
          </w:p>
        </w:tc>
        <w:tc>
          <w:tcPr>
            <w:tcW w:w="731" w:type="dxa"/>
            <w:tcBorders>
              <w:top w:val="nil"/>
              <w:left w:val="nil"/>
              <w:bottom w:val="single" w:color="auto" w:sz="4" w:space="0"/>
              <w:right w:val="single" w:color="auto" w:sz="4" w:space="0"/>
            </w:tcBorders>
            <w:noWrap/>
            <w:vAlign w:val="center"/>
          </w:tcPr>
          <w:p w14:paraId="38AC8E24">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5534F1AB">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708D2B3A">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7AC97824">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6AF92294">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473DECCA">
            <w:pPr>
              <w:jc w:val="center"/>
              <w:rPr>
                <w:color w:val="auto"/>
              </w:rPr>
            </w:pPr>
          </w:p>
        </w:tc>
      </w:tr>
      <w:tr w14:paraId="34DD839D">
        <w:tblPrEx>
          <w:tblCellMar>
            <w:top w:w="0" w:type="dxa"/>
            <w:left w:w="28" w:type="dxa"/>
            <w:bottom w:w="0" w:type="dxa"/>
            <w:right w:w="28" w:type="dxa"/>
          </w:tblCellMar>
        </w:tblPrEx>
        <w:trPr>
          <w:trHeight w:val="2353" w:hRule="atLeast"/>
        </w:trPr>
        <w:tc>
          <w:tcPr>
            <w:tcW w:w="607" w:type="dxa"/>
            <w:tcBorders>
              <w:top w:val="nil"/>
              <w:left w:val="single" w:color="auto" w:sz="4" w:space="0"/>
              <w:bottom w:val="single" w:color="auto" w:sz="4" w:space="0"/>
              <w:right w:val="single" w:color="auto" w:sz="4" w:space="0"/>
            </w:tcBorders>
            <w:noWrap/>
            <w:vAlign w:val="center"/>
          </w:tcPr>
          <w:p w14:paraId="2EA6C420">
            <w:pPr>
              <w:jc w:val="center"/>
              <w:rPr>
                <w:rFonts w:ascii="宋体" w:hAnsi="宋体" w:eastAsia="宋体" w:cs="宋体"/>
                <w:color w:val="auto"/>
                <w:sz w:val="24"/>
                <w:szCs w:val="24"/>
              </w:rPr>
            </w:pPr>
            <w:r>
              <w:rPr>
                <w:rFonts w:hint="eastAsia" w:ascii="宋体" w:hAnsi="宋体" w:eastAsia="宋体" w:cs="宋体"/>
                <w:color w:val="auto"/>
                <w:sz w:val="24"/>
                <w:szCs w:val="24"/>
              </w:rPr>
              <w:t>14</w:t>
            </w:r>
          </w:p>
        </w:tc>
        <w:tc>
          <w:tcPr>
            <w:tcW w:w="1275" w:type="dxa"/>
            <w:tcBorders>
              <w:top w:val="nil"/>
              <w:left w:val="single" w:color="auto" w:sz="4" w:space="0"/>
              <w:bottom w:val="single" w:color="auto" w:sz="4" w:space="0"/>
              <w:right w:val="single" w:color="auto" w:sz="4" w:space="0"/>
            </w:tcBorders>
            <w:noWrap/>
            <w:vAlign w:val="center"/>
          </w:tcPr>
          <w:p w14:paraId="1532B1B8">
            <w:pPr>
              <w:widowControl/>
              <w:jc w:val="both"/>
              <w:textAlignment w:val="center"/>
              <w:rPr>
                <w:color w:val="auto"/>
                <w:sz w:val="21"/>
                <w:szCs w:val="21"/>
              </w:rPr>
            </w:pPr>
            <w:r>
              <w:rPr>
                <w:rFonts w:hint="eastAsia"/>
                <w:color w:val="auto"/>
                <w:sz w:val="21"/>
                <w:szCs w:val="21"/>
              </w:rPr>
              <w:t>仿皮悬挂式沙袋</w:t>
            </w:r>
          </w:p>
          <w:p w14:paraId="02439EA6">
            <w:pPr>
              <w:widowControl/>
              <w:jc w:val="left"/>
              <w:textAlignment w:val="center"/>
              <w:rPr>
                <w:rFonts w:ascii="宋体" w:hAnsi="宋体" w:eastAsia="宋体" w:cs="宋体"/>
                <w:color w:val="auto"/>
                <w:sz w:val="21"/>
                <w:szCs w:val="21"/>
                <w:lang w:bidi="ar"/>
              </w:rPr>
            </w:pPr>
            <w:r>
              <w:rPr>
                <w:rFonts w:hint="eastAsia"/>
                <w:color w:val="auto"/>
                <w:sz w:val="21"/>
                <w:szCs w:val="21"/>
              </w:rPr>
              <w:t>1.8米</w:t>
            </w:r>
          </w:p>
        </w:tc>
        <w:tc>
          <w:tcPr>
            <w:tcW w:w="6315" w:type="dxa"/>
            <w:tcBorders>
              <w:top w:val="nil"/>
              <w:left w:val="nil"/>
              <w:bottom w:val="single" w:color="auto" w:sz="4" w:space="0"/>
              <w:right w:val="single" w:color="auto" w:sz="4" w:space="0"/>
            </w:tcBorders>
            <w:noWrap/>
            <w:vAlign w:val="center"/>
          </w:tcPr>
          <w:p w14:paraId="4763DE6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1.颜色：红色.黑色。</w:t>
            </w:r>
          </w:p>
          <w:p w14:paraId="07005AE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▲2.规格：≥1.8m*0.4m。</w:t>
            </w:r>
          </w:p>
          <w:p w14:paraId="51D5861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材质：头部支架稳固，挂架轴承为转盘式，受力后自然旋转，保证受力均匀，增加使用寿命，吊钩可拆卸，铁链加粗加长，沙袋外套精选皮革面料，沙袋外套手工车缝走线，沙袋更结实耐用，抗击打，人工填充碎布，内胆高效吸能，结实耐磨不伤手。</w:t>
            </w:r>
          </w:p>
        </w:tc>
        <w:tc>
          <w:tcPr>
            <w:tcW w:w="570" w:type="dxa"/>
            <w:tcBorders>
              <w:top w:val="nil"/>
              <w:left w:val="nil"/>
              <w:bottom w:val="single" w:color="auto" w:sz="4" w:space="0"/>
              <w:right w:val="single" w:color="auto" w:sz="4" w:space="0"/>
            </w:tcBorders>
            <w:vAlign w:val="center"/>
          </w:tcPr>
          <w:p w14:paraId="1A33EC18">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个</w:t>
            </w:r>
          </w:p>
        </w:tc>
        <w:tc>
          <w:tcPr>
            <w:tcW w:w="448" w:type="dxa"/>
            <w:tcBorders>
              <w:top w:val="nil"/>
              <w:left w:val="nil"/>
              <w:bottom w:val="single" w:color="auto" w:sz="4" w:space="0"/>
              <w:right w:val="single" w:color="auto" w:sz="4" w:space="0"/>
            </w:tcBorders>
            <w:vAlign w:val="center"/>
          </w:tcPr>
          <w:p w14:paraId="63077C60">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w:t>
            </w:r>
          </w:p>
        </w:tc>
        <w:tc>
          <w:tcPr>
            <w:tcW w:w="731" w:type="dxa"/>
            <w:tcBorders>
              <w:top w:val="nil"/>
              <w:left w:val="nil"/>
              <w:bottom w:val="single" w:color="auto" w:sz="4" w:space="0"/>
              <w:right w:val="single" w:color="auto" w:sz="4" w:space="0"/>
            </w:tcBorders>
            <w:noWrap/>
            <w:vAlign w:val="center"/>
          </w:tcPr>
          <w:p w14:paraId="7E51376A">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1861E398">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598C8FEB">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6330FED8">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72541BC0">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070169E9">
            <w:pPr>
              <w:jc w:val="center"/>
              <w:rPr>
                <w:color w:val="auto"/>
              </w:rPr>
            </w:pPr>
          </w:p>
        </w:tc>
      </w:tr>
      <w:tr w14:paraId="723D6555">
        <w:tblPrEx>
          <w:tblCellMar>
            <w:top w:w="0" w:type="dxa"/>
            <w:left w:w="28" w:type="dxa"/>
            <w:bottom w:w="0" w:type="dxa"/>
            <w:right w:w="28" w:type="dxa"/>
          </w:tblCellMar>
        </w:tblPrEx>
        <w:trPr>
          <w:trHeight w:val="2095" w:hRule="atLeast"/>
        </w:trPr>
        <w:tc>
          <w:tcPr>
            <w:tcW w:w="607" w:type="dxa"/>
            <w:tcBorders>
              <w:top w:val="nil"/>
              <w:left w:val="single" w:color="auto" w:sz="4" w:space="0"/>
              <w:bottom w:val="single" w:color="auto" w:sz="4" w:space="0"/>
              <w:right w:val="single" w:color="auto" w:sz="4" w:space="0"/>
            </w:tcBorders>
            <w:noWrap/>
            <w:vAlign w:val="center"/>
          </w:tcPr>
          <w:p w14:paraId="03D3DF1E">
            <w:pPr>
              <w:jc w:val="center"/>
              <w:rPr>
                <w:rFonts w:ascii="宋体" w:hAnsi="宋体" w:eastAsia="宋体" w:cs="宋体"/>
                <w:color w:val="auto"/>
                <w:sz w:val="24"/>
                <w:szCs w:val="24"/>
              </w:rPr>
            </w:pPr>
            <w:r>
              <w:rPr>
                <w:rFonts w:hint="eastAsia" w:ascii="宋体" w:hAnsi="宋体" w:eastAsia="宋体" w:cs="宋体"/>
                <w:color w:val="auto"/>
                <w:sz w:val="24"/>
                <w:szCs w:val="24"/>
              </w:rPr>
              <w:t>15</w:t>
            </w:r>
          </w:p>
        </w:tc>
        <w:tc>
          <w:tcPr>
            <w:tcW w:w="1275" w:type="dxa"/>
            <w:tcBorders>
              <w:top w:val="nil"/>
              <w:left w:val="single" w:color="auto" w:sz="4" w:space="0"/>
              <w:bottom w:val="single" w:color="auto" w:sz="4" w:space="0"/>
              <w:right w:val="single" w:color="auto" w:sz="4" w:space="0"/>
            </w:tcBorders>
            <w:noWrap/>
            <w:vAlign w:val="center"/>
          </w:tcPr>
          <w:p w14:paraId="71E89C36">
            <w:pPr>
              <w:widowControl/>
              <w:jc w:val="left"/>
              <w:textAlignment w:val="center"/>
              <w:rPr>
                <w:rFonts w:ascii="宋体" w:hAnsi="宋体" w:eastAsia="宋体" w:cs="宋体"/>
                <w:color w:val="auto"/>
                <w:sz w:val="21"/>
                <w:szCs w:val="21"/>
                <w:lang w:bidi="ar"/>
              </w:rPr>
            </w:pPr>
            <w:r>
              <w:rPr>
                <w:rFonts w:hint="eastAsia"/>
                <w:color w:val="auto"/>
                <w:sz w:val="21"/>
                <w:szCs w:val="21"/>
              </w:rPr>
              <w:t>双通道专业功放</w:t>
            </w:r>
          </w:p>
        </w:tc>
        <w:tc>
          <w:tcPr>
            <w:tcW w:w="6315" w:type="dxa"/>
            <w:tcBorders>
              <w:top w:val="nil"/>
              <w:left w:val="nil"/>
              <w:bottom w:val="single" w:color="auto" w:sz="4" w:space="0"/>
              <w:right w:val="single" w:color="auto" w:sz="4" w:space="0"/>
            </w:tcBorders>
            <w:noWrap/>
            <w:vAlign w:val="center"/>
          </w:tcPr>
          <w:p w14:paraId="3F4488F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1.输出功率：650W*4/8Ω.975W*4/4Ω，桥接：1600W*2/8Ω。</w:t>
            </w:r>
          </w:p>
          <w:p w14:paraId="518ED54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2.频率响应（1W 8ohms）：20Hz-20KHz(±3dB)。</w:t>
            </w:r>
          </w:p>
          <w:p w14:paraId="1E800C0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3.灵敏度（8ohms 1KHz）：0.775v。</w:t>
            </w:r>
          </w:p>
          <w:p w14:paraId="1698DFD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4.链接端子：输入链接端子（XLR公.母），输出链接端子（SPEAKON）。</w:t>
            </w:r>
          </w:p>
          <w:p w14:paraId="269E806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5.输入阻抗：平衡输入（20KΩ）。非平衡输入（10KΩ）。</w:t>
            </w:r>
          </w:p>
          <w:p w14:paraId="3814D56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6.串音衰减（20Hz-20KHz,额定功率8ohms）：≥65dB。</w:t>
            </w:r>
          </w:p>
          <w:p w14:paraId="49D0985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7.信噪比（A计权,额定功率8ohms）：≥108dB。</w:t>
            </w:r>
          </w:p>
          <w:p w14:paraId="7041A57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8.阻尼系数（1KHz&amp;8ohms）：≥900。</w:t>
            </w:r>
          </w:p>
          <w:p w14:paraId="45E2F0E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9.互调失真（20Hz-20KHz,半功率）：≤0.02%。</w:t>
            </w:r>
          </w:p>
          <w:p w14:paraId="3C08015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10.总谐波失真（20Hz-20KHz,半功率）：≤0.05%。</w:t>
            </w:r>
          </w:p>
          <w:p w14:paraId="02DE1E5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11.相位响应（1W&amp;8ohms,20Hz-20KHz）：≤±8°。</w:t>
            </w:r>
          </w:p>
          <w:p w14:paraId="05E3AF3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12.转换速率：≥60V/µs。</w:t>
            </w:r>
          </w:p>
          <w:p w14:paraId="338A8C4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13.输出电路类型：线性H类。</w:t>
            </w:r>
          </w:p>
          <w:p w14:paraId="4E1EADB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14.功耗（双声道驱动为4ohms,1/8RMS/230V）：650W。</w:t>
            </w:r>
          </w:p>
          <w:p w14:paraId="3606973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15.安装空间：2U。</w:t>
            </w:r>
          </w:p>
        </w:tc>
        <w:tc>
          <w:tcPr>
            <w:tcW w:w="570" w:type="dxa"/>
            <w:tcBorders>
              <w:top w:val="nil"/>
              <w:left w:val="nil"/>
              <w:bottom w:val="single" w:color="auto" w:sz="4" w:space="0"/>
              <w:right w:val="single" w:color="auto" w:sz="4" w:space="0"/>
            </w:tcBorders>
            <w:vAlign w:val="center"/>
          </w:tcPr>
          <w:p w14:paraId="15AF6A2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台</w:t>
            </w:r>
          </w:p>
        </w:tc>
        <w:tc>
          <w:tcPr>
            <w:tcW w:w="448" w:type="dxa"/>
            <w:tcBorders>
              <w:top w:val="nil"/>
              <w:left w:val="nil"/>
              <w:bottom w:val="single" w:color="auto" w:sz="4" w:space="0"/>
              <w:right w:val="single" w:color="auto" w:sz="4" w:space="0"/>
            </w:tcBorders>
            <w:vAlign w:val="center"/>
          </w:tcPr>
          <w:p w14:paraId="7286C555">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4</w:t>
            </w:r>
          </w:p>
        </w:tc>
        <w:tc>
          <w:tcPr>
            <w:tcW w:w="731" w:type="dxa"/>
            <w:tcBorders>
              <w:top w:val="nil"/>
              <w:left w:val="nil"/>
              <w:bottom w:val="single" w:color="auto" w:sz="4" w:space="0"/>
              <w:right w:val="single" w:color="auto" w:sz="4" w:space="0"/>
            </w:tcBorders>
            <w:noWrap/>
            <w:vAlign w:val="center"/>
          </w:tcPr>
          <w:p w14:paraId="31156D15">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47058623">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0B78EFCD">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5F5AD0A0">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4637870C">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74556B98">
            <w:pPr>
              <w:jc w:val="center"/>
              <w:rPr>
                <w:color w:val="auto"/>
              </w:rPr>
            </w:pPr>
          </w:p>
        </w:tc>
      </w:tr>
      <w:tr w14:paraId="4DB36668">
        <w:tblPrEx>
          <w:tblCellMar>
            <w:top w:w="0" w:type="dxa"/>
            <w:left w:w="28" w:type="dxa"/>
            <w:bottom w:w="0" w:type="dxa"/>
            <w:right w:w="28" w:type="dxa"/>
          </w:tblCellMar>
        </w:tblPrEx>
        <w:trPr>
          <w:trHeight w:val="4373" w:hRule="atLeast"/>
        </w:trPr>
        <w:tc>
          <w:tcPr>
            <w:tcW w:w="607" w:type="dxa"/>
            <w:tcBorders>
              <w:top w:val="nil"/>
              <w:left w:val="single" w:color="auto" w:sz="4" w:space="0"/>
              <w:bottom w:val="single" w:color="auto" w:sz="4" w:space="0"/>
              <w:right w:val="single" w:color="auto" w:sz="4" w:space="0"/>
            </w:tcBorders>
            <w:noWrap/>
            <w:vAlign w:val="center"/>
          </w:tcPr>
          <w:p w14:paraId="2BC78F35">
            <w:pPr>
              <w:jc w:val="center"/>
              <w:rPr>
                <w:rFonts w:ascii="宋体" w:hAnsi="宋体" w:eastAsia="宋体" w:cs="宋体"/>
                <w:color w:val="auto"/>
                <w:sz w:val="24"/>
                <w:szCs w:val="24"/>
              </w:rPr>
            </w:pPr>
            <w:r>
              <w:rPr>
                <w:rFonts w:hint="eastAsia" w:ascii="宋体" w:hAnsi="宋体" w:eastAsia="宋体" w:cs="宋体"/>
                <w:color w:val="auto"/>
                <w:sz w:val="24"/>
                <w:szCs w:val="24"/>
              </w:rPr>
              <w:t>16</w:t>
            </w:r>
          </w:p>
        </w:tc>
        <w:tc>
          <w:tcPr>
            <w:tcW w:w="1275" w:type="dxa"/>
            <w:tcBorders>
              <w:top w:val="nil"/>
              <w:left w:val="single" w:color="auto" w:sz="4" w:space="0"/>
              <w:bottom w:val="single" w:color="auto" w:sz="4" w:space="0"/>
              <w:right w:val="single" w:color="auto" w:sz="4" w:space="0"/>
            </w:tcBorders>
            <w:noWrap/>
            <w:vAlign w:val="center"/>
          </w:tcPr>
          <w:p w14:paraId="590F9D70">
            <w:pPr>
              <w:widowControl/>
              <w:jc w:val="left"/>
              <w:textAlignment w:val="center"/>
              <w:rPr>
                <w:rFonts w:ascii="宋体" w:hAnsi="宋体" w:eastAsia="宋体" w:cs="宋体"/>
                <w:color w:val="auto"/>
                <w:sz w:val="21"/>
                <w:szCs w:val="21"/>
                <w:lang w:bidi="ar"/>
              </w:rPr>
            </w:pPr>
            <w:r>
              <w:rPr>
                <w:rFonts w:hint="eastAsia"/>
                <w:color w:val="auto"/>
                <w:sz w:val="21"/>
                <w:szCs w:val="21"/>
              </w:rPr>
              <w:t>同轴全频音箱</w:t>
            </w:r>
          </w:p>
        </w:tc>
        <w:tc>
          <w:tcPr>
            <w:tcW w:w="6315" w:type="dxa"/>
            <w:tcBorders>
              <w:top w:val="nil"/>
              <w:left w:val="nil"/>
              <w:bottom w:val="single" w:color="auto" w:sz="4" w:space="0"/>
              <w:right w:val="single" w:color="auto" w:sz="4" w:space="0"/>
            </w:tcBorders>
            <w:noWrap/>
            <w:vAlign w:val="center"/>
          </w:tcPr>
          <w:p w14:paraId="190F7AB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1.系统类型：单8寸全频同轴音箱。</w:t>
            </w:r>
          </w:p>
          <w:p w14:paraId="7A5CD86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2.高音单元：1×34芯高音。</w:t>
            </w:r>
          </w:p>
          <w:p w14:paraId="582A714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3.低音单元：1×8寸低音。</w:t>
            </w:r>
          </w:p>
          <w:p w14:paraId="4E92EDD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4.频率响应：70Hz-20KHZ 。</w:t>
            </w:r>
          </w:p>
          <w:p w14:paraId="7677A0B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5.灵敏度：92dB /W(lm) 。</w:t>
            </w:r>
          </w:p>
          <w:p w14:paraId="270E881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6.最大声压级：120dB 。</w:t>
            </w:r>
          </w:p>
          <w:p w14:paraId="377D6C2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7.阻抗：8ohm。</w:t>
            </w:r>
          </w:p>
          <w:p w14:paraId="6A9D214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8.额定功率：200W。</w:t>
            </w:r>
          </w:p>
          <w:p w14:paraId="5EDE135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9.峰值功率：800W 。</w:t>
            </w:r>
          </w:p>
          <w:p w14:paraId="3686679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10.扩散角度：80°水平×80°垂直。</w:t>
            </w:r>
          </w:p>
          <w:p w14:paraId="2DCCAF2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11.分频点：2KHZ。</w:t>
            </w:r>
          </w:p>
          <w:p w14:paraId="75B1C4E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12.吊挂硬件：M8螺丝吊装。</w:t>
            </w:r>
          </w:p>
          <w:p w14:paraId="0EB2236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13.材质：高密度中纤维板。</w:t>
            </w:r>
          </w:p>
          <w:p w14:paraId="08E5962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14.颜色：黑/白色。</w:t>
            </w:r>
          </w:p>
        </w:tc>
        <w:tc>
          <w:tcPr>
            <w:tcW w:w="570" w:type="dxa"/>
            <w:tcBorders>
              <w:top w:val="nil"/>
              <w:left w:val="nil"/>
              <w:bottom w:val="single" w:color="auto" w:sz="4" w:space="0"/>
              <w:right w:val="single" w:color="auto" w:sz="4" w:space="0"/>
            </w:tcBorders>
            <w:vAlign w:val="center"/>
          </w:tcPr>
          <w:p w14:paraId="548D62D8">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台</w:t>
            </w:r>
          </w:p>
        </w:tc>
        <w:tc>
          <w:tcPr>
            <w:tcW w:w="448" w:type="dxa"/>
            <w:tcBorders>
              <w:top w:val="nil"/>
              <w:left w:val="nil"/>
              <w:bottom w:val="single" w:color="auto" w:sz="4" w:space="0"/>
              <w:right w:val="single" w:color="auto" w:sz="4" w:space="0"/>
            </w:tcBorders>
            <w:vAlign w:val="center"/>
          </w:tcPr>
          <w:p w14:paraId="7EBD4AC0">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16</w:t>
            </w:r>
          </w:p>
        </w:tc>
        <w:tc>
          <w:tcPr>
            <w:tcW w:w="731" w:type="dxa"/>
            <w:tcBorders>
              <w:top w:val="nil"/>
              <w:left w:val="nil"/>
              <w:bottom w:val="single" w:color="auto" w:sz="4" w:space="0"/>
              <w:right w:val="single" w:color="auto" w:sz="4" w:space="0"/>
            </w:tcBorders>
            <w:noWrap/>
            <w:vAlign w:val="center"/>
          </w:tcPr>
          <w:p w14:paraId="24E45C1A">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0DF363E6">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0458CC71">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4ABDFF8B">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2E192A46">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2B16D411">
            <w:pPr>
              <w:jc w:val="center"/>
              <w:rPr>
                <w:color w:val="auto"/>
              </w:rPr>
            </w:pPr>
          </w:p>
        </w:tc>
      </w:tr>
      <w:tr w14:paraId="35D8766F">
        <w:tblPrEx>
          <w:tblCellMar>
            <w:top w:w="0" w:type="dxa"/>
            <w:left w:w="28" w:type="dxa"/>
            <w:bottom w:w="0" w:type="dxa"/>
            <w:right w:w="28" w:type="dxa"/>
          </w:tblCellMar>
        </w:tblPrEx>
        <w:trPr>
          <w:trHeight w:val="4685" w:hRule="atLeast"/>
        </w:trPr>
        <w:tc>
          <w:tcPr>
            <w:tcW w:w="607" w:type="dxa"/>
            <w:tcBorders>
              <w:top w:val="nil"/>
              <w:left w:val="single" w:color="auto" w:sz="4" w:space="0"/>
              <w:bottom w:val="single" w:color="auto" w:sz="4" w:space="0"/>
              <w:right w:val="single" w:color="auto" w:sz="4" w:space="0"/>
            </w:tcBorders>
            <w:noWrap/>
            <w:vAlign w:val="center"/>
          </w:tcPr>
          <w:p w14:paraId="0C96A5D1">
            <w:pPr>
              <w:jc w:val="center"/>
              <w:rPr>
                <w:rFonts w:ascii="宋体" w:hAnsi="宋体" w:eastAsia="宋体" w:cs="宋体"/>
                <w:color w:val="auto"/>
                <w:sz w:val="24"/>
                <w:szCs w:val="24"/>
              </w:rPr>
            </w:pPr>
            <w:r>
              <w:rPr>
                <w:rFonts w:hint="eastAsia" w:ascii="宋体" w:hAnsi="宋体" w:eastAsia="宋体" w:cs="宋体"/>
                <w:color w:val="auto"/>
                <w:sz w:val="24"/>
                <w:szCs w:val="24"/>
              </w:rPr>
              <w:t>17</w:t>
            </w:r>
          </w:p>
        </w:tc>
        <w:tc>
          <w:tcPr>
            <w:tcW w:w="1275" w:type="dxa"/>
            <w:tcBorders>
              <w:top w:val="nil"/>
              <w:left w:val="single" w:color="auto" w:sz="4" w:space="0"/>
              <w:bottom w:val="single" w:color="auto" w:sz="4" w:space="0"/>
              <w:right w:val="single" w:color="auto" w:sz="4" w:space="0"/>
            </w:tcBorders>
            <w:noWrap/>
            <w:vAlign w:val="center"/>
          </w:tcPr>
          <w:p w14:paraId="171FEA95">
            <w:pPr>
              <w:widowControl/>
              <w:jc w:val="left"/>
              <w:textAlignment w:val="center"/>
              <w:rPr>
                <w:rFonts w:ascii="宋体" w:hAnsi="宋体" w:eastAsia="宋体" w:cs="宋体"/>
                <w:color w:val="auto"/>
                <w:sz w:val="21"/>
                <w:szCs w:val="21"/>
                <w:lang w:bidi="ar"/>
              </w:rPr>
            </w:pPr>
            <w:r>
              <w:rPr>
                <w:rFonts w:hint="eastAsia"/>
                <w:color w:val="auto"/>
                <w:sz w:val="21"/>
                <w:szCs w:val="21"/>
              </w:rPr>
              <w:t>模拟调音台</w:t>
            </w:r>
          </w:p>
        </w:tc>
        <w:tc>
          <w:tcPr>
            <w:tcW w:w="6315" w:type="dxa"/>
            <w:tcBorders>
              <w:top w:val="nil"/>
              <w:left w:val="nil"/>
              <w:bottom w:val="single" w:color="auto" w:sz="4" w:space="0"/>
              <w:right w:val="single" w:color="auto" w:sz="4" w:space="0"/>
            </w:tcBorders>
            <w:noWrap/>
            <w:vAlign w:val="center"/>
          </w:tcPr>
          <w:p w14:paraId="2304865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1.双差分输入电路。                                   </w:t>
            </w:r>
          </w:p>
          <w:p w14:paraId="5ECD729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2.16种回声和混响可调。                                                              </w:t>
            </w:r>
          </w:p>
          <w:p w14:paraId="5598BA5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3.2编组4母线调音台。                                       </w:t>
            </w:r>
          </w:p>
          <w:p w14:paraId="1FE1725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4.4路线路输入+2组立体声输入,内置16种数码效果器。                                        </w:t>
            </w:r>
          </w:p>
          <w:p w14:paraId="092DB3D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5.内置多格式蓝牙MP3播放器,MP3音源可转入本机立体声声道进行调音或混合。                                                   </w:t>
            </w:r>
          </w:p>
          <w:p w14:paraId="1DE354F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6.分路3段美式EQ,带衰减带,带显示哑音选择开关，另设有监听功能。                                                       </w:t>
            </w:r>
          </w:p>
          <w:p w14:paraId="1B59F6C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7.6路母线(BUS)：主输出+两编组+监听室输出+录音输出与返回。                                                </w:t>
            </w:r>
          </w:p>
          <w:p w14:paraId="2EB9F7A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8.在无需外置设备下可独立完成6路不同音源的输出。                                           </w:t>
            </w:r>
          </w:p>
          <w:p w14:paraId="13DB325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9.1路AUX外接与返回,双7段图视均衡。                            </w:t>
            </w:r>
          </w:p>
          <w:p w14:paraId="3292DED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10.≥100MM长行程推子控制。                                     </w:t>
            </w:r>
          </w:p>
          <w:p w14:paraId="0292174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11.内置48V幻象供电,内置80V-240V宽电压工作电源。</w:t>
            </w:r>
          </w:p>
          <w:p w14:paraId="6802F37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12.稳固的全金属机身设计可靠性，配专用航空箱机架。                                      </w:t>
            </w:r>
          </w:p>
          <w:p w14:paraId="2CA598D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                      </w:t>
            </w:r>
          </w:p>
        </w:tc>
        <w:tc>
          <w:tcPr>
            <w:tcW w:w="570" w:type="dxa"/>
            <w:tcBorders>
              <w:top w:val="nil"/>
              <w:left w:val="nil"/>
              <w:bottom w:val="single" w:color="auto" w:sz="4" w:space="0"/>
              <w:right w:val="single" w:color="auto" w:sz="4" w:space="0"/>
            </w:tcBorders>
            <w:vAlign w:val="center"/>
          </w:tcPr>
          <w:p w14:paraId="14042F7D">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台</w:t>
            </w:r>
          </w:p>
        </w:tc>
        <w:tc>
          <w:tcPr>
            <w:tcW w:w="448" w:type="dxa"/>
            <w:tcBorders>
              <w:top w:val="nil"/>
              <w:left w:val="nil"/>
              <w:bottom w:val="single" w:color="auto" w:sz="4" w:space="0"/>
              <w:right w:val="single" w:color="auto" w:sz="4" w:space="0"/>
            </w:tcBorders>
            <w:vAlign w:val="center"/>
          </w:tcPr>
          <w:p w14:paraId="3672CBD1">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4</w:t>
            </w:r>
          </w:p>
        </w:tc>
        <w:tc>
          <w:tcPr>
            <w:tcW w:w="731" w:type="dxa"/>
            <w:tcBorders>
              <w:top w:val="nil"/>
              <w:left w:val="nil"/>
              <w:bottom w:val="single" w:color="auto" w:sz="4" w:space="0"/>
              <w:right w:val="single" w:color="auto" w:sz="4" w:space="0"/>
            </w:tcBorders>
            <w:noWrap/>
            <w:vAlign w:val="center"/>
          </w:tcPr>
          <w:p w14:paraId="6536A2F1">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5F8D614F">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1BD063C1">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46F09F62">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58781D04">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59D00F0C">
            <w:pPr>
              <w:jc w:val="center"/>
              <w:rPr>
                <w:color w:val="auto"/>
              </w:rPr>
            </w:pPr>
          </w:p>
        </w:tc>
      </w:tr>
      <w:tr w14:paraId="36B1EAF7">
        <w:tblPrEx>
          <w:tblCellMar>
            <w:top w:w="0" w:type="dxa"/>
            <w:left w:w="28" w:type="dxa"/>
            <w:bottom w:w="0" w:type="dxa"/>
            <w:right w:w="28" w:type="dxa"/>
          </w:tblCellMar>
        </w:tblPrEx>
        <w:trPr>
          <w:trHeight w:val="2272" w:hRule="atLeast"/>
        </w:trPr>
        <w:tc>
          <w:tcPr>
            <w:tcW w:w="607" w:type="dxa"/>
            <w:tcBorders>
              <w:top w:val="nil"/>
              <w:left w:val="single" w:color="auto" w:sz="4" w:space="0"/>
              <w:bottom w:val="single" w:color="auto" w:sz="4" w:space="0"/>
              <w:right w:val="single" w:color="auto" w:sz="4" w:space="0"/>
            </w:tcBorders>
            <w:noWrap/>
            <w:vAlign w:val="center"/>
          </w:tcPr>
          <w:p w14:paraId="151D1365">
            <w:pPr>
              <w:jc w:val="center"/>
              <w:rPr>
                <w:rFonts w:ascii="宋体" w:hAnsi="宋体" w:eastAsia="宋体" w:cs="宋体"/>
                <w:color w:val="auto"/>
                <w:sz w:val="24"/>
                <w:szCs w:val="24"/>
              </w:rPr>
            </w:pPr>
            <w:r>
              <w:rPr>
                <w:rFonts w:hint="eastAsia" w:ascii="宋体" w:hAnsi="宋体" w:eastAsia="宋体" w:cs="宋体"/>
                <w:color w:val="auto"/>
                <w:sz w:val="24"/>
                <w:szCs w:val="24"/>
              </w:rPr>
              <w:t>18</w:t>
            </w:r>
          </w:p>
        </w:tc>
        <w:tc>
          <w:tcPr>
            <w:tcW w:w="1275" w:type="dxa"/>
            <w:tcBorders>
              <w:top w:val="nil"/>
              <w:left w:val="single" w:color="auto" w:sz="4" w:space="0"/>
              <w:bottom w:val="single" w:color="auto" w:sz="4" w:space="0"/>
              <w:right w:val="single" w:color="auto" w:sz="4" w:space="0"/>
            </w:tcBorders>
            <w:noWrap/>
            <w:vAlign w:val="center"/>
          </w:tcPr>
          <w:p w14:paraId="489577BA">
            <w:pPr>
              <w:widowControl/>
              <w:jc w:val="left"/>
              <w:textAlignment w:val="center"/>
              <w:rPr>
                <w:rFonts w:ascii="宋体" w:hAnsi="宋体" w:eastAsia="宋体" w:cs="宋体"/>
                <w:color w:val="auto"/>
                <w:sz w:val="21"/>
                <w:szCs w:val="21"/>
                <w:lang w:bidi="ar"/>
              </w:rPr>
            </w:pPr>
            <w:r>
              <w:rPr>
                <w:rFonts w:hint="eastAsia"/>
                <w:color w:val="auto"/>
                <w:sz w:val="21"/>
                <w:szCs w:val="21"/>
              </w:rPr>
              <w:t>真分集无线头戴话筒 一拖二</w:t>
            </w:r>
          </w:p>
        </w:tc>
        <w:tc>
          <w:tcPr>
            <w:tcW w:w="6315" w:type="dxa"/>
            <w:tcBorders>
              <w:top w:val="nil"/>
              <w:left w:val="nil"/>
              <w:bottom w:val="single" w:color="auto" w:sz="4" w:space="0"/>
              <w:right w:val="single" w:color="auto" w:sz="4" w:space="0"/>
            </w:tcBorders>
            <w:noWrap/>
            <w:vAlign w:val="center"/>
          </w:tcPr>
          <w:p w14:paraId="1F9CF49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1.真分集U段一拖二无线话筒，可灵活选配手持、头戴、领夹话筒。</w:t>
            </w:r>
          </w:p>
          <w:p w14:paraId="23D2E78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2.接收机：</w:t>
            </w:r>
          </w:p>
          <w:p w14:paraId="43CD02A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2.1.载波频段：610-670MHZ。</w:t>
            </w:r>
          </w:p>
          <w:p w14:paraId="1B0F8CA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2.2.振荡方式：DPLL数字锁相环技术。</w:t>
            </w:r>
          </w:p>
          <w:p w14:paraId="29D6460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2.3.频带宽度：60MHZ。</w:t>
            </w:r>
          </w:p>
          <w:p w14:paraId="623671F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2.4.频率响应：60Hz～15KHz。</w:t>
            </w:r>
          </w:p>
          <w:p w14:paraId="0F86FD5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2.5.接收灵敏度：在偏移度等于25KHZ,输入6dBuV时 ,S/N&gt;58dB。</w:t>
            </w:r>
          </w:p>
          <w:p w14:paraId="2B854CE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2.6.频率稳定度：±0.005%。</w:t>
            </w:r>
          </w:p>
          <w:p w14:paraId="6976A7E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2.7.最大偏移度：±45KHz。</w:t>
            </w:r>
          </w:p>
          <w:p w14:paraId="1E7E905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2.8.综合信噪比：S/N&gt;105dB。</w:t>
            </w:r>
          </w:p>
          <w:p w14:paraId="1003437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2.9.综合T.H.D：&lt;0.7%@1KHz。</w:t>
            </w:r>
          </w:p>
          <w:p w14:paraId="1046B18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2.10.频率响应：60Hz～15KHz。</w:t>
            </w:r>
          </w:p>
          <w:p w14:paraId="39C4888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2.11.平衡输出端口：阻抗680欧姆。</w:t>
            </w:r>
          </w:p>
          <w:p w14:paraId="1974310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2.12.非平衡输出音频端口：阻抗2200欧姆</w:t>
            </w:r>
          </w:p>
          <w:p w14:paraId="1077178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2.13.工作有效距离：≥100米（空旷地方）。</w:t>
            </w:r>
          </w:p>
          <w:p w14:paraId="4A060B8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2.14.电源供应：DC 12V--2000mA。</w:t>
            </w:r>
          </w:p>
          <w:p w14:paraId="0436819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3.手持式发射机：</w:t>
            </w:r>
          </w:p>
          <w:p w14:paraId="479E11F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3.1.载波频段 ：610-670MHZ。</w:t>
            </w:r>
          </w:p>
          <w:p w14:paraId="5D589D6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3.2.调制方式 ：宽带FM(WIFI FM)。</w:t>
            </w:r>
          </w:p>
          <w:p w14:paraId="5A117CB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3.3.谐波辐射：低于主波45dBm以上。</w:t>
            </w:r>
          </w:p>
          <w:p w14:paraId="3D984A1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3.4.振荡方式 Oscillation mode：DPLL数字锁相环技术。RF功率输出 ：20mW。</w:t>
            </w:r>
          </w:p>
          <w:p w14:paraId="55D111E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3.5.最大偏移度 ：±45KHz。</w:t>
            </w:r>
          </w:p>
          <w:p w14:paraId="4707F3F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3.6.频率响应：50Hz～17KHz。</w:t>
            </w:r>
          </w:p>
          <w:p w14:paraId="1E680C6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3.7.拾音方式：动圈式咪芯(dynamic microphone core)。</w:t>
            </w:r>
          </w:p>
          <w:p w14:paraId="2BD4C34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3.8.电流消耗：130mA。</w:t>
            </w:r>
          </w:p>
          <w:p w14:paraId="0DF29F0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▲3.9.电池寿命：≥13小时（2000mAH)。</w:t>
            </w:r>
          </w:p>
          <w:p w14:paraId="21A45EC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3.10.电池：AA*2(1.5V)。</w:t>
            </w:r>
          </w:p>
          <w:p w14:paraId="5FDD7E1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4.腰包式发射机：</w:t>
            </w:r>
          </w:p>
          <w:p w14:paraId="72CB6DE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4.1.载波频段：610-670MHZ。</w:t>
            </w:r>
          </w:p>
          <w:p w14:paraId="47F9E2C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4.2.调制方式：宽带FM(WIFI FM)。</w:t>
            </w:r>
          </w:p>
          <w:p w14:paraId="1AC4C0E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4.3.谐波辐射：低于主波45dBm以上。</w:t>
            </w:r>
          </w:p>
          <w:p w14:paraId="360C26E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4.4.振荡方式 Oscillation mode：DPLL数字锁相环技术。</w:t>
            </w:r>
          </w:p>
          <w:p w14:paraId="440DA71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4.5.RF功率输出：20mW。</w:t>
            </w:r>
          </w:p>
          <w:p w14:paraId="4FE8467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4.6.最大偏移度：±45KHz。</w:t>
            </w:r>
          </w:p>
          <w:p w14:paraId="55400A3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4.7.频率响应：50Hz～17KHz。</w:t>
            </w:r>
          </w:p>
          <w:p w14:paraId="2FF39D7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4.8.拾音方式：动圈式咪芯(dynamic microphone core)。</w:t>
            </w:r>
          </w:p>
          <w:p w14:paraId="18E6AE9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4.9.电流消耗：130mA。</w:t>
            </w:r>
          </w:p>
          <w:p w14:paraId="3F15153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▲4.10.电池寿命：≥13小时（2000mAH)。</w:t>
            </w:r>
          </w:p>
          <w:p w14:paraId="2371B6C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4.11.电池：AA*2(1.5V)。</w:t>
            </w:r>
          </w:p>
        </w:tc>
        <w:tc>
          <w:tcPr>
            <w:tcW w:w="570" w:type="dxa"/>
            <w:tcBorders>
              <w:top w:val="nil"/>
              <w:left w:val="nil"/>
              <w:bottom w:val="single" w:color="auto" w:sz="4" w:space="0"/>
              <w:right w:val="single" w:color="auto" w:sz="4" w:space="0"/>
            </w:tcBorders>
            <w:vAlign w:val="center"/>
          </w:tcPr>
          <w:p w14:paraId="29B99BF8">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个</w:t>
            </w:r>
          </w:p>
        </w:tc>
        <w:tc>
          <w:tcPr>
            <w:tcW w:w="448" w:type="dxa"/>
            <w:tcBorders>
              <w:top w:val="nil"/>
              <w:left w:val="nil"/>
              <w:bottom w:val="single" w:color="auto" w:sz="4" w:space="0"/>
              <w:right w:val="single" w:color="auto" w:sz="4" w:space="0"/>
            </w:tcBorders>
            <w:vAlign w:val="center"/>
          </w:tcPr>
          <w:p w14:paraId="2E2E77F9">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8</w:t>
            </w:r>
          </w:p>
        </w:tc>
        <w:tc>
          <w:tcPr>
            <w:tcW w:w="731" w:type="dxa"/>
            <w:tcBorders>
              <w:top w:val="nil"/>
              <w:left w:val="nil"/>
              <w:bottom w:val="single" w:color="auto" w:sz="4" w:space="0"/>
              <w:right w:val="single" w:color="auto" w:sz="4" w:space="0"/>
            </w:tcBorders>
            <w:noWrap/>
            <w:vAlign w:val="center"/>
          </w:tcPr>
          <w:p w14:paraId="6D394EBA">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58566E91">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59125514">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757264A7">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0C851179">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7244203F">
            <w:pPr>
              <w:jc w:val="center"/>
              <w:rPr>
                <w:color w:val="auto"/>
              </w:rPr>
            </w:pPr>
          </w:p>
        </w:tc>
      </w:tr>
      <w:tr w14:paraId="637C30FE">
        <w:tblPrEx>
          <w:tblCellMar>
            <w:top w:w="0" w:type="dxa"/>
            <w:left w:w="28" w:type="dxa"/>
            <w:bottom w:w="0" w:type="dxa"/>
            <w:right w:w="28" w:type="dxa"/>
          </w:tblCellMar>
        </w:tblPrEx>
        <w:trPr>
          <w:trHeight w:val="1257" w:hRule="atLeast"/>
        </w:trPr>
        <w:tc>
          <w:tcPr>
            <w:tcW w:w="607" w:type="dxa"/>
            <w:tcBorders>
              <w:top w:val="nil"/>
              <w:left w:val="single" w:color="auto" w:sz="4" w:space="0"/>
              <w:bottom w:val="single" w:color="auto" w:sz="4" w:space="0"/>
              <w:right w:val="single" w:color="auto" w:sz="4" w:space="0"/>
            </w:tcBorders>
            <w:noWrap/>
            <w:vAlign w:val="center"/>
          </w:tcPr>
          <w:p w14:paraId="393BE98A">
            <w:pPr>
              <w:jc w:val="center"/>
              <w:rPr>
                <w:rFonts w:ascii="宋体" w:hAnsi="宋体" w:eastAsia="宋体" w:cs="宋体"/>
                <w:color w:val="auto"/>
                <w:sz w:val="24"/>
                <w:szCs w:val="24"/>
              </w:rPr>
            </w:pPr>
            <w:r>
              <w:rPr>
                <w:rFonts w:hint="eastAsia" w:ascii="宋体" w:hAnsi="宋体" w:eastAsia="宋体" w:cs="宋体"/>
                <w:color w:val="auto"/>
                <w:sz w:val="24"/>
                <w:szCs w:val="24"/>
              </w:rPr>
              <w:t>19</w:t>
            </w:r>
          </w:p>
        </w:tc>
        <w:tc>
          <w:tcPr>
            <w:tcW w:w="1275" w:type="dxa"/>
            <w:tcBorders>
              <w:top w:val="nil"/>
              <w:left w:val="single" w:color="auto" w:sz="4" w:space="0"/>
              <w:bottom w:val="single" w:color="auto" w:sz="4" w:space="0"/>
              <w:right w:val="single" w:color="auto" w:sz="4" w:space="0"/>
            </w:tcBorders>
            <w:noWrap/>
            <w:vAlign w:val="center"/>
          </w:tcPr>
          <w:p w14:paraId="15264D39">
            <w:pPr>
              <w:widowControl/>
              <w:jc w:val="left"/>
              <w:textAlignment w:val="center"/>
              <w:rPr>
                <w:rFonts w:ascii="宋体" w:hAnsi="宋体" w:eastAsia="宋体" w:cs="宋体"/>
                <w:color w:val="auto"/>
                <w:sz w:val="21"/>
                <w:szCs w:val="21"/>
                <w:lang w:bidi="ar"/>
              </w:rPr>
            </w:pPr>
            <w:r>
              <w:rPr>
                <w:rFonts w:hint="eastAsia"/>
                <w:color w:val="auto"/>
                <w:sz w:val="21"/>
                <w:szCs w:val="21"/>
              </w:rPr>
              <w:t>设备机柜</w:t>
            </w:r>
          </w:p>
        </w:tc>
        <w:tc>
          <w:tcPr>
            <w:tcW w:w="6315" w:type="dxa"/>
            <w:tcBorders>
              <w:top w:val="nil"/>
              <w:left w:val="nil"/>
              <w:bottom w:val="single" w:color="auto" w:sz="4" w:space="0"/>
              <w:right w:val="single" w:color="auto" w:sz="4" w:space="0"/>
            </w:tcBorders>
            <w:noWrap/>
            <w:vAlign w:val="center"/>
          </w:tcPr>
          <w:p w14:paraId="420BAD0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1.材料：采用高强度冷轧钢板及高强度的钢化玻璃。</w:t>
            </w:r>
          </w:p>
          <w:p w14:paraId="02E2602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2.表层处理：脱脂 酸洗 磷化 静电喷喷塑。</w:t>
            </w:r>
          </w:p>
          <w:p w14:paraId="4F53B88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3.规格：≥1200*600*600mm</w:t>
            </w:r>
          </w:p>
        </w:tc>
        <w:tc>
          <w:tcPr>
            <w:tcW w:w="570" w:type="dxa"/>
            <w:tcBorders>
              <w:top w:val="nil"/>
              <w:left w:val="nil"/>
              <w:bottom w:val="single" w:color="auto" w:sz="4" w:space="0"/>
              <w:right w:val="single" w:color="auto" w:sz="4" w:space="0"/>
            </w:tcBorders>
            <w:vAlign w:val="center"/>
          </w:tcPr>
          <w:p w14:paraId="0946830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个</w:t>
            </w:r>
          </w:p>
        </w:tc>
        <w:tc>
          <w:tcPr>
            <w:tcW w:w="448" w:type="dxa"/>
            <w:tcBorders>
              <w:top w:val="nil"/>
              <w:left w:val="nil"/>
              <w:bottom w:val="single" w:color="auto" w:sz="4" w:space="0"/>
              <w:right w:val="single" w:color="auto" w:sz="4" w:space="0"/>
            </w:tcBorders>
            <w:vAlign w:val="center"/>
          </w:tcPr>
          <w:p w14:paraId="481A7464">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4</w:t>
            </w:r>
          </w:p>
        </w:tc>
        <w:tc>
          <w:tcPr>
            <w:tcW w:w="731" w:type="dxa"/>
            <w:tcBorders>
              <w:top w:val="nil"/>
              <w:left w:val="nil"/>
              <w:bottom w:val="single" w:color="auto" w:sz="4" w:space="0"/>
              <w:right w:val="single" w:color="auto" w:sz="4" w:space="0"/>
            </w:tcBorders>
            <w:noWrap/>
            <w:vAlign w:val="center"/>
          </w:tcPr>
          <w:p w14:paraId="6E81A8D2">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4A9B2E0E">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2D1475BD">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097F48E0">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348927F1">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778A05B4">
            <w:pPr>
              <w:jc w:val="center"/>
              <w:rPr>
                <w:color w:val="auto"/>
              </w:rPr>
            </w:pPr>
          </w:p>
        </w:tc>
      </w:tr>
      <w:tr w14:paraId="0D58BDE7">
        <w:tblPrEx>
          <w:tblCellMar>
            <w:top w:w="0" w:type="dxa"/>
            <w:left w:w="28" w:type="dxa"/>
            <w:bottom w:w="0" w:type="dxa"/>
            <w:right w:w="28" w:type="dxa"/>
          </w:tblCellMar>
        </w:tblPrEx>
        <w:trPr>
          <w:trHeight w:val="890" w:hRule="atLeast"/>
        </w:trPr>
        <w:tc>
          <w:tcPr>
            <w:tcW w:w="607" w:type="dxa"/>
            <w:tcBorders>
              <w:top w:val="nil"/>
              <w:left w:val="single" w:color="auto" w:sz="4" w:space="0"/>
              <w:bottom w:val="single" w:color="auto" w:sz="4" w:space="0"/>
              <w:right w:val="single" w:color="auto" w:sz="4" w:space="0"/>
            </w:tcBorders>
            <w:noWrap/>
            <w:vAlign w:val="center"/>
          </w:tcPr>
          <w:p w14:paraId="4BE0243F">
            <w:pPr>
              <w:jc w:val="center"/>
              <w:rPr>
                <w:rFonts w:ascii="宋体" w:hAnsi="宋体" w:eastAsia="宋体" w:cs="宋体"/>
                <w:color w:val="auto"/>
                <w:sz w:val="24"/>
                <w:szCs w:val="24"/>
              </w:rPr>
            </w:pPr>
            <w:r>
              <w:rPr>
                <w:rFonts w:hint="eastAsia" w:ascii="宋体" w:hAnsi="宋体" w:eastAsia="宋体" w:cs="宋体"/>
                <w:color w:val="auto"/>
                <w:sz w:val="24"/>
                <w:szCs w:val="24"/>
              </w:rPr>
              <w:t>20</w:t>
            </w:r>
          </w:p>
        </w:tc>
        <w:tc>
          <w:tcPr>
            <w:tcW w:w="1275" w:type="dxa"/>
            <w:tcBorders>
              <w:top w:val="nil"/>
              <w:left w:val="single" w:color="auto" w:sz="4" w:space="0"/>
              <w:bottom w:val="single" w:color="auto" w:sz="4" w:space="0"/>
              <w:right w:val="single" w:color="auto" w:sz="4" w:space="0"/>
            </w:tcBorders>
            <w:noWrap/>
            <w:vAlign w:val="center"/>
          </w:tcPr>
          <w:p w14:paraId="11395BA1">
            <w:pPr>
              <w:widowControl/>
              <w:jc w:val="left"/>
              <w:textAlignment w:val="center"/>
              <w:rPr>
                <w:rFonts w:ascii="宋体" w:hAnsi="宋体" w:eastAsia="宋体" w:cs="宋体"/>
                <w:color w:val="auto"/>
                <w:sz w:val="21"/>
                <w:szCs w:val="21"/>
                <w:lang w:bidi="ar"/>
              </w:rPr>
            </w:pPr>
            <w:r>
              <w:rPr>
                <w:rFonts w:hint="eastAsia"/>
                <w:color w:val="auto"/>
                <w:sz w:val="21"/>
                <w:szCs w:val="21"/>
              </w:rPr>
              <w:t>音箱线</w:t>
            </w:r>
          </w:p>
        </w:tc>
        <w:tc>
          <w:tcPr>
            <w:tcW w:w="6315" w:type="dxa"/>
            <w:tcBorders>
              <w:top w:val="nil"/>
              <w:left w:val="nil"/>
              <w:bottom w:val="single" w:color="auto" w:sz="4" w:space="0"/>
              <w:right w:val="single" w:color="auto" w:sz="4" w:space="0"/>
            </w:tcBorders>
            <w:noWrap/>
            <w:vAlign w:val="center"/>
          </w:tcPr>
          <w:p w14:paraId="33C60AA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1.材料：优质，纯铜，带护套。</w:t>
            </w:r>
          </w:p>
          <w:p w14:paraId="1DD7510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2.规格：≥2*1.5平方音箱线。</w:t>
            </w:r>
          </w:p>
        </w:tc>
        <w:tc>
          <w:tcPr>
            <w:tcW w:w="570" w:type="dxa"/>
            <w:tcBorders>
              <w:top w:val="nil"/>
              <w:left w:val="nil"/>
              <w:bottom w:val="single" w:color="auto" w:sz="4" w:space="0"/>
              <w:right w:val="single" w:color="auto" w:sz="4" w:space="0"/>
            </w:tcBorders>
            <w:vAlign w:val="center"/>
          </w:tcPr>
          <w:p w14:paraId="17CE804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米</w:t>
            </w:r>
          </w:p>
        </w:tc>
        <w:tc>
          <w:tcPr>
            <w:tcW w:w="448" w:type="dxa"/>
            <w:tcBorders>
              <w:top w:val="nil"/>
              <w:left w:val="nil"/>
              <w:bottom w:val="single" w:color="auto" w:sz="4" w:space="0"/>
              <w:right w:val="single" w:color="auto" w:sz="4" w:space="0"/>
            </w:tcBorders>
            <w:vAlign w:val="center"/>
          </w:tcPr>
          <w:p w14:paraId="6A0A834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50</w:t>
            </w:r>
          </w:p>
        </w:tc>
        <w:tc>
          <w:tcPr>
            <w:tcW w:w="731" w:type="dxa"/>
            <w:tcBorders>
              <w:top w:val="nil"/>
              <w:left w:val="nil"/>
              <w:bottom w:val="single" w:color="auto" w:sz="4" w:space="0"/>
              <w:right w:val="single" w:color="auto" w:sz="4" w:space="0"/>
            </w:tcBorders>
            <w:noWrap/>
            <w:vAlign w:val="center"/>
          </w:tcPr>
          <w:p w14:paraId="580A16EA">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741CEA28">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0DF8B3AC">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79BEB5C2">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4C3F41D2">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5DF1AF9D">
            <w:pPr>
              <w:jc w:val="center"/>
              <w:rPr>
                <w:color w:val="auto"/>
              </w:rPr>
            </w:pPr>
          </w:p>
        </w:tc>
      </w:tr>
      <w:tr w14:paraId="3F31389C">
        <w:tblPrEx>
          <w:tblCellMar>
            <w:top w:w="0" w:type="dxa"/>
            <w:left w:w="28" w:type="dxa"/>
            <w:bottom w:w="0" w:type="dxa"/>
            <w:right w:w="28" w:type="dxa"/>
          </w:tblCellMar>
        </w:tblPrEx>
        <w:trPr>
          <w:trHeight w:val="890" w:hRule="atLeast"/>
        </w:trPr>
        <w:tc>
          <w:tcPr>
            <w:tcW w:w="607" w:type="dxa"/>
            <w:tcBorders>
              <w:top w:val="nil"/>
              <w:left w:val="single" w:color="auto" w:sz="4" w:space="0"/>
              <w:bottom w:val="single" w:color="auto" w:sz="4" w:space="0"/>
              <w:right w:val="single" w:color="auto" w:sz="4" w:space="0"/>
            </w:tcBorders>
            <w:noWrap/>
            <w:vAlign w:val="center"/>
          </w:tcPr>
          <w:p w14:paraId="6B1DDC96">
            <w:pPr>
              <w:jc w:val="center"/>
              <w:rPr>
                <w:rFonts w:ascii="宋体" w:hAnsi="宋体" w:eastAsia="宋体" w:cs="宋体"/>
                <w:color w:val="auto"/>
                <w:sz w:val="24"/>
                <w:szCs w:val="24"/>
              </w:rPr>
            </w:pPr>
            <w:r>
              <w:rPr>
                <w:rFonts w:hint="eastAsia" w:ascii="宋体" w:hAnsi="宋体" w:eastAsia="宋体" w:cs="宋体"/>
                <w:color w:val="auto"/>
                <w:sz w:val="24"/>
                <w:szCs w:val="24"/>
              </w:rPr>
              <w:t>21</w:t>
            </w:r>
          </w:p>
        </w:tc>
        <w:tc>
          <w:tcPr>
            <w:tcW w:w="1275" w:type="dxa"/>
            <w:tcBorders>
              <w:top w:val="nil"/>
              <w:left w:val="single" w:color="auto" w:sz="4" w:space="0"/>
              <w:bottom w:val="single" w:color="auto" w:sz="4" w:space="0"/>
              <w:right w:val="single" w:color="auto" w:sz="4" w:space="0"/>
            </w:tcBorders>
            <w:noWrap/>
            <w:vAlign w:val="center"/>
          </w:tcPr>
          <w:p w14:paraId="46B82247">
            <w:pPr>
              <w:widowControl/>
              <w:jc w:val="left"/>
              <w:textAlignment w:val="center"/>
              <w:rPr>
                <w:rFonts w:ascii="宋体" w:hAnsi="宋体" w:eastAsia="宋体" w:cs="宋体"/>
                <w:color w:val="auto"/>
                <w:sz w:val="21"/>
                <w:szCs w:val="21"/>
                <w:lang w:bidi="ar"/>
              </w:rPr>
            </w:pPr>
            <w:r>
              <w:rPr>
                <w:rFonts w:hint="eastAsia"/>
                <w:color w:val="auto"/>
                <w:sz w:val="21"/>
                <w:szCs w:val="21"/>
              </w:rPr>
              <w:t>音频线</w:t>
            </w:r>
          </w:p>
        </w:tc>
        <w:tc>
          <w:tcPr>
            <w:tcW w:w="6315" w:type="dxa"/>
            <w:tcBorders>
              <w:top w:val="nil"/>
              <w:left w:val="nil"/>
              <w:bottom w:val="single" w:color="auto" w:sz="4" w:space="0"/>
              <w:right w:val="single" w:color="auto" w:sz="4" w:space="0"/>
            </w:tcBorders>
            <w:noWrap/>
            <w:vAlign w:val="center"/>
          </w:tcPr>
          <w:p w14:paraId="70B68BF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1.材料：优质，带屏蔽。</w:t>
            </w:r>
          </w:p>
          <w:p w14:paraId="469B87F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2.规格：≥2*0.5平方音频线。</w:t>
            </w:r>
          </w:p>
        </w:tc>
        <w:tc>
          <w:tcPr>
            <w:tcW w:w="570" w:type="dxa"/>
            <w:tcBorders>
              <w:top w:val="nil"/>
              <w:left w:val="nil"/>
              <w:bottom w:val="single" w:color="auto" w:sz="4" w:space="0"/>
              <w:right w:val="single" w:color="auto" w:sz="4" w:space="0"/>
            </w:tcBorders>
            <w:vAlign w:val="center"/>
          </w:tcPr>
          <w:p w14:paraId="19A265A2">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米</w:t>
            </w:r>
          </w:p>
        </w:tc>
        <w:tc>
          <w:tcPr>
            <w:tcW w:w="448" w:type="dxa"/>
            <w:tcBorders>
              <w:top w:val="nil"/>
              <w:left w:val="nil"/>
              <w:bottom w:val="single" w:color="auto" w:sz="4" w:space="0"/>
              <w:right w:val="single" w:color="auto" w:sz="4" w:space="0"/>
            </w:tcBorders>
            <w:vAlign w:val="center"/>
          </w:tcPr>
          <w:p w14:paraId="16B24C1D">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50</w:t>
            </w:r>
          </w:p>
        </w:tc>
        <w:tc>
          <w:tcPr>
            <w:tcW w:w="731" w:type="dxa"/>
            <w:tcBorders>
              <w:top w:val="nil"/>
              <w:left w:val="nil"/>
              <w:bottom w:val="single" w:color="auto" w:sz="4" w:space="0"/>
              <w:right w:val="single" w:color="auto" w:sz="4" w:space="0"/>
            </w:tcBorders>
            <w:noWrap/>
            <w:vAlign w:val="center"/>
          </w:tcPr>
          <w:p w14:paraId="3698E2A0">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5DFB3FDD">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1A4243C8">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168C790F">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388E4A7B">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3FA979A2">
            <w:pPr>
              <w:jc w:val="center"/>
              <w:rPr>
                <w:color w:val="auto"/>
              </w:rPr>
            </w:pPr>
          </w:p>
        </w:tc>
      </w:tr>
      <w:tr w14:paraId="46613F75">
        <w:tblPrEx>
          <w:tblCellMar>
            <w:top w:w="0" w:type="dxa"/>
            <w:left w:w="28" w:type="dxa"/>
            <w:bottom w:w="0" w:type="dxa"/>
            <w:right w:w="28" w:type="dxa"/>
          </w:tblCellMar>
        </w:tblPrEx>
        <w:trPr>
          <w:trHeight w:val="1257" w:hRule="atLeast"/>
        </w:trPr>
        <w:tc>
          <w:tcPr>
            <w:tcW w:w="607" w:type="dxa"/>
            <w:tcBorders>
              <w:top w:val="nil"/>
              <w:left w:val="single" w:color="auto" w:sz="4" w:space="0"/>
              <w:bottom w:val="single" w:color="auto" w:sz="4" w:space="0"/>
              <w:right w:val="single" w:color="auto" w:sz="4" w:space="0"/>
            </w:tcBorders>
            <w:noWrap/>
            <w:vAlign w:val="center"/>
          </w:tcPr>
          <w:p w14:paraId="3D5E6A09">
            <w:pPr>
              <w:jc w:val="center"/>
              <w:rPr>
                <w:rFonts w:ascii="宋体" w:hAnsi="宋体" w:eastAsia="宋体" w:cs="宋体"/>
                <w:color w:val="auto"/>
                <w:sz w:val="24"/>
                <w:szCs w:val="24"/>
              </w:rPr>
            </w:pPr>
            <w:r>
              <w:rPr>
                <w:rFonts w:hint="eastAsia" w:ascii="宋体" w:hAnsi="宋体" w:eastAsia="宋体" w:cs="宋体"/>
                <w:color w:val="auto"/>
                <w:sz w:val="24"/>
                <w:szCs w:val="24"/>
              </w:rPr>
              <w:t>22</w:t>
            </w:r>
          </w:p>
        </w:tc>
        <w:tc>
          <w:tcPr>
            <w:tcW w:w="1275" w:type="dxa"/>
            <w:tcBorders>
              <w:top w:val="nil"/>
              <w:left w:val="single" w:color="auto" w:sz="4" w:space="0"/>
              <w:bottom w:val="single" w:color="auto" w:sz="4" w:space="0"/>
              <w:right w:val="single" w:color="auto" w:sz="4" w:space="0"/>
            </w:tcBorders>
            <w:noWrap/>
            <w:vAlign w:val="center"/>
          </w:tcPr>
          <w:p w14:paraId="175263CF">
            <w:pPr>
              <w:widowControl/>
              <w:jc w:val="left"/>
              <w:textAlignment w:val="center"/>
              <w:rPr>
                <w:rFonts w:ascii="宋体" w:hAnsi="宋体" w:eastAsia="宋体" w:cs="宋体"/>
                <w:color w:val="auto"/>
                <w:sz w:val="21"/>
                <w:szCs w:val="21"/>
                <w:lang w:bidi="ar"/>
              </w:rPr>
            </w:pPr>
            <w:r>
              <w:rPr>
                <w:rFonts w:hint="eastAsia"/>
                <w:color w:val="auto"/>
                <w:sz w:val="21"/>
                <w:szCs w:val="21"/>
              </w:rPr>
              <w:t>羽毛球网</w:t>
            </w:r>
          </w:p>
        </w:tc>
        <w:tc>
          <w:tcPr>
            <w:tcW w:w="6315" w:type="dxa"/>
            <w:tcBorders>
              <w:top w:val="nil"/>
              <w:left w:val="nil"/>
              <w:bottom w:val="single" w:color="auto" w:sz="4" w:space="0"/>
              <w:right w:val="single" w:color="auto" w:sz="4" w:space="0"/>
            </w:tcBorders>
            <w:noWrap/>
            <w:vAlign w:val="center"/>
          </w:tcPr>
          <w:p w14:paraId="746E416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▲1.尼龙材质。</w:t>
            </w:r>
          </w:p>
          <w:p w14:paraId="49650C8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▲2.四面包边配钢丝。</w:t>
            </w:r>
          </w:p>
          <w:p w14:paraId="710D4CC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▲3.规格：≥6.1m×0.76m(±0.02m)</w:t>
            </w:r>
          </w:p>
          <w:p w14:paraId="53CE95B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4.孔径：网眼为 15-20mm 的方孔</w:t>
            </w:r>
          </w:p>
        </w:tc>
        <w:tc>
          <w:tcPr>
            <w:tcW w:w="570" w:type="dxa"/>
            <w:tcBorders>
              <w:top w:val="nil"/>
              <w:left w:val="nil"/>
              <w:bottom w:val="single" w:color="auto" w:sz="4" w:space="0"/>
              <w:right w:val="single" w:color="auto" w:sz="4" w:space="0"/>
            </w:tcBorders>
            <w:vAlign w:val="center"/>
          </w:tcPr>
          <w:p w14:paraId="218CD407">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张</w:t>
            </w:r>
          </w:p>
        </w:tc>
        <w:tc>
          <w:tcPr>
            <w:tcW w:w="448" w:type="dxa"/>
            <w:tcBorders>
              <w:top w:val="nil"/>
              <w:left w:val="nil"/>
              <w:bottom w:val="single" w:color="auto" w:sz="4" w:space="0"/>
              <w:right w:val="single" w:color="auto" w:sz="4" w:space="0"/>
            </w:tcBorders>
            <w:vAlign w:val="center"/>
          </w:tcPr>
          <w:p w14:paraId="6AB6FD89">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30</w:t>
            </w:r>
          </w:p>
        </w:tc>
        <w:tc>
          <w:tcPr>
            <w:tcW w:w="731" w:type="dxa"/>
            <w:tcBorders>
              <w:top w:val="nil"/>
              <w:left w:val="nil"/>
              <w:bottom w:val="single" w:color="auto" w:sz="4" w:space="0"/>
              <w:right w:val="single" w:color="auto" w:sz="4" w:space="0"/>
            </w:tcBorders>
            <w:noWrap/>
            <w:vAlign w:val="center"/>
          </w:tcPr>
          <w:p w14:paraId="5AC7E7A5">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5DFEEDC2">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38FEA794">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0D5744BC">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33B0E731">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3A20C234">
            <w:pPr>
              <w:jc w:val="center"/>
              <w:rPr>
                <w:color w:val="auto"/>
              </w:rPr>
            </w:pPr>
          </w:p>
        </w:tc>
      </w:tr>
      <w:tr w14:paraId="4708DC2E">
        <w:tblPrEx>
          <w:tblCellMar>
            <w:top w:w="0" w:type="dxa"/>
            <w:left w:w="28" w:type="dxa"/>
            <w:bottom w:w="0" w:type="dxa"/>
            <w:right w:w="28" w:type="dxa"/>
          </w:tblCellMar>
        </w:tblPrEx>
        <w:trPr>
          <w:trHeight w:val="1655" w:hRule="atLeast"/>
        </w:trPr>
        <w:tc>
          <w:tcPr>
            <w:tcW w:w="607" w:type="dxa"/>
            <w:tcBorders>
              <w:top w:val="nil"/>
              <w:left w:val="single" w:color="auto" w:sz="4" w:space="0"/>
              <w:bottom w:val="single" w:color="auto" w:sz="4" w:space="0"/>
              <w:right w:val="single" w:color="auto" w:sz="4" w:space="0"/>
            </w:tcBorders>
            <w:noWrap/>
            <w:vAlign w:val="center"/>
          </w:tcPr>
          <w:p w14:paraId="14A23DCD">
            <w:pPr>
              <w:jc w:val="center"/>
              <w:rPr>
                <w:rFonts w:ascii="宋体" w:hAnsi="宋体" w:eastAsia="宋体" w:cs="宋体"/>
                <w:color w:val="auto"/>
                <w:sz w:val="24"/>
                <w:szCs w:val="24"/>
              </w:rPr>
            </w:pPr>
            <w:r>
              <w:rPr>
                <w:rFonts w:hint="eastAsia" w:ascii="宋体" w:hAnsi="宋体" w:eastAsia="宋体" w:cs="宋体"/>
                <w:color w:val="auto"/>
                <w:sz w:val="24"/>
                <w:szCs w:val="24"/>
              </w:rPr>
              <w:t>23</w:t>
            </w:r>
          </w:p>
        </w:tc>
        <w:tc>
          <w:tcPr>
            <w:tcW w:w="1275" w:type="dxa"/>
            <w:tcBorders>
              <w:top w:val="nil"/>
              <w:left w:val="single" w:color="auto" w:sz="4" w:space="0"/>
              <w:bottom w:val="single" w:color="auto" w:sz="4" w:space="0"/>
              <w:right w:val="single" w:color="auto" w:sz="4" w:space="0"/>
            </w:tcBorders>
            <w:noWrap/>
            <w:vAlign w:val="center"/>
          </w:tcPr>
          <w:p w14:paraId="49A4CE9A">
            <w:pPr>
              <w:widowControl/>
              <w:jc w:val="left"/>
              <w:textAlignment w:val="center"/>
              <w:rPr>
                <w:rFonts w:ascii="宋体" w:hAnsi="宋体" w:eastAsia="宋体" w:cs="宋体"/>
                <w:color w:val="auto"/>
                <w:sz w:val="21"/>
                <w:szCs w:val="21"/>
                <w:lang w:bidi="ar"/>
              </w:rPr>
            </w:pPr>
            <w:r>
              <w:rPr>
                <w:rFonts w:hint="eastAsia"/>
                <w:color w:val="auto"/>
                <w:sz w:val="21"/>
                <w:szCs w:val="21"/>
              </w:rPr>
              <w:t>排球网</w:t>
            </w:r>
          </w:p>
        </w:tc>
        <w:tc>
          <w:tcPr>
            <w:tcW w:w="6315" w:type="dxa"/>
            <w:tcBorders>
              <w:top w:val="nil"/>
              <w:left w:val="nil"/>
              <w:bottom w:val="single" w:color="auto" w:sz="4" w:space="0"/>
              <w:right w:val="single" w:color="auto" w:sz="4" w:space="0"/>
            </w:tcBorders>
            <w:noWrap/>
            <w:vAlign w:val="center"/>
          </w:tcPr>
          <w:p w14:paraId="27250C1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1.规格：≥9.5m*1m(±0.02m)。配插杆标志带</w:t>
            </w:r>
          </w:p>
          <w:p w14:paraId="47A301B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▲2.材质：聚乙烯编制有结网四面包边配钢丝绳</w:t>
            </w:r>
          </w:p>
          <w:p w14:paraId="531B3A5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3.网孔大小：10cm×10cm（正方形）</w:t>
            </w:r>
          </w:p>
          <w:p w14:paraId="027ED16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4.边带：上下各有5cm宽的白色边带</w:t>
            </w:r>
          </w:p>
        </w:tc>
        <w:tc>
          <w:tcPr>
            <w:tcW w:w="570" w:type="dxa"/>
            <w:tcBorders>
              <w:top w:val="nil"/>
              <w:left w:val="nil"/>
              <w:bottom w:val="single" w:color="auto" w:sz="4" w:space="0"/>
              <w:right w:val="single" w:color="auto" w:sz="4" w:space="0"/>
            </w:tcBorders>
            <w:vAlign w:val="center"/>
          </w:tcPr>
          <w:p w14:paraId="511A5818">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张</w:t>
            </w:r>
          </w:p>
        </w:tc>
        <w:tc>
          <w:tcPr>
            <w:tcW w:w="448" w:type="dxa"/>
            <w:tcBorders>
              <w:top w:val="nil"/>
              <w:left w:val="nil"/>
              <w:bottom w:val="single" w:color="auto" w:sz="4" w:space="0"/>
              <w:right w:val="single" w:color="auto" w:sz="4" w:space="0"/>
            </w:tcBorders>
            <w:vAlign w:val="center"/>
          </w:tcPr>
          <w:p w14:paraId="014F0980">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w:t>
            </w:r>
          </w:p>
        </w:tc>
        <w:tc>
          <w:tcPr>
            <w:tcW w:w="731" w:type="dxa"/>
            <w:tcBorders>
              <w:top w:val="nil"/>
              <w:left w:val="nil"/>
              <w:bottom w:val="single" w:color="auto" w:sz="4" w:space="0"/>
              <w:right w:val="single" w:color="auto" w:sz="4" w:space="0"/>
            </w:tcBorders>
            <w:noWrap/>
            <w:vAlign w:val="center"/>
          </w:tcPr>
          <w:p w14:paraId="3A1C976A">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5AE3EFEC">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2416B708">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382437FD">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5798F108">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5D727CCD">
            <w:pPr>
              <w:jc w:val="center"/>
              <w:rPr>
                <w:color w:val="auto"/>
              </w:rPr>
            </w:pPr>
          </w:p>
        </w:tc>
      </w:tr>
      <w:tr w14:paraId="58F6DC17">
        <w:tblPrEx>
          <w:tblCellMar>
            <w:top w:w="0" w:type="dxa"/>
            <w:left w:w="28" w:type="dxa"/>
            <w:bottom w:w="0" w:type="dxa"/>
            <w:right w:w="28" w:type="dxa"/>
          </w:tblCellMar>
        </w:tblPrEx>
        <w:trPr>
          <w:trHeight w:val="1404" w:hRule="atLeast"/>
        </w:trPr>
        <w:tc>
          <w:tcPr>
            <w:tcW w:w="607" w:type="dxa"/>
            <w:tcBorders>
              <w:top w:val="nil"/>
              <w:left w:val="single" w:color="auto" w:sz="4" w:space="0"/>
              <w:bottom w:val="single" w:color="auto" w:sz="4" w:space="0"/>
              <w:right w:val="single" w:color="auto" w:sz="4" w:space="0"/>
            </w:tcBorders>
            <w:noWrap/>
            <w:vAlign w:val="center"/>
          </w:tcPr>
          <w:p w14:paraId="00E0CA55">
            <w:pPr>
              <w:jc w:val="center"/>
              <w:rPr>
                <w:rFonts w:ascii="宋体" w:hAnsi="宋体" w:eastAsia="宋体" w:cs="宋体"/>
                <w:color w:val="auto"/>
                <w:sz w:val="24"/>
                <w:szCs w:val="24"/>
              </w:rPr>
            </w:pPr>
            <w:r>
              <w:rPr>
                <w:rFonts w:hint="eastAsia" w:ascii="宋体" w:hAnsi="宋体" w:eastAsia="宋体" w:cs="宋体"/>
                <w:color w:val="auto"/>
                <w:sz w:val="24"/>
                <w:szCs w:val="24"/>
              </w:rPr>
              <w:t>24</w:t>
            </w:r>
          </w:p>
        </w:tc>
        <w:tc>
          <w:tcPr>
            <w:tcW w:w="1275" w:type="dxa"/>
            <w:tcBorders>
              <w:top w:val="nil"/>
              <w:left w:val="single" w:color="auto" w:sz="4" w:space="0"/>
              <w:bottom w:val="single" w:color="auto" w:sz="4" w:space="0"/>
              <w:right w:val="single" w:color="auto" w:sz="4" w:space="0"/>
            </w:tcBorders>
            <w:noWrap/>
            <w:vAlign w:val="center"/>
          </w:tcPr>
          <w:p w14:paraId="7A7E27CB">
            <w:pPr>
              <w:widowControl/>
              <w:jc w:val="left"/>
              <w:textAlignment w:val="center"/>
              <w:rPr>
                <w:rFonts w:ascii="宋体" w:hAnsi="宋体" w:eastAsia="宋体" w:cs="宋体"/>
                <w:color w:val="auto"/>
                <w:sz w:val="21"/>
                <w:szCs w:val="21"/>
                <w:lang w:bidi="ar"/>
              </w:rPr>
            </w:pPr>
            <w:r>
              <w:rPr>
                <w:rFonts w:hint="eastAsia"/>
                <w:color w:val="auto"/>
                <w:sz w:val="21"/>
                <w:szCs w:val="21"/>
              </w:rPr>
              <w:t>移动式羽毛球柱</w:t>
            </w:r>
          </w:p>
        </w:tc>
        <w:tc>
          <w:tcPr>
            <w:tcW w:w="6315" w:type="dxa"/>
            <w:tcBorders>
              <w:top w:val="nil"/>
              <w:left w:val="nil"/>
              <w:bottom w:val="single" w:color="auto" w:sz="4" w:space="0"/>
              <w:right w:val="single" w:color="auto" w:sz="4" w:space="0"/>
            </w:tcBorders>
            <w:noWrap/>
            <w:vAlign w:val="center"/>
          </w:tcPr>
          <w:p w14:paraId="27F2033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▲1.立柱：钢管，直径≥42mm，壁厚≥1.3mm。</w:t>
            </w:r>
          </w:p>
          <w:p w14:paraId="4E1DB7B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▲2.铸铁底座，箱尺寸≥30*25*30cm，总长≥55cm，</w:t>
            </w:r>
          </w:p>
          <w:p w14:paraId="77A4ED7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▲3.材质：钢材立柱，带轮可移动，带有紧线器。</w:t>
            </w:r>
          </w:p>
        </w:tc>
        <w:tc>
          <w:tcPr>
            <w:tcW w:w="570" w:type="dxa"/>
            <w:tcBorders>
              <w:top w:val="nil"/>
              <w:left w:val="nil"/>
              <w:bottom w:val="single" w:color="auto" w:sz="4" w:space="0"/>
              <w:right w:val="single" w:color="auto" w:sz="4" w:space="0"/>
            </w:tcBorders>
            <w:vAlign w:val="center"/>
          </w:tcPr>
          <w:p w14:paraId="4C5AF6C0">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副</w:t>
            </w:r>
          </w:p>
        </w:tc>
        <w:tc>
          <w:tcPr>
            <w:tcW w:w="448" w:type="dxa"/>
            <w:tcBorders>
              <w:top w:val="nil"/>
              <w:left w:val="nil"/>
              <w:bottom w:val="single" w:color="auto" w:sz="4" w:space="0"/>
              <w:right w:val="single" w:color="auto" w:sz="4" w:space="0"/>
            </w:tcBorders>
            <w:vAlign w:val="center"/>
          </w:tcPr>
          <w:p w14:paraId="5DC6B67B">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15</w:t>
            </w:r>
          </w:p>
        </w:tc>
        <w:tc>
          <w:tcPr>
            <w:tcW w:w="731" w:type="dxa"/>
            <w:tcBorders>
              <w:top w:val="nil"/>
              <w:left w:val="nil"/>
              <w:bottom w:val="single" w:color="auto" w:sz="4" w:space="0"/>
              <w:right w:val="single" w:color="auto" w:sz="4" w:space="0"/>
            </w:tcBorders>
            <w:noWrap/>
            <w:vAlign w:val="center"/>
          </w:tcPr>
          <w:p w14:paraId="214DE3E1">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5F0734C8">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5DDB1C3E">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6E99EA70">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4E9066E0">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5845339F">
            <w:pPr>
              <w:jc w:val="center"/>
              <w:rPr>
                <w:color w:val="auto"/>
              </w:rPr>
            </w:pPr>
          </w:p>
        </w:tc>
      </w:tr>
      <w:tr w14:paraId="2F729266">
        <w:tblPrEx>
          <w:tblCellMar>
            <w:top w:w="0" w:type="dxa"/>
            <w:left w:w="28" w:type="dxa"/>
            <w:bottom w:w="0" w:type="dxa"/>
            <w:right w:w="28" w:type="dxa"/>
          </w:tblCellMar>
        </w:tblPrEx>
        <w:trPr>
          <w:trHeight w:val="945" w:hRule="atLeast"/>
        </w:trPr>
        <w:tc>
          <w:tcPr>
            <w:tcW w:w="607" w:type="dxa"/>
            <w:tcBorders>
              <w:top w:val="nil"/>
              <w:left w:val="single" w:color="auto" w:sz="4" w:space="0"/>
              <w:bottom w:val="single" w:color="auto" w:sz="4" w:space="0"/>
              <w:right w:val="single" w:color="auto" w:sz="4" w:space="0"/>
            </w:tcBorders>
            <w:noWrap/>
            <w:vAlign w:val="center"/>
          </w:tcPr>
          <w:p w14:paraId="646B926C">
            <w:pPr>
              <w:jc w:val="center"/>
              <w:rPr>
                <w:rFonts w:ascii="宋体" w:hAnsi="宋体" w:eastAsia="宋体" w:cs="宋体"/>
                <w:color w:val="auto"/>
                <w:sz w:val="24"/>
                <w:szCs w:val="24"/>
              </w:rPr>
            </w:pPr>
            <w:r>
              <w:rPr>
                <w:rFonts w:hint="eastAsia" w:ascii="宋体" w:hAnsi="宋体" w:eastAsia="宋体" w:cs="宋体"/>
                <w:color w:val="auto"/>
                <w:sz w:val="24"/>
                <w:szCs w:val="24"/>
              </w:rPr>
              <w:t>25</w:t>
            </w:r>
          </w:p>
        </w:tc>
        <w:tc>
          <w:tcPr>
            <w:tcW w:w="1275" w:type="dxa"/>
            <w:tcBorders>
              <w:top w:val="nil"/>
              <w:left w:val="single" w:color="auto" w:sz="4" w:space="0"/>
              <w:bottom w:val="single" w:color="auto" w:sz="4" w:space="0"/>
              <w:right w:val="single" w:color="auto" w:sz="4" w:space="0"/>
            </w:tcBorders>
            <w:noWrap/>
            <w:vAlign w:val="center"/>
          </w:tcPr>
          <w:p w14:paraId="69D7F966">
            <w:pPr>
              <w:widowControl/>
              <w:jc w:val="left"/>
              <w:textAlignment w:val="center"/>
              <w:rPr>
                <w:rFonts w:ascii="宋体" w:hAnsi="宋体" w:eastAsia="宋体" w:cs="宋体"/>
                <w:color w:val="auto"/>
                <w:sz w:val="21"/>
                <w:szCs w:val="21"/>
                <w:lang w:bidi="ar"/>
              </w:rPr>
            </w:pPr>
            <w:r>
              <w:rPr>
                <w:rFonts w:hint="eastAsia"/>
                <w:color w:val="auto"/>
                <w:sz w:val="21"/>
                <w:szCs w:val="21"/>
              </w:rPr>
              <w:t>休息椅子带靠背</w:t>
            </w:r>
          </w:p>
        </w:tc>
        <w:tc>
          <w:tcPr>
            <w:tcW w:w="6315" w:type="dxa"/>
            <w:tcBorders>
              <w:top w:val="nil"/>
              <w:left w:val="nil"/>
              <w:bottom w:val="single" w:color="auto" w:sz="4" w:space="0"/>
              <w:right w:val="single" w:color="auto" w:sz="4" w:space="0"/>
            </w:tcBorders>
            <w:noWrap/>
            <w:vAlign w:val="center"/>
          </w:tcPr>
          <w:p w14:paraId="3000F1A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▲1.尺寸：≥180cm*43cm*38cm。靠背高≥76cm。</w:t>
            </w:r>
          </w:p>
          <w:p w14:paraId="6D7C079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▲2.坐面材质：防腐木。</w:t>
            </w:r>
          </w:p>
        </w:tc>
        <w:tc>
          <w:tcPr>
            <w:tcW w:w="570" w:type="dxa"/>
            <w:tcBorders>
              <w:top w:val="nil"/>
              <w:left w:val="nil"/>
              <w:bottom w:val="single" w:color="auto" w:sz="4" w:space="0"/>
              <w:right w:val="single" w:color="auto" w:sz="4" w:space="0"/>
            </w:tcBorders>
            <w:vAlign w:val="center"/>
          </w:tcPr>
          <w:p w14:paraId="4BC8DBD0">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张</w:t>
            </w:r>
          </w:p>
        </w:tc>
        <w:tc>
          <w:tcPr>
            <w:tcW w:w="448" w:type="dxa"/>
            <w:tcBorders>
              <w:top w:val="nil"/>
              <w:left w:val="nil"/>
              <w:bottom w:val="single" w:color="auto" w:sz="4" w:space="0"/>
              <w:right w:val="single" w:color="auto" w:sz="4" w:space="0"/>
            </w:tcBorders>
            <w:vAlign w:val="center"/>
          </w:tcPr>
          <w:p w14:paraId="3B862D44">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30</w:t>
            </w:r>
          </w:p>
        </w:tc>
        <w:tc>
          <w:tcPr>
            <w:tcW w:w="731" w:type="dxa"/>
            <w:tcBorders>
              <w:top w:val="nil"/>
              <w:left w:val="nil"/>
              <w:bottom w:val="single" w:color="auto" w:sz="4" w:space="0"/>
              <w:right w:val="single" w:color="auto" w:sz="4" w:space="0"/>
            </w:tcBorders>
            <w:noWrap/>
            <w:vAlign w:val="center"/>
          </w:tcPr>
          <w:p w14:paraId="2C5739E4">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16F0D205">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7FD82FFC">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4E5B0970">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17847B9C">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10FAC25B">
            <w:pPr>
              <w:jc w:val="center"/>
              <w:rPr>
                <w:color w:val="auto"/>
              </w:rPr>
            </w:pPr>
          </w:p>
        </w:tc>
      </w:tr>
      <w:tr w14:paraId="1052FE8A">
        <w:tblPrEx>
          <w:tblCellMar>
            <w:top w:w="0" w:type="dxa"/>
            <w:left w:w="28" w:type="dxa"/>
            <w:bottom w:w="0" w:type="dxa"/>
            <w:right w:w="28" w:type="dxa"/>
          </w:tblCellMar>
        </w:tblPrEx>
        <w:trPr>
          <w:trHeight w:val="1569" w:hRule="atLeast"/>
        </w:trPr>
        <w:tc>
          <w:tcPr>
            <w:tcW w:w="607" w:type="dxa"/>
            <w:tcBorders>
              <w:top w:val="nil"/>
              <w:left w:val="single" w:color="auto" w:sz="4" w:space="0"/>
              <w:bottom w:val="single" w:color="auto" w:sz="4" w:space="0"/>
              <w:right w:val="single" w:color="auto" w:sz="4" w:space="0"/>
            </w:tcBorders>
            <w:noWrap/>
            <w:vAlign w:val="center"/>
          </w:tcPr>
          <w:p w14:paraId="520A81FD">
            <w:pPr>
              <w:jc w:val="center"/>
              <w:rPr>
                <w:rFonts w:ascii="宋体" w:hAnsi="宋体" w:eastAsia="宋体" w:cs="宋体"/>
                <w:color w:val="auto"/>
                <w:sz w:val="24"/>
                <w:szCs w:val="24"/>
              </w:rPr>
            </w:pPr>
            <w:r>
              <w:rPr>
                <w:rFonts w:hint="eastAsia" w:ascii="宋体" w:hAnsi="宋体" w:eastAsia="宋体" w:cs="宋体"/>
                <w:color w:val="auto"/>
                <w:sz w:val="24"/>
                <w:szCs w:val="24"/>
              </w:rPr>
              <w:t>26</w:t>
            </w:r>
          </w:p>
        </w:tc>
        <w:tc>
          <w:tcPr>
            <w:tcW w:w="1275" w:type="dxa"/>
            <w:tcBorders>
              <w:top w:val="nil"/>
              <w:left w:val="single" w:color="auto" w:sz="4" w:space="0"/>
              <w:bottom w:val="single" w:color="auto" w:sz="4" w:space="0"/>
              <w:right w:val="single" w:color="auto" w:sz="4" w:space="0"/>
            </w:tcBorders>
            <w:noWrap/>
            <w:vAlign w:val="center"/>
          </w:tcPr>
          <w:p w14:paraId="640A0F3F">
            <w:pPr>
              <w:widowControl/>
              <w:jc w:val="left"/>
              <w:textAlignment w:val="center"/>
              <w:rPr>
                <w:rFonts w:ascii="宋体" w:hAnsi="宋体" w:eastAsia="宋体" w:cs="宋体"/>
                <w:color w:val="auto"/>
                <w:sz w:val="21"/>
                <w:szCs w:val="21"/>
                <w:lang w:bidi="ar"/>
              </w:rPr>
            </w:pPr>
            <w:r>
              <w:rPr>
                <w:rFonts w:hint="eastAsia"/>
                <w:color w:val="auto"/>
                <w:sz w:val="21"/>
                <w:szCs w:val="21"/>
              </w:rPr>
              <w:t>羽毛球</w:t>
            </w:r>
          </w:p>
        </w:tc>
        <w:tc>
          <w:tcPr>
            <w:tcW w:w="6315" w:type="dxa"/>
            <w:tcBorders>
              <w:top w:val="nil"/>
              <w:left w:val="nil"/>
              <w:bottom w:val="single" w:color="auto" w:sz="4" w:space="0"/>
              <w:right w:val="single" w:color="auto" w:sz="4" w:space="0"/>
            </w:tcBorders>
            <w:noWrap/>
            <w:vAlign w:val="center"/>
          </w:tcPr>
          <w:p w14:paraId="52780BF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▲1.规格：12只/桶</w:t>
            </w:r>
          </w:p>
          <w:p w14:paraId="71A0410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▲2.重量：4.7-5.5g/只</w:t>
            </w:r>
          </w:p>
          <w:p w14:paraId="73422E5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▲3.材质：精选鸭毛+复合软木</w:t>
            </w:r>
          </w:p>
          <w:p w14:paraId="71FD511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4.球体长度：羽毛长62mm-70mm</w:t>
            </w:r>
          </w:p>
          <w:p w14:paraId="377ACD0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5.球头直径：25mm-28mm</w:t>
            </w:r>
          </w:p>
        </w:tc>
        <w:tc>
          <w:tcPr>
            <w:tcW w:w="570" w:type="dxa"/>
            <w:tcBorders>
              <w:top w:val="nil"/>
              <w:left w:val="nil"/>
              <w:bottom w:val="single" w:color="auto" w:sz="4" w:space="0"/>
              <w:right w:val="single" w:color="auto" w:sz="4" w:space="0"/>
            </w:tcBorders>
            <w:vAlign w:val="center"/>
          </w:tcPr>
          <w:p w14:paraId="5CCE4B81">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桶</w:t>
            </w:r>
          </w:p>
        </w:tc>
        <w:tc>
          <w:tcPr>
            <w:tcW w:w="448" w:type="dxa"/>
            <w:tcBorders>
              <w:top w:val="nil"/>
              <w:left w:val="nil"/>
              <w:bottom w:val="single" w:color="auto" w:sz="4" w:space="0"/>
              <w:right w:val="single" w:color="auto" w:sz="4" w:space="0"/>
            </w:tcBorders>
            <w:vAlign w:val="center"/>
          </w:tcPr>
          <w:p w14:paraId="51F678E7">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100</w:t>
            </w:r>
          </w:p>
        </w:tc>
        <w:tc>
          <w:tcPr>
            <w:tcW w:w="731" w:type="dxa"/>
            <w:tcBorders>
              <w:top w:val="nil"/>
              <w:left w:val="nil"/>
              <w:bottom w:val="single" w:color="auto" w:sz="4" w:space="0"/>
              <w:right w:val="single" w:color="auto" w:sz="4" w:space="0"/>
            </w:tcBorders>
            <w:noWrap/>
            <w:vAlign w:val="center"/>
          </w:tcPr>
          <w:p w14:paraId="1632F92D">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08D166F4">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02973C20">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4583303C">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219F7183">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78FCF575">
            <w:pPr>
              <w:jc w:val="center"/>
              <w:rPr>
                <w:color w:val="auto"/>
              </w:rPr>
            </w:pPr>
          </w:p>
        </w:tc>
      </w:tr>
      <w:tr w14:paraId="4EDDFD39">
        <w:tblPrEx>
          <w:tblCellMar>
            <w:top w:w="0" w:type="dxa"/>
            <w:left w:w="28" w:type="dxa"/>
            <w:bottom w:w="0" w:type="dxa"/>
            <w:right w:w="28" w:type="dxa"/>
          </w:tblCellMar>
        </w:tblPrEx>
        <w:trPr>
          <w:trHeight w:val="1888" w:hRule="atLeast"/>
        </w:trPr>
        <w:tc>
          <w:tcPr>
            <w:tcW w:w="607" w:type="dxa"/>
            <w:tcBorders>
              <w:top w:val="nil"/>
              <w:left w:val="single" w:color="auto" w:sz="4" w:space="0"/>
              <w:bottom w:val="single" w:color="auto" w:sz="4" w:space="0"/>
              <w:right w:val="single" w:color="auto" w:sz="4" w:space="0"/>
            </w:tcBorders>
            <w:noWrap/>
            <w:vAlign w:val="center"/>
          </w:tcPr>
          <w:p w14:paraId="75580801">
            <w:pPr>
              <w:jc w:val="center"/>
              <w:rPr>
                <w:rFonts w:ascii="宋体" w:hAnsi="宋体" w:eastAsia="宋体" w:cs="宋体"/>
                <w:color w:val="auto"/>
                <w:sz w:val="24"/>
                <w:szCs w:val="24"/>
              </w:rPr>
            </w:pPr>
            <w:r>
              <w:rPr>
                <w:rFonts w:hint="eastAsia" w:ascii="宋体" w:hAnsi="宋体" w:eastAsia="宋体" w:cs="宋体"/>
                <w:color w:val="auto"/>
                <w:sz w:val="24"/>
                <w:szCs w:val="24"/>
              </w:rPr>
              <w:t>27</w:t>
            </w:r>
          </w:p>
        </w:tc>
        <w:tc>
          <w:tcPr>
            <w:tcW w:w="1275" w:type="dxa"/>
            <w:tcBorders>
              <w:top w:val="nil"/>
              <w:left w:val="single" w:color="auto" w:sz="4" w:space="0"/>
              <w:bottom w:val="single" w:color="auto" w:sz="4" w:space="0"/>
              <w:right w:val="single" w:color="auto" w:sz="4" w:space="0"/>
            </w:tcBorders>
            <w:noWrap/>
            <w:vAlign w:val="center"/>
          </w:tcPr>
          <w:p w14:paraId="101C0D33">
            <w:pPr>
              <w:widowControl/>
              <w:jc w:val="left"/>
              <w:textAlignment w:val="center"/>
              <w:rPr>
                <w:rFonts w:ascii="宋体" w:hAnsi="宋体" w:eastAsia="宋体" w:cs="宋体"/>
                <w:color w:val="auto"/>
                <w:sz w:val="21"/>
                <w:szCs w:val="21"/>
                <w:lang w:bidi="ar"/>
              </w:rPr>
            </w:pPr>
            <w:r>
              <w:rPr>
                <w:rFonts w:hint="eastAsia"/>
                <w:color w:val="auto"/>
                <w:sz w:val="21"/>
                <w:szCs w:val="21"/>
              </w:rPr>
              <w:t>软塑拼装运动地板</w:t>
            </w:r>
          </w:p>
        </w:tc>
        <w:tc>
          <w:tcPr>
            <w:tcW w:w="6315" w:type="dxa"/>
            <w:tcBorders>
              <w:top w:val="nil"/>
              <w:left w:val="nil"/>
              <w:bottom w:val="single" w:color="auto" w:sz="4" w:space="0"/>
              <w:right w:val="single" w:color="auto" w:sz="4" w:space="0"/>
            </w:tcBorders>
            <w:noWrap/>
            <w:vAlign w:val="center"/>
          </w:tcPr>
          <w:p w14:paraId="7BAD550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1，产品规格≥30cm*30cm，厚度：1.38cm，外观：表面无龟裂.起泡；</w:t>
            </w:r>
          </w:p>
          <w:p w14:paraId="28973A4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2，抗滑值（干测）80-110；</w:t>
            </w:r>
          </w:p>
          <w:p w14:paraId="2A40C3E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3，苯24h释放量为0；</w:t>
            </w:r>
          </w:p>
          <w:p w14:paraId="5776A0C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▲4，甲醛24h释放量≤1mg/m3；</w:t>
            </w:r>
          </w:p>
          <w:p w14:paraId="3F0A52C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5，总挥发性有机物（TVOC）24h释放量≤0.5mg/m3；</w:t>
            </w:r>
          </w:p>
          <w:p w14:paraId="6654B9A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6.防霉分析检测(黑曲霉.球毛壳霉等10种以上霉菌)，防霉等级达到0级；</w:t>
            </w:r>
          </w:p>
          <w:p w14:paraId="6E4B296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▲7.供检测时长≥10000h耐人工气候老化检测报告，外观不起泡，不剥落，老化前后球反弹率≥91%，老化前后摩擦系数0.4μ~0.7μ；</w:t>
            </w:r>
          </w:p>
          <w:p w14:paraId="76B6011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▲8.提供送样日期到签发日期的检测时长≥7000h雨水中浸泡检测报告，抗滑值（20℃）80-110 BPN，尺寸变化率（长.宽.厚）≤0.5%；</w:t>
            </w:r>
          </w:p>
          <w:p w14:paraId="434E04F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▲9.提供检测时长≥8000h循环测试（高温-低温-湿热-盐雾）报告，外观无龟裂.局部无粉化.无明显变色等，抗滑值80-110，拉伸强度≥20Mpa，甲醛≤0.4mg/(m</w:t>
            </w:r>
            <w:bookmarkStart w:id="0" w:name="_GoBack"/>
            <w:bookmarkEnd w:id="0"/>
            <w:r>
              <w:rPr>
                <w:rFonts w:hint="eastAsia" w:ascii="宋体" w:hAnsi="宋体" w:eastAsia="宋体" w:cs="宋体"/>
                <w:color w:val="auto"/>
                <w:sz w:val="21"/>
                <w:szCs w:val="21"/>
                <w:lang w:bidi="ar"/>
              </w:rPr>
              <w:t>2.h)。</w:t>
            </w:r>
          </w:p>
          <w:p w14:paraId="3A82C24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▲10.供货时</w:t>
            </w:r>
            <w:r>
              <w:rPr>
                <w:rFonts w:hint="eastAsia" w:ascii="宋体" w:hAnsi="宋体" w:eastAsia="宋体" w:cs="宋体"/>
                <w:color w:val="auto"/>
                <w:sz w:val="21"/>
                <w:szCs w:val="21"/>
                <w:lang w:val="en-US" w:eastAsia="zh-CN" w:bidi="ar"/>
              </w:rPr>
              <w:t>1</w:t>
            </w:r>
            <w:r>
              <w:rPr>
                <w:rFonts w:hint="eastAsia" w:ascii="宋体" w:hAnsi="宋体" w:eastAsia="宋体" w:cs="宋体"/>
                <w:color w:val="auto"/>
                <w:sz w:val="21"/>
                <w:szCs w:val="21"/>
                <w:lang w:bidi="ar"/>
              </w:rPr>
              <w:t>-</w:t>
            </w:r>
            <w:r>
              <w:rPr>
                <w:rFonts w:hint="eastAsia" w:ascii="宋体" w:hAnsi="宋体" w:eastAsia="宋体" w:cs="宋体"/>
                <w:color w:val="auto"/>
                <w:sz w:val="21"/>
                <w:szCs w:val="21"/>
                <w:lang w:val="en-US" w:eastAsia="zh-CN" w:bidi="ar"/>
              </w:rPr>
              <w:t>9</w:t>
            </w:r>
            <w:r>
              <w:rPr>
                <w:rFonts w:hint="eastAsia" w:ascii="宋体" w:hAnsi="宋体" w:eastAsia="宋体" w:cs="宋体"/>
                <w:color w:val="auto"/>
                <w:sz w:val="21"/>
                <w:szCs w:val="21"/>
                <w:lang w:bidi="ar"/>
              </w:rPr>
              <w:t>项需提供带“CMA”标志的检测报告,并附带国家认证认可监督管理委员会官网（www.cnca.gov.cn）查询截图，加盖制造商鲜章进行佐证。</w:t>
            </w:r>
          </w:p>
        </w:tc>
        <w:tc>
          <w:tcPr>
            <w:tcW w:w="570" w:type="dxa"/>
            <w:tcBorders>
              <w:top w:val="nil"/>
              <w:left w:val="nil"/>
              <w:bottom w:val="single" w:color="auto" w:sz="4" w:space="0"/>
              <w:right w:val="single" w:color="auto" w:sz="4" w:space="0"/>
            </w:tcBorders>
            <w:vAlign w:val="center"/>
          </w:tcPr>
          <w:p w14:paraId="2EE2F596">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平方</w:t>
            </w:r>
          </w:p>
        </w:tc>
        <w:tc>
          <w:tcPr>
            <w:tcW w:w="448" w:type="dxa"/>
            <w:tcBorders>
              <w:top w:val="nil"/>
              <w:left w:val="nil"/>
              <w:bottom w:val="single" w:color="auto" w:sz="4" w:space="0"/>
              <w:right w:val="single" w:color="auto" w:sz="4" w:space="0"/>
            </w:tcBorders>
            <w:vAlign w:val="center"/>
          </w:tcPr>
          <w:p w14:paraId="0708A82C">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1620</w:t>
            </w:r>
          </w:p>
        </w:tc>
        <w:tc>
          <w:tcPr>
            <w:tcW w:w="731" w:type="dxa"/>
            <w:tcBorders>
              <w:top w:val="nil"/>
              <w:left w:val="nil"/>
              <w:bottom w:val="single" w:color="auto" w:sz="4" w:space="0"/>
              <w:right w:val="single" w:color="auto" w:sz="4" w:space="0"/>
            </w:tcBorders>
            <w:noWrap/>
            <w:vAlign w:val="center"/>
          </w:tcPr>
          <w:p w14:paraId="3D4084C5">
            <w:pPr>
              <w:jc w:val="center"/>
              <w:rPr>
                <w:rFonts w:ascii="宋体" w:hAnsi="宋体" w:eastAsia="宋体" w:cs="宋体"/>
                <w:color w:val="auto"/>
                <w:sz w:val="24"/>
                <w:szCs w:val="24"/>
              </w:rPr>
            </w:pPr>
          </w:p>
        </w:tc>
        <w:tc>
          <w:tcPr>
            <w:tcW w:w="677" w:type="dxa"/>
            <w:tcBorders>
              <w:top w:val="nil"/>
              <w:left w:val="nil"/>
              <w:bottom w:val="single" w:color="auto" w:sz="4" w:space="0"/>
              <w:right w:val="single" w:color="auto" w:sz="4" w:space="0"/>
            </w:tcBorders>
            <w:noWrap/>
            <w:vAlign w:val="center"/>
          </w:tcPr>
          <w:p w14:paraId="24CAE27F">
            <w:pPr>
              <w:jc w:val="center"/>
              <w:rPr>
                <w:rFonts w:ascii="宋体" w:hAnsi="宋体" w:eastAsia="宋体" w:cs="宋体"/>
                <w:color w:val="auto"/>
                <w:sz w:val="24"/>
                <w:szCs w:val="24"/>
              </w:rPr>
            </w:pPr>
          </w:p>
        </w:tc>
        <w:tc>
          <w:tcPr>
            <w:tcW w:w="1137" w:type="dxa"/>
            <w:tcBorders>
              <w:top w:val="single" w:color="auto" w:sz="4" w:space="0"/>
              <w:left w:val="nil"/>
              <w:bottom w:val="single" w:color="auto" w:sz="4" w:space="0"/>
              <w:right w:val="single" w:color="auto" w:sz="4" w:space="0"/>
            </w:tcBorders>
            <w:vAlign w:val="center"/>
          </w:tcPr>
          <w:p w14:paraId="24DFB557">
            <w:pPr>
              <w:jc w:val="center"/>
              <w:rPr>
                <w:color w:val="auto"/>
              </w:rPr>
            </w:pPr>
          </w:p>
        </w:tc>
        <w:tc>
          <w:tcPr>
            <w:tcW w:w="517" w:type="dxa"/>
            <w:tcBorders>
              <w:top w:val="single" w:color="auto" w:sz="4" w:space="0"/>
              <w:left w:val="nil"/>
              <w:bottom w:val="single" w:color="auto" w:sz="4" w:space="0"/>
              <w:right w:val="single" w:color="auto" w:sz="4" w:space="0"/>
            </w:tcBorders>
            <w:vAlign w:val="center"/>
          </w:tcPr>
          <w:p w14:paraId="5AFF204C">
            <w:pPr>
              <w:jc w:val="center"/>
              <w:rPr>
                <w:color w:val="auto"/>
              </w:rPr>
            </w:pPr>
          </w:p>
        </w:tc>
        <w:tc>
          <w:tcPr>
            <w:tcW w:w="1740" w:type="dxa"/>
            <w:tcBorders>
              <w:top w:val="single" w:color="auto" w:sz="4" w:space="0"/>
              <w:left w:val="nil"/>
              <w:bottom w:val="single" w:color="auto" w:sz="4" w:space="0"/>
              <w:right w:val="single" w:color="auto" w:sz="4" w:space="0"/>
            </w:tcBorders>
            <w:vAlign w:val="center"/>
          </w:tcPr>
          <w:p w14:paraId="5716065F">
            <w:pPr>
              <w:jc w:val="center"/>
              <w:rPr>
                <w:color w:val="auto"/>
              </w:rPr>
            </w:pPr>
          </w:p>
        </w:tc>
        <w:tc>
          <w:tcPr>
            <w:tcW w:w="1325" w:type="dxa"/>
            <w:tcBorders>
              <w:top w:val="single" w:color="auto" w:sz="4" w:space="0"/>
              <w:left w:val="nil"/>
              <w:bottom w:val="single" w:color="auto" w:sz="4" w:space="0"/>
              <w:right w:val="single" w:color="auto" w:sz="4" w:space="0"/>
            </w:tcBorders>
            <w:vAlign w:val="center"/>
          </w:tcPr>
          <w:p w14:paraId="55E52453">
            <w:pPr>
              <w:jc w:val="center"/>
              <w:rPr>
                <w:color w:val="auto"/>
              </w:rPr>
            </w:pPr>
          </w:p>
        </w:tc>
      </w:tr>
      <w:tr w14:paraId="107228A2">
        <w:tblPrEx>
          <w:tblCellMar>
            <w:top w:w="0" w:type="dxa"/>
            <w:left w:w="28" w:type="dxa"/>
            <w:bottom w:w="0" w:type="dxa"/>
            <w:right w:w="28" w:type="dxa"/>
          </w:tblCellMar>
        </w:tblPrEx>
        <w:trPr>
          <w:trHeight w:val="724" w:hRule="atLeast"/>
        </w:trPr>
        <w:tc>
          <w:tcPr>
            <w:tcW w:w="12277" w:type="dxa"/>
            <w:gridSpan w:val="9"/>
            <w:tcBorders>
              <w:top w:val="single" w:color="auto" w:sz="4" w:space="0"/>
              <w:left w:val="single" w:color="auto" w:sz="4" w:space="0"/>
              <w:bottom w:val="single" w:color="auto" w:sz="4" w:space="0"/>
              <w:right w:val="single" w:color="auto" w:sz="4" w:space="0"/>
            </w:tcBorders>
            <w:noWrap/>
            <w:vAlign w:val="center"/>
          </w:tcPr>
          <w:p w14:paraId="49FB742D">
            <w:pPr>
              <w:jc w:val="center"/>
              <w:rPr>
                <w:rFonts w:hint="eastAsia" w:ascii="宋体" w:hAnsi="宋体" w:eastAsia="宋体" w:cs="宋体"/>
                <w:color w:val="auto"/>
              </w:rPr>
            </w:pPr>
            <w:r>
              <w:rPr>
                <w:rFonts w:hint="eastAsia" w:ascii="宋体" w:hAnsi="宋体" w:eastAsia="宋体" w:cs="宋体"/>
                <w:color w:val="auto"/>
              </w:rPr>
              <w:t>合    计：（小写）</w:t>
            </w:r>
            <w:r>
              <w:rPr>
                <w:rFonts w:hint="eastAsia" w:ascii="宋体" w:hAnsi="宋体" w:eastAsia="宋体" w:cs="宋体"/>
                <w:color w:val="auto"/>
                <w:u w:val="single"/>
              </w:rPr>
              <w:t xml:space="preserve">               </w:t>
            </w:r>
            <w:r>
              <w:rPr>
                <w:rFonts w:hint="eastAsia" w:ascii="宋体" w:hAnsi="宋体" w:eastAsia="宋体" w:cs="宋体"/>
                <w:color w:val="auto"/>
              </w:rPr>
              <w:t>（大</w:t>
            </w:r>
            <w:r>
              <w:rPr>
                <w:rFonts w:ascii="宋体" w:hAnsi="宋体" w:eastAsia="宋体" w:cs="宋体"/>
                <w:color w:val="auto"/>
              </w:rPr>
              <w:t>写）</w:t>
            </w:r>
          </w:p>
        </w:tc>
        <w:tc>
          <w:tcPr>
            <w:tcW w:w="1740" w:type="dxa"/>
            <w:tcBorders>
              <w:top w:val="single" w:color="auto" w:sz="4" w:space="0"/>
              <w:left w:val="single" w:color="auto" w:sz="4" w:space="0"/>
              <w:bottom w:val="single" w:color="auto" w:sz="4" w:space="0"/>
              <w:right w:val="single" w:color="auto" w:sz="4" w:space="0"/>
            </w:tcBorders>
            <w:noWrap/>
            <w:vAlign w:val="center"/>
          </w:tcPr>
          <w:p w14:paraId="4455B2EB">
            <w:pPr>
              <w:jc w:val="center"/>
              <w:rPr>
                <w:rFonts w:hint="eastAsia" w:ascii="宋体" w:hAnsi="宋体" w:eastAsia="宋体" w:cs="宋体"/>
                <w:color w:val="auto"/>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2C9F653D">
            <w:pPr>
              <w:jc w:val="center"/>
              <w:rPr>
                <w:rFonts w:hint="eastAsia" w:ascii="宋体" w:hAnsi="宋体" w:eastAsia="宋体" w:cs="宋体"/>
                <w:color w:val="auto"/>
              </w:rPr>
            </w:pPr>
          </w:p>
        </w:tc>
      </w:tr>
      <w:tr w14:paraId="7245F636">
        <w:tblPrEx>
          <w:tblCellMar>
            <w:top w:w="0" w:type="dxa"/>
            <w:left w:w="28" w:type="dxa"/>
            <w:bottom w:w="0" w:type="dxa"/>
            <w:right w:w="28" w:type="dxa"/>
          </w:tblCellMar>
        </w:tblPrEx>
        <w:trPr>
          <w:trHeight w:val="2036" w:hRule="atLeast"/>
        </w:trPr>
        <w:tc>
          <w:tcPr>
            <w:tcW w:w="12277" w:type="dxa"/>
            <w:gridSpan w:val="9"/>
            <w:tcBorders>
              <w:top w:val="single" w:color="auto" w:sz="4" w:space="0"/>
              <w:left w:val="single" w:color="auto" w:sz="4" w:space="0"/>
              <w:bottom w:val="single" w:color="auto" w:sz="4" w:space="0"/>
              <w:right w:val="single" w:color="auto" w:sz="4" w:space="0"/>
            </w:tcBorders>
            <w:noWrap/>
            <w:vAlign w:val="center"/>
          </w:tcPr>
          <w:p w14:paraId="08106FA9">
            <w:pPr>
              <w:jc w:val="center"/>
              <w:rPr>
                <w:rFonts w:hint="eastAsia" w:ascii="宋体" w:hAnsi="宋体" w:eastAsia="宋体" w:cs="仿宋_GB2312"/>
                <w:b/>
                <w:color w:val="auto"/>
                <w:szCs w:val="23"/>
              </w:rPr>
            </w:pPr>
            <w:r>
              <w:rPr>
                <w:rFonts w:hint="eastAsia" w:ascii="宋体" w:hAnsi="宋体" w:eastAsia="宋体" w:cs="仿宋_GB2312"/>
                <w:b/>
                <w:color w:val="auto"/>
                <w:szCs w:val="23"/>
                <w:lang w:val="en-US" w:eastAsia="zh-CN"/>
              </w:rPr>
              <w:t>本项目</w:t>
            </w:r>
            <w:r>
              <w:rPr>
                <w:rFonts w:hint="eastAsia" w:ascii="宋体" w:hAnsi="宋体" w:eastAsia="宋体" w:cs="仿宋_GB2312"/>
                <w:b/>
                <w:color w:val="auto"/>
                <w:szCs w:val="23"/>
              </w:rPr>
              <w:t>商务要求</w:t>
            </w:r>
          </w:p>
        </w:tc>
        <w:tc>
          <w:tcPr>
            <w:tcW w:w="1740" w:type="dxa"/>
            <w:tcBorders>
              <w:top w:val="single" w:color="auto" w:sz="4" w:space="0"/>
              <w:left w:val="single" w:color="auto" w:sz="4" w:space="0"/>
              <w:bottom w:val="single" w:color="auto" w:sz="4" w:space="0"/>
              <w:right w:val="single" w:color="auto" w:sz="4" w:space="0"/>
            </w:tcBorders>
            <w:noWrap/>
            <w:vAlign w:val="center"/>
          </w:tcPr>
          <w:p w14:paraId="193B17E0">
            <w:pPr>
              <w:jc w:val="center"/>
              <w:rPr>
                <w:rFonts w:hint="eastAsia" w:ascii="宋体" w:hAnsi="宋体" w:eastAsia="宋体" w:cs="仿宋_GB2312"/>
                <w:b/>
                <w:color w:val="auto"/>
                <w:szCs w:val="23"/>
              </w:rPr>
            </w:pPr>
            <w:r>
              <w:rPr>
                <w:rFonts w:hint="eastAsia" w:ascii="宋体" w:hAnsi="宋体" w:eastAsia="宋体" w:cs="仿宋_GB2312"/>
                <w:b/>
                <w:color w:val="auto"/>
                <w:szCs w:val="23"/>
              </w:rPr>
              <w:t>供应商对</w:t>
            </w:r>
            <w:r>
              <w:rPr>
                <w:rFonts w:hint="eastAsia" w:ascii="宋体" w:hAnsi="宋体" w:eastAsia="宋体" w:cs="仿宋_GB2312"/>
                <w:b/>
                <w:color w:val="auto"/>
                <w:szCs w:val="23"/>
                <w:lang w:val="en-US" w:eastAsia="zh-CN"/>
              </w:rPr>
              <w:t>商务要求的具体</w:t>
            </w:r>
            <w:r>
              <w:rPr>
                <w:rFonts w:hint="eastAsia" w:ascii="宋体" w:hAnsi="宋体" w:eastAsia="宋体" w:cs="仿宋_GB2312"/>
                <w:b/>
                <w:color w:val="auto"/>
                <w:szCs w:val="23"/>
              </w:rPr>
              <w:t>响应内容</w:t>
            </w:r>
          </w:p>
        </w:tc>
        <w:tc>
          <w:tcPr>
            <w:tcW w:w="1325" w:type="dxa"/>
            <w:tcBorders>
              <w:top w:val="single" w:color="auto" w:sz="4" w:space="0"/>
              <w:left w:val="single" w:color="auto" w:sz="4" w:space="0"/>
              <w:bottom w:val="single" w:color="auto" w:sz="4" w:space="0"/>
              <w:right w:val="single" w:color="auto" w:sz="4" w:space="0"/>
            </w:tcBorders>
            <w:noWrap/>
            <w:vAlign w:val="center"/>
          </w:tcPr>
          <w:p w14:paraId="02A70AC6">
            <w:pPr>
              <w:jc w:val="center"/>
              <w:rPr>
                <w:rFonts w:hint="eastAsia" w:ascii="宋体" w:hAnsi="宋体" w:eastAsia="宋体" w:cs="仿宋_GB2312"/>
                <w:b/>
                <w:color w:val="auto"/>
                <w:szCs w:val="23"/>
              </w:rPr>
            </w:pPr>
            <w:r>
              <w:rPr>
                <w:rFonts w:hint="eastAsia" w:ascii="宋体" w:hAnsi="宋体" w:eastAsia="宋体" w:cs="仿宋_GB2312"/>
                <w:b/>
                <w:color w:val="auto"/>
                <w:szCs w:val="23"/>
              </w:rPr>
              <w:t>是否</w:t>
            </w:r>
          </w:p>
          <w:p w14:paraId="0A08D731">
            <w:pPr>
              <w:jc w:val="center"/>
              <w:rPr>
                <w:rFonts w:hint="eastAsia" w:ascii="宋体" w:hAnsi="宋体" w:eastAsia="宋体" w:cs="仿宋_GB2312"/>
                <w:b/>
                <w:color w:val="auto"/>
                <w:szCs w:val="23"/>
              </w:rPr>
            </w:pPr>
            <w:r>
              <w:rPr>
                <w:rFonts w:hint="eastAsia" w:ascii="宋体" w:hAnsi="宋体" w:eastAsia="宋体" w:cs="仿宋_GB2312"/>
                <w:b/>
                <w:color w:val="auto"/>
                <w:szCs w:val="23"/>
              </w:rPr>
              <w:t>响应</w:t>
            </w:r>
          </w:p>
        </w:tc>
      </w:tr>
      <w:tr w14:paraId="3B002A00">
        <w:tblPrEx>
          <w:tblCellMar>
            <w:top w:w="0" w:type="dxa"/>
            <w:left w:w="28" w:type="dxa"/>
            <w:bottom w:w="0" w:type="dxa"/>
            <w:right w:w="28" w:type="dxa"/>
          </w:tblCellMar>
        </w:tblPrEx>
        <w:trPr>
          <w:trHeight w:val="5318" w:hRule="atLeast"/>
        </w:trPr>
        <w:tc>
          <w:tcPr>
            <w:tcW w:w="12277" w:type="dxa"/>
            <w:gridSpan w:val="9"/>
            <w:tcBorders>
              <w:top w:val="single" w:color="auto" w:sz="4" w:space="0"/>
              <w:left w:val="single" w:color="auto" w:sz="4" w:space="0"/>
              <w:bottom w:val="single" w:color="auto" w:sz="4" w:space="0"/>
              <w:right w:val="single" w:color="auto" w:sz="4" w:space="0"/>
            </w:tcBorders>
            <w:noWrap/>
            <w:vAlign w:val="center"/>
          </w:tcPr>
          <w:p w14:paraId="2C1607E8">
            <w:pPr>
              <w:rPr>
                <w:rFonts w:ascii="宋体" w:hAnsi="宋体" w:eastAsia="宋体" w:cs="仿宋_GB2312"/>
                <w:color w:val="auto"/>
                <w:sz w:val="24"/>
                <w:szCs w:val="24"/>
              </w:rPr>
            </w:pPr>
            <w:r>
              <w:rPr>
                <w:rFonts w:hint="eastAsia" w:ascii="宋体" w:hAnsi="宋体" w:eastAsia="宋体" w:cs="仿宋_GB2312"/>
                <w:color w:val="auto"/>
                <w:sz w:val="24"/>
                <w:szCs w:val="24"/>
                <w:lang w:val="en-US" w:eastAsia="zh-CN"/>
              </w:rPr>
              <w:t>▲一、</w:t>
            </w:r>
            <w:r>
              <w:rPr>
                <w:rFonts w:hint="eastAsia" w:ascii="宋体" w:hAnsi="宋体" w:eastAsia="宋体" w:cs="仿宋_GB2312"/>
                <w:color w:val="auto"/>
                <w:sz w:val="24"/>
                <w:szCs w:val="24"/>
              </w:rPr>
              <w:t>报价含</w:t>
            </w:r>
            <w:r>
              <w:rPr>
                <w:rFonts w:hint="eastAsia" w:ascii="宋体" w:hAnsi="宋体" w:eastAsia="宋体" w:cs="仿宋_GB2312"/>
                <w:color w:val="auto"/>
                <w:sz w:val="24"/>
                <w:szCs w:val="24"/>
                <w:lang w:val="en-US" w:eastAsia="zh-CN"/>
              </w:rPr>
              <w:t>包装、装卸、</w:t>
            </w:r>
            <w:r>
              <w:rPr>
                <w:rFonts w:hint="eastAsia" w:ascii="宋体" w:hAnsi="宋体" w:eastAsia="宋体" w:cs="仿宋_GB2312"/>
                <w:color w:val="auto"/>
                <w:sz w:val="24"/>
                <w:szCs w:val="24"/>
              </w:rPr>
              <w:t>运输、</w:t>
            </w:r>
            <w:r>
              <w:rPr>
                <w:rFonts w:hint="eastAsia" w:ascii="宋体" w:hAnsi="宋体" w:eastAsia="宋体" w:cs="仿宋_GB2312"/>
                <w:color w:val="auto"/>
                <w:sz w:val="24"/>
                <w:szCs w:val="24"/>
                <w:lang w:val="en-US" w:eastAsia="zh-CN"/>
              </w:rPr>
              <w:t>调换、利润、税金、保险、协调、售后服务费、相关文件规定及合同包含的所有风险、责任等各项应有费用。</w:t>
            </w:r>
            <w:r>
              <w:rPr>
                <w:rFonts w:hint="eastAsia" w:ascii="宋体" w:hAnsi="宋体" w:eastAsia="宋体" w:cs="仿宋_GB2312"/>
                <w:color w:val="auto"/>
                <w:sz w:val="24"/>
                <w:szCs w:val="24"/>
              </w:rPr>
              <w:t>报价超过本项目预算价作无效报价处理。</w:t>
            </w:r>
            <w:r>
              <w:rPr>
                <w:rFonts w:ascii="宋体" w:hAnsi="宋体" w:eastAsia="宋体" w:cs="仿宋_GB2312"/>
                <w:color w:val="auto"/>
                <w:sz w:val="24"/>
                <w:szCs w:val="24"/>
              </w:rPr>
              <w:t xml:space="preserve"> </w:t>
            </w:r>
          </w:p>
          <w:p w14:paraId="5FF9707F">
            <w:pPr>
              <w:jc w:val="left"/>
              <w:rPr>
                <w:rFonts w:hint="eastAsia" w:ascii="宋体" w:hAnsi="宋体" w:eastAsia="宋体" w:cs="宋体"/>
                <w:color w:val="auto"/>
                <w:sz w:val="24"/>
                <w:szCs w:val="24"/>
                <w:highlight w:val="none"/>
              </w:rPr>
            </w:pPr>
            <w:r>
              <w:rPr>
                <w:rFonts w:hint="eastAsia" w:ascii="宋体" w:hAnsi="宋体" w:eastAsia="宋体" w:cs="仿宋_GB2312"/>
                <w:color w:val="auto"/>
                <w:sz w:val="24"/>
                <w:szCs w:val="24"/>
                <w:lang w:val="en-US" w:eastAsia="zh-CN"/>
              </w:rPr>
              <w:t>▲二、</w:t>
            </w:r>
            <w:r>
              <w:rPr>
                <w:rFonts w:hint="eastAsia" w:ascii="宋体" w:hAnsi="宋体" w:eastAsia="宋体" w:cs="仿宋_GB2312"/>
                <w:color w:val="auto"/>
                <w:sz w:val="24"/>
                <w:szCs w:val="24"/>
              </w:rPr>
              <w:t>供货</w:t>
            </w:r>
            <w:r>
              <w:rPr>
                <w:rFonts w:ascii="宋体" w:hAnsi="宋体" w:eastAsia="宋体" w:cs="仿宋_GB2312"/>
                <w:color w:val="auto"/>
                <w:sz w:val="24"/>
                <w:szCs w:val="24"/>
              </w:rPr>
              <w:t>时间：</w:t>
            </w:r>
            <w:r>
              <w:rPr>
                <w:rFonts w:hint="eastAsia" w:ascii="宋体" w:hAnsi="宋体" w:eastAsia="宋体" w:cs="宋体"/>
                <w:color w:val="auto"/>
                <w:sz w:val="24"/>
                <w:szCs w:val="24"/>
              </w:rPr>
              <w:t>自合同签订后，接到采购人通知之日起 10日内交付货物，设备安</w:t>
            </w:r>
            <w:r>
              <w:rPr>
                <w:rFonts w:hint="eastAsia" w:ascii="宋体" w:hAnsi="宋体" w:eastAsia="宋体" w:cs="宋体"/>
                <w:color w:val="auto"/>
                <w:sz w:val="24"/>
                <w:szCs w:val="24"/>
                <w:highlight w:val="none"/>
              </w:rPr>
              <w:t>装调试验收等依据采购人通知实施。</w:t>
            </w:r>
          </w:p>
          <w:p w14:paraId="4E33D211">
            <w:pPr>
              <w:jc w:val="left"/>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▲三、交货地点：具体地点由采购方指定（广西财经学院相思湖校区）。</w:t>
            </w:r>
          </w:p>
          <w:p w14:paraId="51F36361">
            <w:pPr>
              <w:jc w:val="left"/>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▲四、交货方式：现场交货（成交人必须当面交货）。</w:t>
            </w:r>
          </w:p>
          <w:p w14:paraId="4539A8DA">
            <w:pPr>
              <w:widowControl/>
              <w:jc w:val="left"/>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▲五、</w:t>
            </w:r>
            <w:r>
              <w:rPr>
                <w:rFonts w:hint="eastAsia" w:ascii="宋体" w:hAnsi="宋体" w:eastAsia="宋体" w:cs="仿宋_GB2312"/>
                <w:color w:val="auto"/>
                <w:sz w:val="24"/>
                <w:szCs w:val="24"/>
                <w:highlight w:val="none"/>
              </w:rPr>
              <w:t>质量保证：</w:t>
            </w:r>
          </w:p>
          <w:p w14:paraId="5905F7DC">
            <w:pPr>
              <w:widowControl/>
              <w:jc w:val="left"/>
              <w:rPr>
                <w:rFonts w:hint="eastAsia" w:ascii="宋体" w:hAnsi="宋体" w:eastAsia="宋体" w:cs="仿宋_GB2312"/>
                <w:color w:val="auto"/>
                <w:sz w:val="24"/>
                <w:szCs w:val="24"/>
              </w:rPr>
            </w:pPr>
            <w:r>
              <w:rPr>
                <w:rFonts w:hint="eastAsia" w:ascii="宋体" w:hAnsi="宋体" w:eastAsia="宋体" w:cs="仿宋_GB2312"/>
                <w:color w:val="auto"/>
                <w:sz w:val="24"/>
                <w:szCs w:val="24"/>
              </w:rPr>
              <w:t>1.所供产品必须是已注册品牌制造商原装、全新的原厂整套或配套正品。</w:t>
            </w:r>
          </w:p>
          <w:p w14:paraId="2A076F3D">
            <w:pPr>
              <w:widowControl/>
              <w:jc w:val="left"/>
              <w:rPr>
                <w:rFonts w:hint="eastAsia" w:ascii="宋体" w:hAnsi="宋体" w:eastAsia="宋体" w:cs="仿宋_GB2312"/>
                <w:color w:val="auto"/>
                <w:sz w:val="24"/>
                <w:szCs w:val="24"/>
              </w:rPr>
            </w:pPr>
            <w:r>
              <w:rPr>
                <w:rFonts w:hint="eastAsia" w:ascii="宋体" w:hAnsi="宋体" w:eastAsia="宋体" w:cs="仿宋_GB2312"/>
                <w:color w:val="auto"/>
                <w:sz w:val="24"/>
                <w:szCs w:val="24"/>
              </w:rPr>
              <w:t>2.质保要求按国家有关产品“三包”规定执行“三包”政策，质保期以通过项目最终验收的验收报告签字日开始计算。</w:t>
            </w:r>
          </w:p>
          <w:p w14:paraId="1514443A">
            <w:pPr>
              <w:widowControl/>
              <w:jc w:val="left"/>
              <w:rPr>
                <w:rFonts w:hint="eastAsia" w:ascii="宋体" w:hAnsi="宋体" w:eastAsia="宋体" w:cs="仿宋_GB2312"/>
                <w:color w:val="auto"/>
                <w:sz w:val="24"/>
                <w:szCs w:val="24"/>
              </w:rPr>
            </w:pPr>
            <w:r>
              <w:rPr>
                <w:rFonts w:hint="eastAsia" w:ascii="宋体" w:hAnsi="宋体" w:eastAsia="宋体" w:cs="仿宋_GB2312"/>
                <w:color w:val="auto"/>
                <w:sz w:val="24"/>
                <w:szCs w:val="24"/>
              </w:rPr>
              <w:t>3.质保期内由于质量问题导致设备损坏的，成交供应商提供保修、人工及更换备件的上门服务，并提供终身维护。质保期内采购人不再支付任何费用。</w:t>
            </w:r>
          </w:p>
          <w:p w14:paraId="625D7F9C">
            <w:pPr>
              <w:widowControl/>
              <w:jc w:val="left"/>
              <w:rPr>
                <w:rFonts w:hint="eastAsia" w:ascii="宋体" w:hAnsi="宋体" w:eastAsia="宋体" w:cs="仿宋_GB2312"/>
                <w:b/>
                <w:bCs/>
                <w:color w:val="auto"/>
                <w:sz w:val="24"/>
                <w:szCs w:val="24"/>
              </w:rPr>
            </w:pPr>
            <w:r>
              <w:rPr>
                <w:rFonts w:hint="eastAsia" w:ascii="宋体" w:hAnsi="宋体" w:eastAsia="宋体" w:cs="仿宋_GB2312"/>
                <w:b/>
                <w:bCs/>
                <w:color w:val="auto"/>
                <w:sz w:val="24"/>
                <w:szCs w:val="24"/>
              </w:rPr>
              <w:t>4</w:t>
            </w:r>
            <w:r>
              <w:rPr>
                <w:rFonts w:hint="eastAsia" w:ascii="宋体" w:hAnsi="宋体" w:eastAsia="宋体" w:cs="仿宋_GB2312"/>
                <w:b/>
                <w:bCs/>
                <w:color w:val="auto"/>
                <w:sz w:val="24"/>
                <w:szCs w:val="24"/>
                <w:lang w:val="en-US" w:eastAsia="zh-CN"/>
              </w:rPr>
              <w:t>.</w:t>
            </w:r>
            <w:r>
              <w:rPr>
                <w:rFonts w:hint="eastAsia" w:ascii="宋体" w:hAnsi="宋体" w:eastAsia="宋体" w:cs="仿宋_GB2312"/>
                <w:b/>
                <w:bCs/>
                <w:color w:val="auto"/>
                <w:sz w:val="24"/>
                <w:szCs w:val="24"/>
              </w:rPr>
              <w:t>验收标准：</w:t>
            </w:r>
          </w:p>
          <w:p w14:paraId="6097381D">
            <w:pPr>
              <w:widowControl/>
              <w:jc w:val="left"/>
              <w:rPr>
                <w:rFonts w:hint="eastAsia" w:ascii="宋体" w:hAnsi="宋体" w:eastAsia="宋体" w:cs="仿宋_GB2312"/>
                <w:color w:val="auto"/>
                <w:sz w:val="24"/>
                <w:szCs w:val="24"/>
              </w:rPr>
            </w:pPr>
            <w:r>
              <w:rPr>
                <w:rFonts w:hint="eastAsia" w:ascii="宋体" w:hAnsi="宋体" w:eastAsia="宋体" w:cs="仿宋_GB2312"/>
                <w:color w:val="auto"/>
                <w:sz w:val="24"/>
                <w:szCs w:val="24"/>
              </w:rPr>
              <w:t>4.1由体育经济与管理学院按照报价响应表和商务条款对成交货物的产品外观、规格、基本参数等基本项目进行检验，收货检验时发现质量不合格的产品，</w:t>
            </w:r>
            <w:r>
              <w:rPr>
                <w:rFonts w:hint="eastAsia" w:ascii="宋体" w:hAnsi="宋体" w:eastAsia="宋体" w:cs="仿宋_GB2312"/>
                <w:color w:val="auto"/>
                <w:sz w:val="24"/>
                <w:szCs w:val="24"/>
                <w:highlight w:val="yellow"/>
              </w:rPr>
              <w:t>如发现产品存在假冒伪劣、贴牌、组装残次、自行焊接组装、性能不达标等情况</w:t>
            </w:r>
            <w:r>
              <w:rPr>
                <w:rFonts w:hint="eastAsia" w:ascii="宋体" w:hAnsi="宋体" w:eastAsia="宋体" w:cs="仿宋_GB2312"/>
                <w:color w:val="auto"/>
                <w:sz w:val="24"/>
                <w:szCs w:val="24"/>
              </w:rPr>
              <w:t>成交单位必须无条件免费更换。</w:t>
            </w:r>
          </w:p>
          <w:p w14:paraId="312FB773">
            <w:pPr>
              <w:widowControl/>
              <w:jc w:val="left"/>
              <w:rPr>
                <w:rFonts w:hint="eastAsia" w:ascii="宋体" w:hAnsi="宋体" w:eastAsia="宋体" w:cs="仿宋_GB2312"/>
                <w:color w:val="auto"/>
                <w:sz w:val="24"/>
                <w:szCs w:val="24"/>
              </w:rPr>
            </w:pPr>
            <w:r>
              <w:rPr>
                <w:rFonts w:hint="eastAsia" w:ascii="宋体" w:hAnsi="宋体" w:eastAsia="宋体" w:cs="仿宋_GB2312"/>
                <w:color w:val="auto"/>
                <w:sz w:val="24"/>
                <w:szCs w:val="24"/>
              </w:rPr>
              <w:t>4.2供应商提供的产品必须一次性验收合格率达到95%以上。验收不合格的产品，供应商需在接到通知后5个工作日内免费更换新品，重新验收，且验收费用由供应商承担；如因供应商原因导致超过2次验收不合格，采购人有权按违约或解除合同处理，并追究供应商违约责任。</w:t>
            </w:r>
          </w:p>
          <w:p w14:paraId="36D50760">
            <w:pPr>
              <w:widowControl/>
              <w:jc w:val="left"/>
              <w:rPr>
                <w:rFonts w:hint="eastAsia" w:ascii="宋体" w:hAnsi="宋体" w:eastAsia="宋体" w:cs="仿宋_GB2312"/>
                <w:color w:val="auto"/>
                <w:sz w:val="24"/>
                <w:szCs w:val="24"/>
              </w:rPr>
            </w:pPr>
            <w:r>
              <w:rPr>
                <w:rFonts w:hint="eastAsia" w:ascii="宋体" w:hAnsi="宋体" w:eastAsia="宋体" w:cs="仿宋_GB2312"/>
                <w:color w:val="auto"/>
                <w:sz w:val="24"/>
                <w:szCs w:val="24"/>
              </w:rPr>
              <w:t>4.3验收不合格或成交供应商未按响应内容（包括技术规格参数响应内容及商务要求响应内容）履行合同或技术参数无法达到相应技术要求的，按违约处理，采购人有权解除合同，由此造成采购人经济损失的由成交供应商负责承担全部赔偿责任。</w:t>
            </w:r>
          </w:p>
          <w:p w14:paraId="592CBCE0">
            <w:pPr>
              <w:jc w:val="left"/>
              <w:rPr>
                <w:rFonts w:hint="eastAsia" w:ascii="宋体" w:hAnsi="宋体" w:eastAsia="宋体" w:cs="仿宋_GB2312"/>
                <w:color w:val="auto"/>
                <w:sz w:val="24"/>
                <w:szCs w:val="24"/>
                <w:lang w:val="en-US" w:eastAsia="zh-CN"/>
              </w:rPr>
            </w:pPr>
            <w:r>
              <w:rPr>
                <w:rFonts w:hint="eastAsia" w:ascii="宋体" w:hAnsi="宋体" w:eastAsia="宋体" w:cs="仿宋_GB2312"/>
                <w:color w:val="auto"/>
                <w:sz w:val="24"/>
                <w:szCs w:val="24"/>
                <w:lang w:val="en-US" w:eastAsia="zh-CN"/>
              </w:rPr>
              <w:t>4.4在验收过程中发现成交供应商有违约问题，将采取暂缓资金结算的措施，待违约问题解决后，方可办理资金结算事宜。</w:t>
            </w:r>
          </w:p>
          <w:p w14:paraId="62C3E7AA">
            <w:pPr>
              <w:jc w:val="left"/>
              <w:rPr>
                <w:rFonts w:hint="eastAsia" w:ascii="宋体" w:hAnsi="宋体" w:eastAsia="宋体" w:cs="仿宋_GB2312"/>
                <w:color w:val="auto"/>
                <w:sz w:val="24"/>
                <w:szCs w:val="24"/>
                <w:lang w:val="en-US" w:eastAsia="zh-CN"/>
              </w:rPr>
            </w:pPr>
            <w:r>
              <w:rPr>
                <w:rFonts w:hint="eastAsia" w:ascii="宋体" w:hAnsi="宋体" w:eastAsia="宋体" w:cs="仿宋_GB2312"/>
                <w:color w:val="auto"/>
                <w:sz w:val="24"/>
                <w:szCs w:val="24"/>
                <w:lang w:val="en-US" w:eastAsia="zh-CN"/>
              </w:rPr>
              <w:t>▲六、</w:t>
            </w:r>
            <w:r>
              <w:rPr>
                <w:rFonts w:hint="eastAsia" w:ascii="宋体" w:hAnsi="宋体" w:eastAsia="宋体" w:cs="仿宋_GB2312"/>
                <w:color w:val="auto"/>
                <w:sz w:val="24"/>
                <w:szCs w:val="24"/>
              </w:rPr>
              <w:t>付款</w:t>
            </w:r>
            <w:r>
              <w:rPr>
                <w:rFonts w:hint="eastAsia" w:ascii="宋体" w:hAnsi="宋体" w:eastAsia="宋体" w:cs="仿宋_GB2312"/>
                <w:color w:val="auto"/>
                <w:sz w:val="24"/>
                <w:szCs w:val="24"/>
                <w:lang w:val="en-US" w:eastAsia="zh-CN"/>
              </w:rPr>
              <w:t>方式</w:t>
            </w:r>
            <w:r>
              <w:rPr>
                <w:rFonts w:hint="eastAsia" w:ascii="宋体" w:hAnsi="宋体" w:eastAsia="宋体" w:cs="仿宋_GB2312"/>
                <w:color w:val="auto"/>
                <w:sz w:val="24"/>
                <w:szCs w:val="24"/>
              </w:rPr>
              <w:t>：如货物存在质量问题或与采购规格不一致，供应商须在</w:t>
            </w:r>
            <w:ins w:id="0" w:author="admin" w:date="2025-06-07T17:54:20Z">
              <w:r>
                <w:rPr>
                  <w:rFonts w:hint="eastAsia" w:ascii="宋体" w:hAnsi="宋体" w:eastAsia="宋体" w:cs="仿宋_GB2312"/>
                  <w:color w:val="auto"/>
                  <w:sz w:val="24"/>
                  <w:szCs w:val="24"/>
                  <w:lang w:val="en-US" w:eastAsia="zh-CN"/>
                </w:rPr>
                <w:t>5</w:t>
              </w:r>
            </w:ins>
            <w:r>
              <w:rPr>
                <w:rFonts w:hint="eastAsia" w:ascii="宋体" w:hAnsi="宋体" w:eastAsia="宋体" w:cs="仿宋_GB2312"/>
                <w:color w:val="auto"/>
                <w:sz w:val="24"/>
                <w:szCs w:val="24"/>
              </w:rPr>
              <w:t>个工作日内完成更换。验收通过，采购人自收到成交人发票之日起二十个工作日内，由采购人一次性付清成交人合同总金额100%的款项（无预付款）。</w:t>
            </w:r>
          </w:p>
          <w:p w14:paraId="15A232DA">
            <w:pPr>
              <w:jc w:val="both"/>
              <w:rPr>
                <w:rFonts w:hint="eastAsia" w:ascii="宋体" w:hAnsi="宋体" w:eastAsia="宋体" w:cs="仿宋_GB2312"/>
                <w:color w:val="auto"/>
                <w:sz w:val="24"/>
                <w:szCs w:val="24"/>
                <w:lang w:val="en-US" w:eastAsia="zh-CN"/>
              </w:rPr>
            </w:pPr>
            <w:r>
              <w:rPr>
                <w:rFonts w:hint="eastAsia" w:ascii="宋体" w:hAnsi="宋体" w:eastAsia="宋体" w:cs="仿宋_GB2312"/>
                <w:color w:val="auto"/>
                <w:sz w:val="24"/>
                <w:szCs w:val="24"/>
                <w:lang w:val="en-US" w:eastAsia="zh-CN"/>
              </w:rPr>
              <w:t>七、</w:t>
            </w:r>
            <w:r>
              <w:rPr>
                <w:rFonts w:hint="eastAsia" w:ascii="宋体" w:hAnsi="宋体" w:eastAsia="宋体" w:cs="宋体"/>
                <w:color w:val="auto"/>
                <w:kern w:val="0"/>
                <w:sz w:val="24"/>
                <w:szCs w:val="24"/>
                <w:shd w:val="clear" w:color="auto" w:fill="FFFFFF"/>
                <w:lang w:val="en-US" w:eastAsia="zh-CN"/>
                <w14:ligatures w14:val="none"/>
              </w:rPr>
              <w:t>标</w:t>
            </w:r>
            <w:r>
              <w:rPr>
                <w:rFonts w:hint="eastAsia" w:ascii="宋体" w:hAnsi="宋体" w:eastAsia="宋体" w:cs="宋体"/>
                <w:color w:val="auto"/>
                <w:kern w:val="0"/>
                <w:sz w:val="24"/>
                <w:szCs w:val="24"/>
                <w:shd w:val="clear" w:color="auto" w:fill="FFFFFF"/>
                <w:lang w:eastAsia="zh-CN"/>
                <w14:ligatures w14:val="none"/>
              </w:rPr>
              <w:t>“</w:t>
            </w:r>
            <w:r>
              <w:rPr>
                <w:rFonts w:hint="eastAsia" w:ascii="宋体" w:hAnsi="宋体" w:eastAsia="宋体" w:cs="宋体"/>
                <w:color w:val="auto"/>
                <w:kern w:val="0"/>
                <w:sz w:val="24"/>
                <w:szCs w:val="24"/>
                <w14:ligatures w14:val="none"/>
              </w:rPr>
              <w:t>▲</w:t>
            </w:r>
            <w:r>
              <w:rPr>
                <w:rFonts w:hint="eastAsia" w:ascii="宋体" w:hAnsi="宋体" w:eastAsia="宋体" w:cs="宋体"/>
                <w:color w:val="auto"/>
                <w:kern w:val="0"/>
                <w:sz w:val="24"/>
                <w:szCs w:val="24"/>
                <w:shd w:val="clear" w:color="auto" w:fill="FFFFFF"/>
                <w:lang w:eastAsia="zh-CN"/>
                <w14:ligatures w14:val="none"/>
              </w:rPr>
              <w:t>”的</w:t>
            </w:r>
            <w:r>
              <w:rPr>
                <w:rFonts w:hint="eastAsia" w:ascii="宋体" w:hAnsi="宋体" w:eastAsia="宋体" w:cs="宋体"/>
                <w:color w:val="auto"/>
                <w:kern w:val="0"/>
                <w:sz w:val="24"/>
                <w:szCs w:val="24"/>
                <w:shd w:val="clear" w:color="auto" w:fill="FFFFFF"/>
                <w:lang w:val="en-US" w:eastAsia="zh-CN"/>
                <w14:ligatures w14:val="none"/>
              </w:rPr>
              <w:t>参数</w:t>
            </w:r>
            <w:r>
              <w:rPr>
                <w:rFonts w:hint="eastAsia" w:ascii="宋体" w:hAnsi="宋体" w:eastAsia="宋体" w:cs="宋体"/>
                <w:color w:val="auto"/>
                <w:kern w:val="0"/>
                <w:sz w:val="24"/>
                <w:szCs w:val="24"/>
                <w14:ligatures w14:val="none"/>
              </w:rPr>
              <w:t>为必须满足的实质性参数，若不满足作无效报价处理。其</w:t>
            </w:r>
            <w:r>
              <w:rPr>
                <w:rFonts w:hint="eastAsia" w:ascii="宋体" w:hAnsi="宋体" w:eastAsia="宋体" w:cs="宋体"/>
                <w:color w:val="auto"/>
                <w:kern w:val="0"/>
                <w:sz w:val="24"/>
                <w:szCs w:val="24"/>
                <w:lang w:val="en-US" w:eastAsia="zh-CN"/>
                <w14:ligatures w14:val="none"/>
              </w:rPr>
              <w:t>它</w:t>
            </w:r>
            <w:r>
              <w:rPr>
                <w:rFonts w:hint="eastAsia" w:ascii="宋体" w:hAnsi="宋体" w:eastAsia="宋体" w:cs="宋体"/>
                <w:color w:val="auto"/>
                <w:kern w:val="0"/>
                <w:sz w:val="24"/>
                <w:szCs w:val="24"/>
                <w14:ligatures w14:val="none"/>
              </w:rPr>
              <w:t>参数负偏离累计不得超过五项。</w:t>
            </w:r>
          </w:p>
        </w:tc>
        <w:tc>
          <w:tcPr>
            <w:tcW w:w="1740" w:type="dxa"/>
            <w:tcBorders>
              <w:top w:val="single" w:color="auto" w:sz="4" w:space="0"/>
              <w:left w:val="single" w:color="auto" w:sz="4" w:space="0"/>
              <w:bottom w:val="single" w:color="auto" w:sz="4" w:space="0"/>
              <w:right w:val="single" w:color="auto" w:sz="4" w:space="0"/>
            </w:tcBorders>
            <w:noWrap/>
            <w:vAlign w:val="center"/>
          </w:tcPr>
          <w:p w14:paraId="4BB59BD0">
            <w:pPr>
              <w:jc w:val="center"/>
              <w:rPr>
                <w:rFonts w:hint="eastAsia" w:ascii="宋体" w:hAnsi="宋体" w:eastAsia="宋体" w:cs="仿宋_GB2312"/>
                <w:color w:val="auto"/>
                <w:sz w:val="24"/>
                <w:szCs w:val="24"/>
                <w:lang w:val="en-US" w:eastAsia="zh-CN"/>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328D1433">
            <w:pPr>
              <w:jc w:val="center"/>
              <w:rPr>
                <w:rFonts w:hint="eastAsia" w:ascii="宋体" w:hAnsi="宋体" w:eastAsia="宋体" w:cs="仿宋_GB2312"/>
                <w:color w:val="auto"/>
                <w:sz w:val="24"/>
                <w:szCs w:val="24"/>
                <w:lang w:val="en-US" w:eastAsia="zh-CN"/>
              </w:rPr>
            </w:pPr>
          </w:p>
        </w:tc>
      </w:tr>
    </w:tbl>
    <w:p w14:paraId="6602A210">
      <w:pPr>
        <w:spacing w:line="560" w:lineRule="exact"/>
        <w:rPr>
          <w:rFonts w:hint="eastAsia" w:ascii="仿宋_GB2312" w:hAnsi="宋体" w:cs="宋体"/>
        </w:rPr>
      </w:pPr>
      <w:r>
        <w:rPr>
          <w:rFonts w:hint="eastAsia" w:ascii="仿宋_GB2312" w:hAnsi="Calibri"/>
          <w:sz w:val="24"/>
          <w:szCs w:val="24"/>
        </w:rPr>
        <w:t xml:space="preserve"> </w:t>
      </w:r>
      <w:r>
        <w:rPr>
          <w:rFonts w:hint="eastAsia" w:ascii="仿宋_GB2312" w:hAnsi="宋体" w:cs="宋体"/>
        </w:rPr>
        <w:t>注：</w:t>
      </w:r>
    </w:p>
    <w:p w14:paraId="7F4BB758">
      <w:pPr>
        <w:spacing w:line="560" w:lineRule="exact"/>
        <w:rPr>
          <w:rFonts w:hint="eastAsia" w:ascii="仿宋_GB2312" w:hAnsi="宋体" w:eastAsia="仿宋_GB2312" w:cs="宋体"/>
          <w:lang w:eastAsia="zh-CN"/>
        </w:rPr>
      </w:pPr>
      <w:r>
        <w:rPr>
          <w:rFonts w:hint="eastAsia" w:ascii="仿宋_GB2312" w:hAnsi="宋体" w:cs="宋体"/>
        </w:rPr>
        <w:t>1.</w:t>
      </w:r>
      <w:r>
        <w:rPr>
          <w:rFonts w:hint="eastAsia" w:ascii="仿宋_GB2312" w:hAnsi="宋体" w:cs="宋体"/>
          <w:lang w:val="en-US" w:eastAsia="zh-CN"/>
        </w:rPr>
        <w:t>供应商必须按</w:t>
      </w:r>
      <w:r>
        <w:rPr>
          <w:rFonts w:hint="eastAsia" w:ascii="仿宋_GB2312" w:hAnsi="宋体" w:cs="宋体"/>
        </w:rPr>
        <w:t>报价表</w:t>
      </w:r>
      <w:r>
        <w:rPr>
          <w:rFonts w:hint="eastAsia" w:ascii="仿宋_GB2312" w:hAnsi="宋体" w:cs="宋体"/>
          <w:lang w:val="en-US" w:eastAsia="zh-CN"/>
        </w:rPr>
        <w:t>格式填写</w:t>
      </w:r>
      <w:r>
        <w:rPr>
          <w:rFonts w:hint="eastAsia" w:ascii="仿宋_GB2312" w:hAnsi="宋体" w:cs="宋体"/>
        </w:rPr>
        <w:t>“品牌</w:t>
      </w:r>
      <w:r>
        <w:rPr>
          <w:rFonts w:hint="eastAsia" w:ascii="仿宋_GB2312" w:hAnsi="宋体" w:cs="宋体"/>
          <w:lang w:val="en-US" w:eastAsia="zh-CN"/>
        </w:rPr>
        <w:t>及生产厂家”</w:t>
      </w:r>
      <w:r>
        <w:rPr>
          <w:rFonts w:hint="eastAsia" w:ascii="仿宋_GB2312" w:hAnsi="宋体" w:cs="宋体"/>
        </w:rPr>
        <w:t>、</w:t>
      </w:r>
      <w:r>
        <w:rPr>
          <w:rFonts w:hint="eastAsia" w:ascii="仿宋_GB2312" w:hAnsi="宋体" w:cs="宋体"/>
          <w:lang w:eastAsia="zh-CN"/>
        </w:rPr>
        <w:t>“型号规格”、“单位”“</w:t>
      </w:r>
      <w:r>
        <w:rPr>
          <w:rFonts w:hint="eastAsia" w:ascii="仿宋_GB2312" w:hAnsi="宋体" w:cs="宋体"/>
          <w:lang w:val="en-US" w:eastAsia="zh-CN"/>
        </w:rPr>
        <w:t>金额</w:t>
      </w:r>
      <w:r>
        <w:rPr>
          <w:rFonts w:hint="eastAsia" w:ascii="仿宋_GB2312" w:hAnsi="宋体" w:cs="宋体"/>
          <w:lang w:eastAsia="zh-CN"/>
        </w:rPr>
        <w:t>”</w:t>
      </w:r>
      <w:r>
        <w:rPr>
          <w:rFonts w:hint="eastAsia" w:ascii="仿宋_GB2312" w:hAnsi="宋体" w:cs="宋体"/>
        </w:rPr>
        <w:t>列必须填写</w:t>
      </w:r>
      <w:r>
        <w:rPr>
          <w:rFonts w:hint="eastAsia" w:ascii="仿宋_GB2312" w:hAnsi="宋体" w:cs="宋体"/>
          <w:highlight w:val="yellow"/>
        </w:rPr>
        <w:t>（定制产品和服务除外）</w:t>
      </w:r>
      <w:r>
        <w:rPr>
          <w:rFonts w:hint="eastAsia" w:ascii="仿宋_GB2312" w:hAnsi="宋体" w:cs="宋体"/>
          <w:lang w:eastAsia="zh-CN"/>
        </w:rPr>
        <w:t>，否则按</w:t>
      </w:r>
      <w:r>
        <w:rPr>
          <w:rFonts w:hint="eastAsia" w:ascii="仿宋_GB2312" w:hAnsi="宋体" w:cs="宋体"/>
          <w:lang w:val="en-US" w:eastAsia="zh-CN"/>
        </w:rPr>
        <w:t>报价</w:t>
      </w:r>
      <w:r>
        <w:rPr>
          <w:rFonts w:hint="eastAsia" w:ascii="仿宋_GB2312" w:hAnsi="宋体" w:cs="宋体"/>
          <w:lang w:eastAsia="zh-CN"/>
        </w:rPr>
        <w:t>无效处理。</w:t>
      </w:r>
    </w:p>
    <w:p w14:paraId="68C1ED88">
      <w:pPr>
        <w:spacing w:line="560" w:lineRule="exact"/>
        <w:rPr>
          <w:rFonts w:hint="default" w:ascii="仿宋_GB2312" w:hAnsi="宋体" w:eastAsia="仿宋_GB2312" w:cs="宋体"/>
          <w:lang w:val="en-US" w:eastAsia="zh-CN"/>
        </w:rPr>
      </w:pPr>
      <w:r>
        <w:rPr>
          <w:rFonts w:hint="eastAsia" w:ascii="仿宋_GB2312" w:hAnsi="宋体" w:cs="宋体"/>
          <w:lang w:val="en-US" w:eastAsia="zh-CN"/>
        </w:rPr>
        <w:t>2.</w:t>
      </w:r>
      <w:r>
        <w:rPr>
          <w:rFonts w:hint="eastAsia" w:ascii="仿宋_GB2312" w:hAnsi="宋体" w:cs="宋体"/>
        </w:rPr>
        <w:t>说明：</w:t>
      </w:r>
      <w:r>
        <w:rPr>
          <w:rFonts w:hint="eastAsia" w:ascii="仿宋_GB2312" w:hAnsi="宋体" w:cs="宋体"/>
          <w:lang w:val="en-US" w:eastAsia="zh-CN"/>
        </w:rPr>
        <w:t>供应商必</w:t>
      </w:r>
      <w:r>
        <w:rPr>
          <w:rFonts w:hint="eastAsia" w:ascii="仿宋_GB2312" w:hAnsi="宋体" w:cs="宋体"/>
          <w:highlight w:val="none"/>
          <w:lang w:val="en-US" w:eastAsia="zh-CN"/>
        </w:rPr>
        <w:t>须对</w:t>
      </w:r>
      <w:r>
        <w:rPr>
          <w:rFonts w:hint="eastAsia" w:ascii="仿宋_GB2312" w:hAnsi="宋体" w:cs="宋体"/>
          <w:highlight w:val="none"/>
        </w:rPr>
        <w:t>（详细）规格参数</w:t>
      </w:r>
      <w:r>
        <w:rPr>
          <w:rFonts w:hint="eastAsia" w:ascii="仿宋_GB2312" w:hAnsi="宋体" w:cs="宋体"/>
          <w:highlight w:val="none"/>
          <w:lang w:val="en-US" w:eastAsia="zh-CN"/>
        </w:rPr>
        <w:t>及商务要求如实</w:t>
      </w:r>
      <w:r>
        <w:rPr>
          <w:rFonts w:hint="eastAsia" w:ascii="仿宋_GB2312" w:hAnsi="宋体" w:cs="宋体"/>
          <w:highlight w:val="none"/>
        </w:rPr>
        <w:t>逐条作</w:t>
      </w:r>
      <w:r>
        <w:rPr>
          <w:rFonts w:hint="eastAsia" w:ascii="仿宋_GB2312" w:hAnsi="宋体" w:cs="宋体"/>
        </w:rPr>
        <w:t>出明确响应，</w:t>
      </w:r>
      <w:r>
        <w:rPr>
          <w:rFonts w:hint="eastAsia" w:ascii="仿宋_GB2312" w:hAnsi="宋体" w:cs="宋体"/>
          <w:lang w:val="en-US" w:eastAsia="zh-CN"/>
        </w:rPr>
        <w:t>未逐条作出明确响应的按报价无效处理。</w:t>
      </w:r>
    </w:p>
    <w:p w14:paraId="70B82969">
      <w:pPr>
        <w:spacing w:line="320" w:lineRule="exact"/>
        <w:ind w:firstLine="560" w:firstLineChars="200"/>
        <w:rPr>
          <w:rFonts w:ascii="仿宋_GB2312" w:hAnsi="Calibri"/>
          <w:sz w:val="24"/>
          <w:szCs w:val="24"/>
        </w:rPr>
      </w:pPr>
      <w:r>
        <w:rPr>
          <w:rFonts w:hint="eastAsia" w:ascii="仿宋_GB2312" w:hAnsi="宋体" w:cs="宋体"/>
          <w:lang w:val="en-US" w:eastAsia="zh-CN"/>
        </w:rPr>
        <w:t>3</w:t>
      </w:r>
      <w:r>
        <w:rPr>
          <w:rFonts w:hint="eastAsia" w:ascii="仿宋_GB2312" w:hAnsi="宋体" w:cs="宋体"/>
        </w:rPr>
        <w:t>.供应商必须</w:t>
      </w:r>
      <w:r>
        <w:rPr>
          <w:rFonts w:hint="eastAsia" w:ascii="仿宋_GB2312" w:hAnsi="宋体" w:cs="宋体"/>
          <w:lang w:val="en-US" w:eastAsia="zh-CN"/>
        </w:rPr>
        <w:t>如</w:t>
      </w:r>
      <w:r>
        <w:rPr>
          <w:rFonts w:hint="eastAsia" w:ascii="仿宋_GB2312" w:hAnsi="宋体" w:cs="宋体"/>
        </w:rPr>
        <w:t>实</w:t>
      </w:r>
      <w:r>
        <w:rPr>
          <w:rFonts w:hint="eastAsia" w:ascii="仿宋_GB2312" w:hAnsi="宋体" w:cs="宋体"/>
          <w:lang w:val="en-US" w:eastAsia="zh-CN"/>
        </w:rPr>
        <w:t>响应具体参数数值，不得虚假响应。</w:t>
      </w:r>
      <w:r>
        <w:rPr>
          <w:rFonts w:hint="eastAsia" w:ascii="仿宋_GB2312" w:hAnsi="宋体" w:cs="宋体"/>
        </w:rPr>
        <w:t>如果（详细）规格参数</w:t>
      </w:r>
      <w:r>
        <w:rPr>
          <w:rFonts w:hint="eastAsia" w:ascii="仿宋_GB2312" w:hAnsi="宋体" w:cs="宋体"/>
          <w:lang w:val="en-US" w:eastAsia="zh-CN"/>
        </w:rPr>
        <w:t>包含</w:t>
      </w:r>
      <w:r>
        <w:rPr>
          <w:rFonts w:hint="eastAsia" w:ascii="仿宋_GB2312" w:hAnsi="宋体" w:cs="宋体"/>
        </w:rPr>
        <w:t>小于、小于等于、大于或大于等于某个数值标准时，</w:t>
      </w:r>
      <w:r>
        <w:rPr>
          <w:rFonts w:hint="eastAsia" w:ascii="仿宋_GB2312" w:hAnsi="宋体" w:cs="宋体"/>
          <w:b/>
          <w:bCs/>
        </w:rPr>
        <w:t>响应文件</w:t>
      </w:r>
      <w:r>
        <w:rPr>
          <w:rFonts w:hint="eastAsia" w:ascii="仿宋_GB2312" w:hAnsi="宋体" w:cs="宋体"/>
          <w:b/>
          <w:bCs/>
          <w:lang w:val="en-US" w:eastAsia="zh-CN"/>
        </w:rPr>
        <w:t>内容</w:t>
      </w:r>
      <w:r>
        <w:rPr>
          <w:rFonts w:hint="eastAsia" w:ascii="仿宋_GB2312" w:hAnsi="宋体" w:cs="宋体"/>
          <w:b/>
          <w:bCs/>
        </w:rPr>
        <w:t>不得直接复制（详细）规格参数</w:t>
      </w:r>
      <w:r>
        <w:rPr>
          <w:rFonts w:hint="eastAsia" w:ascii="仿宋_GB2312" w:hAnsi="宋体" w:cs="宋体"/>
          <w:b/>
          <w:bCs/>
          <w:lang w:val="en-US" w:eastAsia="zh-CN"/>
        </w:rPr>
        <w:t>内容</w:t>
      </w:r>
      <w:r>
        <w:rPr>
          <w:rFonts w:hint="eastAsia" w:ascii="仿宋_GB2312" w:hAnsi="宋体" w:cs="宋体"/>
          <w:b/>
          <w:bCs/>
        </w:rPr>
        <w:t>，响应文件内容应当写明</w:t>
      </w:r>
      <w:r>
        <w:rPr>
          <w:rFonts w:hint="eastAsia" w:ascii="仿宋_GB2312" w:hAnsi="宋体" w:cs="宋体"/>
          <w:b/>
          <w:bCs/>
          <w:lang w:val="en-US" w:eastAsia="zh-CN"/>
        </w:rPr>
        <w:t>所</w:t>
      </w:r>
      <w:r>
        <w:rPr>
          <w:rFonts w:hint="eastAsia" w:ascii="仿宋_GB2312" w:hAnsi="宋体" w:cs="宋体"/>
          <w:b/>
          <w:bCs/>
        </w:rPr>
        <w:t>标货物具体参数或商务响应承诺的具体数值，否则按</w:t>
      </w:r>
      <w:r>
        <w:rPr>
          <w:rFonts w:hint="eastAsia" w:ascii="仿宋_GB2312" w:hAnsi="宋体" w:cs="宋体"/>
          <w:b/>
          <w:bCs/>
          <w:lang w:val="en-US" w:eastAsia="zh-CN"/>
        </w:rPr>
        <w:t>报价</w:t>
      </w:r>
      <w:r>
        <w:rPr>
          <w:rFonts w:hint="eastAsia" w:ascii="仿宋_GB2312" w:hAnsi="宋体" w:cs="宋体"/>
          <w:b/>
          <w:bCs/>
        </w:rPr>
        <w:t>无效处理。</w:t>
      </w:r>
    </w:p>
    <w:p w14:paraId="2C59A751">
      <w:pPr>
        <w:spacing w:line="560" w:lineRule="exact"/>
        <w:rPr>
          <w:rFonts w:ascii="仿宋_GB2312" w:hAnsi="宋体" w:cs="宋体"/>
        </w:rPr>
      </w:pPr>
      <w:r>
        <w:rPr>
          <w:rFonts w:hint="eastAsia" w:ascii="仿宋_GB2312" w:hAnsi="宋体" w:cs="宋体"/>
        </w:rPr>
        <w:t xml:space="preserve">报价公司（盖公章）：      </w:t>
      </w:r>
      <w:r>
        <w:rPr>
          <w:rFonts w:ascii="仿宋_GB2312" w:hAnsi="宋体" w:cs="宋体"/>
        </w:rPr>
        <w:t xml:space="preserve">     </w:t>
      </w:r>
      <w:r>
        <w:rPr>
          <w:rFonts w:hint="eastAsia" w:ascii="仿宋_GB2312" w:hAnsi="宋体" w:cs="宋体"/>
        </w:rPr>
        <w:t xml:space="preserve">法定代表人签字： </w:t>
      </w:r>
      <w:r>
        <w:rPr>
          <w:rFonts w:ascii="仿宋_GB2312" w:hAnsi="宋体" w:cs="宋体"/>
        </w:rPr>
        <w:t xml:space="preserve">  </w:t>
      </w:r>
      <w:r>
        <w:rPr>
          <w:rFonts w:hint="eastAsia" w:ascii="仿宋_GB2312" w:hAnsi="宋体" w:cs="宋体"/>
        </w:rPr>
        <w:t xml:space="preserve">    </w:t>
      </w:r>
    </w:p>
    <w:p w14:paraId="2D71D27A">
      <w:pPr>
        <w:spacing w:line="560" w:lineRule="exact"/>
      </w:pPr>
      <w:r>
        <w:rPr>
          <w:rFonts w:hint="eastAsia" w:ascii="仿宋_GB2312" w:hAnsi="宋体" w:cs="宋体"/>
        </w:rPr>
        <w:t xml:space="preserve">报价时间： </w:t>
      </w:r>
      <w:r>
        <w:rPr>
          <w:rFonts w:ascii="仿宋_GB2312" w:hAnsi="宋体" w:cs="宋体"/>
        </w:rPr>
        <w:t xml:space="preserve">    </w:t>
      </w:r>
      <w:r>
        <w:rPr>
          <w:rFonts w:hint="eastAsia" w:ascii="仿宋_GB2312" w:hAnsi="宋体" w:cs="宋体"/>
        </w:rPr>
        <w:t xml:space="preserve">年 </w:t>
      </w:r>
      <w:r>
        <w:rPr>
          <w:rFonts w:ascii="仿宋_GB2312" w:hAnsi="宋体" w:cs="宋体"/>
        </w:rPr>
        <w:t xml:space="preserve"> </w:t>
      </w:r>
      <w:r>
        <w:rPr>
          <w:rFonts w:hint="eastAsia" w:ascii="仿宋_GB2312" w:hAnsi="宋体" w:cs="宋体"/>
        </w:rPr>
        <w:t xml:space="preserve">月 </w:t>
      </w:r>
      <w:r>
        <w:rPr>
          <w:rFonts w:ascii="仿宋_GB2312" w:hAnsi="宋体" w:cs="宋体"/>
        </w:rPr>
        <w:t xml:space="preserve"> </w:t>
      </w:r>
      <w:r>
        <w:rPr>
          <w:rFonts w:hint="eastAsia" w:ascii="仿宋_GB2312" w:hAnsi="宋体" w:cs="宋体"/>
        </w:rPr>
        <w:t xml:space="preserve">日 </w:t>
      </w:r>
      <w:r>
        <w:rPr>
          <w:rFonts w:ascii="仿宋_GB2312" w:hAnsi="宋体" w:cs="宋体"/>
        </w:rPr>
        <w:t xml:space="preserve">     </w:t>
      </w:r>
      <w:r>
        <w:rPr>
          <w:rFonts w:hint="eastAsia" w:ascii="仿宋_GB2312" w:hAnsi="宋体" w:cs="宋体"/>
        </w:rPr>
        <w:t>联系人及电话：</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WPS Office" w15:userId="34303108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Yjk1NmY4MjQxY2ZkOWMzYzhkN2ZmMmFmOGIyNzQifQ=="/>
  </w:docVars>
  <w:rsids>
    <w:rsidRoot w:val="00B40F90"/>
    <w:rsid w:val="00092B53"/>
    <w:rsid w:val="000E54BE"/>
    <w:rsid w:val="000F10A7"/>
    <w:rsid w:val="0017555A"/>
    <w:rsid w:val="002F5650"/>
    <w:rsid w:val="002F7806"/>
    <w:rsid w:val="0030678C"/>
    <w:rsid w:val="003A3DDB"/>
    <w:rsid w:val="003F2409"/>
    <w:rsid w:val="005046ED"/>
    <w:rsid w:val="006204D2"/>
    <w:rsid w:val="006471AE"/>
    <w:rsid w:val="00656514"/>
    <w:rsid w:val="006B7755"/>
    <w:rsid w:val="00757867"/>
    <w:rsid w:val="0082166B"/>
    <w:rsid w:val="00821E32"/>
    <w:rsid w:val="00956483"/>
    <w:rsid w:val="00A30B2F"/>
    <w:rsid w:val="00B40F90"/>
    <w:rsid w:val="00B71D62"/>
    <w:rsid w:val="00B9197F"/>
    <w:rsid w:val="00CB7B3D"/>
    <w:rsid w:val="00E961B6"/>
    <w:rsid w:val="00EE6A99"/>
    <w:rsid w:val="058850B1"/>
    <w:rsid w:val="099D3B04"/>
    <w:rsid w:val="0A4F751C"/>
    <w:rsid w:val="0AB56155"/>
    <w:rsid w:val="0B3A1946"/>
    <w:rsid w:val="0C741FE5"/>
    <w:rsid w:val="0FF120DA"/>
    <w:rsid w:val="115959FE"/>
    <w:rsid w:val="15E50ECA"/>
    <w:rsid w:val="188505C3"/>
    <w:rsid w:val="19883228"/>
    <w:rsid w:val="1A5A2676"/>
    <w:rsid w:val="1BFD51C0"/>
    <w:rsid w:val="1CDA0930"/>
    <w:rsid w:val="1F29670C"/>
    <w:rsid w:val="2083774F"/>
    <w:rsid w:val="22AE4D6D"/>
    <w:rsid w:val="23C55167"/>
    <w:rsid w:val="26263974"/>
    <w:rsid w:val="26B840CC"/>
    <w:rsid w:val="2A1A5096"/>
    <w:rsid w:val="2EAB5ECB"/>
    <w:rsid w:val="302204C8"/>
    <w:rsid w:val="31640A7A"/>
    <w:rsid w:val="3182008E"/>
    <w:rsid w:val="33275C5A"/>
    <w:rsid w:val="37E42938"/>
    <w:rsid w:val="38F8063F"/>
    <w:rsid w:val="3B9D5C20"/>
    <w:rsid w:val="3E661F56"/>
    <w:rsid w:val="412C1E82"/>
    <w:rsid w:val="42170D27"/>
    <w:rsid w:val="48EA5B34"/>
    <w:rsid w:val="49F5087D"/>
    <w:rsid w:val="4B835939"/>
    <w:rsid w:val="4BCD7E5B"/>
    <w:rsid w:val="4C15608A"/>
    <w:rsid w:val="4EA3641A"/>
    <w:rsid w:val="4EB453B6"/>
    <w:rsid w:val="4F4606FA"/>
    <w:rsid w:val="4F9450BC"/>
    <w:rsid w:val="56C76EFD"/>
    <w:rsid w:val="5A0C1E28"/>
    <w:rsid w:val="5C3C393A"/>
    <w:rsid w:val="5F676980"/>
    <w:rsid w:val="5FBD5654"/>
    <w:rsid w:val="622B5E4B"/>
    <w:rsid w:val="6421003F"/>
    <w:rsid w:val="65A753BA"/>
    <w:rsid w:val="688D2886"/>
    <w:rsid w:val="6B8B5A6E"/>
    <w:rsid w:val="70C504E8"/>
    <w:rsid w:val="70D80585"/>
    <w:rsid w:val="70FD6116"/>
    <w:rsid w:val="71121B78"/>
    <w:rsid w:val="730E2BB4"/>
    <w:rsid w:val="739B7C05"/>
    <w:rsid w:val="73E30863"/>
    <w:rsid w:val="75046ED9"/>
    <w:rsid w:val="7CC85330"/>
    <w:rsid w:val="7CEF376C"/>
    <w:rsid w:val="7DDF7600"/>
    <w:rsid w:val="7E33504C"/>
    <w:rsid w:val="7ECF41D3"/>
    <w:rsid w:val="7F2F24AA"/>
    <w:rsid w:val="7FB06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sz w:val="28"/>
      <w:szCs w:val="28"/>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annotation subject"/>
    <w:basedOn w:val="2"/>
    <w:next w:val="2"/>
    <w:link w:val="16"/>
    <w:qFormat/>
    <w:uiPriority w:val="0"/>
    <w:rPr>
      <w:b/>
      <w:bCs/>
    </w:rPr>
  </w:style>
  <w:style w:type="character" w:styleId="9">
    <w:name w:val="annotation reference"/>
    <w:basedOn w:val="8"/>
    <w:qFormat/>
    <w:uiPriority w:val="0"/>
    <w:rPr>
      <w:sz w:val="21"/>
      <w:szCs w:val="21"/>
    </w:rPr>
  </w:style>
  <w:style w:type="paragraph" w:customStyle="1" w:styleId="10">
    <w:name w:val="Default"/>
    <w:autoRedefine/>
    <w:qFormat/>
    <w:uiPriority w:val="0"/>
    <w:pPr>
      <w:widowControl w:val="0"/>
      <w:autoSpaceDE w:val="0"/>
      <w:autoSpaceDN w:val="0"/>
      <w:adjustRightInd w:val="0"/>
    </w:pPr>
    <w:rPr>
      <w:rFonts w:ascii="方正小标宋简体" w:eastAsia="方正小标宋简体" w:cs="方正小标宋简体" w:hAnsiTheme="minorHAnsi"/>
      <w:color w:val="000000"/>
      <w:sz w:val="24"/>
      <w:szCs w:val="24"/>
      <w:lang w:val="en-US" w:eastAsia="zh-CN" w:bidi="ar-SA"/>
    </w:rPr>
  </w:style>
  <w:style w:type="character" w:customStyle="1" w:styleId="11">
    <w:name w:val="页眉 字符"/>
    <w:basedOn w:val="8"/>
    <w:link w:val="5"/>
    <w:qFormat/>
    <w:uiPriority w:val="0"/>
    <w:rPr>
      <w:rFonts w:ascii="Times New Roman" w:hAnsi="Times New Roman" w:eastAsia="仿宋_GB2312" w:cs="Times New Roman"/>
      <w:sz w:val="18"/>
      <w:szCs w:val="18"/>
    </w:rPr>
  </w:style>
  <w:style w:type="character" w:customStyle="1" w:styleId="12">
    <w:name w:val="页脚 字符"/>
    <w:basedOn w:val="8"/>
    <w:link w:val="4"/>
    <w:qFormat/>
    <w:uiPriority w:val="0"/>
    <w:rPr>
      <w:rFonts w:ascii="Times New Roman" w:hAnsi="Times New Roman" w:eastAsia="仿宋_GB2312" w:cs="Times New Roman"/>
      <w:sz w:val="18"/>
      <w:szCs w:val="18"/>
    </w:rPr>
  </w:style>
  <w:style w:type="character" w:customStyle="1" w:styleId="13">
    <w:name w:val="font81"/>
    <w:basedOn w:val="8"/>
    <w:qFormat/>
    <w:uiPriority w:val="0"/>
    <w:rPr>
      <w:rFonts w:hint="eastAsia" w:ascii="宋体" w:hAnsi="宋体" w:eastAsia="宋体" w:cs="宋体"/>
      <w:color w:val="auto"/>
      <w:sz w:val="20"/>
      <w:szCs w:val="20"/>
      <w:u w:val="none"/>
    </w:rPr>
  </w:style>
  <w:style w:type="character" w:customStyle="1" w:styleId="14">
    <w:name w:val="font61"/>
    <w:basedOn w:val="8"/>
    <w:qFormat/>
    <w:uiPriority w:val="0"/>
    <w:rPr>
      <w:rFonts w:hint="eastAsia" w:ascii="宋体" w:hAnsi="宋体" w:eastAsia="宋体" w:cs="宋体"/>
      <w:color w:val="auto"/>
      <w:sz w:val="20"/>
      <w:szCs w:val="20"/>
      <w:u w:val="none"/>
    </w:rPr>
  </w:style>
  <w:style w:type="character" w:customStyle="1" w:styleId="15">
    <w:name w:val="批注文字 字符"/>
    <w:basedOn w:val="8"/>
    <w:link w:val="2"/>
    <w:qFormat/>
    <w:uiPriority w:val="0"/>
    <w:rPr>
      <w:rFonts w:eastAsia="仿宋_GB2312"/>
      <w:sz w:val="28"/>
      <w:szCs w:val="28"/>
    </w:rPr>
  </w:style>
  <w:style w:type="character" w:customStyle="1" w:styleId="16">
    <w:name w:val="批注主题 字符"/>
    <w:basedOn w:val="15"/>
    <w:link w:val="6"/>
    <w:qFormat/>
    <w:uiPriority w:val="0"/>
    <w:rPr>
      <w:rFonts w:eastAsia="仿宋_GB2312"/>
      <w:b/>
      <w:bCs/>
      <w:sz w:val="28"/>
      <w:szCs w:val="28"/>
    </w:rPr>
  </w:style>
  <w:style w:type="character" w:customStyle="1" w:styleId="17">
    <w:name w:val="批注框文本 字符"/>
    <w:basedOn w:val="8"/>
    <w:link w:val="3"/>
    <w:qFormat/>
    <w:uiPriority w:val="0"/>
    <w:rPr>
      <w:rFonts w:eastAsia="仿宋_GB231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6019</Words>
  <Characters>7818</Characters>
  <Lines>56</Lines>
  <Paragraphs>15</Paragraphs>
  <TotalTime>17</TotalTime>
  <ScaleCrop>false</ScaleCrop>
  <LinksUpToDate>false</LinksUpToDate>
  <CharactersWithSpaces>8551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东喜</cp:lastModifiedBy>
  <cp:lastPrinted>2025-06-09T02:00:00Z</cp:lastPrinted>
  <dcterms:modified xsi:type="dcterms:W3CDTF">2025-06-09T03:05:50Z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4597C1C6625F47BFA65E61C502380D99_13</vt:lpwstr>
  </property>
  <property fmtid="{D5CDD505-2E9C-101B-9397-08002B2CF9AE}" pid="4" name="KSOTemplateDocerSaveRecord">
    <vt:lpwstr>eyJoZGlkIjoiZmEzNDA4YzVhZWUxMzkxYWY4ZTg2Y2FmY2ZiYjUwZjEiLCJ1c2VySWQiOiI5NTUzMzc3NzkifQ==</vt:lpwstr>
  </property>
</Properties>
</file>