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1A592">
      <w:pPr>
        <w:jc w:val="center"/>
        <w:rPr>
          <w:rFonts w:ascii="方正小标宋简体" w:hAnsi="仿宋" w:eastAsia="方正小标宋简体"/>
          <w:b/>
          <w:sz w:val="44"/>
          <w:szCs w:val="44"/>
        </w:rPr>
      </w:pPr>
      <w:r>
        <w:rPr>
          <w:rFonts w:hint="eastAsia" w:ascii="方正小标宋简体" w:hAnsi="仿宋" w:eastAsia="方正小标宋简体"/>
          <w:b/>
          <w:color w:val="000000" w:themeColor="text1"/>
          <w:sz w:val="44"/>
          <w:szCs w:val="44"/>
          <w:lang w:val="en-US" w:eastAsia="zh-CN"/>
          <w14:textFill>
            <w14:solidFill>
              <w14:schemeClr w14:val="tx1"/>
            </w14:solidFill>
          </w14:textFill>
        </w:rPr>
        <w:t xml:space="preserve"> </w:t>
      </w:r>
      <w:r>
        <w:rPr>
          <w:rFonts w:hint="eastAsia" w:ascii="方正小标宋简体" w:hAnsi="仿宋" w:eastAsia="方正小标宋简体"/>
          <w:b/>
          <w:color w:val="000000" w:themeColor="text1"/>
          <w:sz w:val="44"/>
          <w:szCs w:val="44"/>
          <w14:textFill>
            <w14:solidFill>
              <w14:schemeClr w14:val="tx1"/>
            </w14:solidFill>
          </w14:textFill>
        </w:rPr>
        <w:t>2025年广西财经学院武鸣校区体育教育设备采购</w:t>
      </w:r>
      <w:r>
        <w:rPr>
          <w:rFonts w:hint="eastAsia" w:ascii="方正小标宋简体" w:hAnsi="仿宋" w:eastAsia="方正小标宋简体"/>
          <w:b/>
          <w:sz w:val="44"/>
          <w:szCs w:val="44"/>
        </w:rPr>
        <w:t>项目（2）报价表</w:t>
      </w:r>
    </w:p>
    <w:p w14:paraId="0FB9A117">
      <w:pPr>
        <w:jc w:val="left"/>
        <w:rPr>
          <w:rFonts w:ascii="仿宋_GB2312" w:hAnsi="仿宋"/>
          <w:b/>
          <w:sz w:val="24"/>
          <w:szCs w:val="36"/>
        </w:rPr>
      </w:pPr>
    </w:p>
    <w:p w14:paraId="0A512FF4">
      <w:pPr>
        <w:jc w:val="left"/>
        <w:rPr>
          <w:rFonts w:ascii="仿宋_GB2312" w:hAnsi="仿宋"/>
          <w:b/>
          <w:sz w:val="24"/>
          <w:szCs w:val="36"/>
        </w:rPr>
      </w:pPr>
      <w:r>
        <w:rPr>
          <w:rFonts w:hint="eastAsia" w:ascii="仿宋_GB2312" w:hAnsi="仿宋"/>
          <w:b/>
          <w:sz w:val="24"/>
          <w:szCs w:val="36"/>
        </w:rPr>
        <w:t>项目名称：2025年广西财经学院武鸣校区体育教育设备采购项目（2）</w:t>
      </w:r>
      <w:r>
        <w:rPr>
          <w:rFonts w:hint="eastAsia" w:ascii="仿宋_GB2312" w:hAnsi="仿宋"/>
          <w:b/>
          <w:sz w:val="24"/>
          <w:szCs w:val="36"/>
          <w:lang w:val="en-US" w:eastAsia="zh-CN"/>
        </w:rPr>
        <w:t xml:space="preserve">                                                                    </w:t>
      </w:r>
      <w:r>
        <w:rPr>
          <w:rFonts w:hint="eastAsia" w:ascii="仿宋_GB2312" w:hAnsi="仿宋"/>
          <w:b/>
          <w:sz w:val="24"/>
          <w:szCs w:val="36"/>
        </w:rPr>
        <w:t>本项目上限控制价：418675.00元</w:t>
      </w:r>
    </w:p>
    <w:tbl>
      <w:tblPr>
        <w:tblStyle w:val="7"/>
        <w:tblpPr w:leftFromText="180" w:rightFromText="180" w:vertAnchor="text" w:tblpXSpec="center" w:tblpY="167"/>
        <w:tblW w:w="15342" w:type="dxa"/>
        <w:tblInd w:w="-2802" w:type="dxa"/>
        <w:tblLayout w:type="fixed"/>
        <w:tblCellMar>
          <w:top w:w="0" w:type="dxa"/>
          <w:left w:w="28" w:type="dxa"/>
          <w:bottom w:w="0" w:type="dxa"/>
          <w:right w:w="28" w:type="dxa"/>
        </w:tblCellMar>
      </w:tblPr>
      <w:tblGrid>
        <w:gridCol w:w="607"/>
        <w:gridCol w:w="1275"/>
        <w:gridCol w:w="6315"/>
        <w:gridCol w:w="570"/>
        <w:gridCol w:w="448"/>
        <w:gridCol w:w="731"/>
        <w:gridCol w:w="677"/>
        <w:gridCol w:w="1137"/>
        <w:gridCol w:w="517"/>
        <w:gridCol w:w="1740"/>
        <w:gridCol w:w="1325"/>
      </w:tblGrid>
      <w:tr w14:paraId="05E16989">
        <w:tblPrEx>
          <w:tblCellMar>
            <w:top w:w="0" w:type="dxa"/>
            <w:left w:w="28" w:type="dxa"/>
            <w:bottom w:w="0" w:type="dxa"/>
            <w:right w:w="28" w:type="dxa"/>
          </w:tblCellMar>
        </w:tblPrEx>
        <w:trPr>
          <w:trHeight w:val="609"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0E9B41CD">
            <w:pPr>
              <w:widowControl/>
              <w:jc w:val="center"/>
              <w:rPr>
                <w:rFonts w:ascii="宋体" w:hAnsi="宋体" w:eastAsia="宋体" w:cs="宋体"/>
                <w:b/>
                <w:bCs/>
                <w:color w:val="auto"/>
                <w:sz w:val="24"/>
                <w:szCs w:val="24"/>
              </w:rPr>
            </w:pPr>
          </w:p>
        </w:tc>
        <w:tc>
          <w:tcPr>
            <w:tcW w:w="8608" w:type="dxa"/>
            <w:gridSpan w:val="4"/>
            <w:tcBorders>
              <w:top w:val="single" w:color="auto" w:sz="4" w:space="0"/>
              <w:left w:val="single" w:color="auto" w:sz="4" w:space="0"/>
              <w:bottom w:val="single" w:color="auto" w:sz="4" w:space="0"/>
              <w:right w:val="single" w:color="auto" w:sz="4" w:space="0"/>
            </w:tcBorders>
            <w:noWrap/>
            <w:vAlign w:val="center"/>
          </w:tcPr>
          <w:p w14:paraId="235A515D">
            <w:pPr>
              <w:widowControl/>
              <w:jc w:val="center"/>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本项目采购标的具体</w:t>
            </w:r>
            <w:r>
              <w:rPr>
                <w:rFonts w:hint="eastAsia" w:ascii="宋体" w:hAnsi="宋体" w:eastAsia="宋体" w:cs="宋体"/>
                <w:b/>
                <w:bCs/>
                <w:color w:val="auto"/>
                <w:sz w:val="24"/>
                <w:szCs w:val="24"/>
              </w:rPr>
              <w:t>要求</w:t>
            </w:r>
          </w:p>
        </w:tc>
        <w:tc>
          <w:tcPr>
            <w:tcW w:w="6127" w:type="dxa"/>
            <w:gridSpan w:val="6"/>
            <w:tcBorders>
              <w:top w:val="single" w:color="auto" w:sz="4" w:space="0"/>
              <w:left w:val="nil"/>
              <w:bottom w:val="single" w:color="auto" w:sz="4" w:space="0"/>
              <w:right w:val="single" w:color="auto" w:sz="4" w:space="0"/>
            </w:tcBorders>
            <w:noWrap/>
            <w:vAlign w:val="center"/>
          </w:tcPr>
          <w:p w14:paraId="67AF3E19">
            <w:pPr>
              <w:widowControl/>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供应商对（详细）规格参数响应内容</w:t>
            </w:r>
          </w:p>
        </w:tc>
      </w:tr>
      <w:tr w14:paraId="11DA9393">
        <w:tblPrEx>
          <w:tblCellMar>
            <w:top w:w="0" w:type="dxa"/>
            <w:left w:w="28" w:type="dxa"/>
            <w:bottom w:w="0" w:type="dxa"/>
            <w:right w:w="28" w:type="dxa"/>
          </w:tblCellMar>
        </w:tblPrEx>
        <w:trPr>
          <w:trHeight w:val="1190"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281FE7E9">
            <w:pPr>
              <w:widowControl/>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5" w:type="dxa"/>
            <w:tcBorders>
              <w:top w:val="single" w:color="auto" w:sz="4" w:space="0"/>
              <w:left w:val="single" w:color="auto" w:sz="4" w:space="0"/>
              <w:bottom w:val="single" w:color="auto" w:sz="4" w:space="0"/>
              <w:right w:val="single" w:color="auto" w:sz="4" w:space="0"/>
            </w:tcBorders>
            <w:noWrap/>
            <w:vAlign w:val="center"/>
          </w:tcPr>
          <w:p w14:paraId="6B90AA47">
            <w:pPr>
              <w:widowControl/>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货物名称</w:t>
            </w:r>
          </w:p>
        </w:tc>
        <w:tc>
          <w:tcPr>
            <w:tcW w:w="6315" w:type="dxa"/>
            <w:tcBorders>
              <w:top w:val="single" w:color="auto" w:sz="4" w:space="0"/>
              <w:left w:val="nil"/>
              <w:bottom w:val="single" w:color="auto" w:sz="4" w:space="0"/>
              <w:right w:val="single" w:color="auto" w:sz="4" w:space="0"/>
            </w:tcBorders>
            <w:noWrap/>
            <w:vAlign w:val="center"/>
          </w:tcPr>
          <w:p w14:paraId="7BF6CA51">
            <w:pPr>
              <w:widowControl/>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具体（详细）规格参数</w:t>
            </w:r>
            <w:r>
              <w:rPr>
                <w:rFonts w:hint="eastAsia" w:ascii="宋体" w:hAnsi="宋体" w:eastAsia="宋体" w:cs="宋体"/>
                <w:b/>
                <w:bCs/>
                <w:color w:val="auto"/>
                <w:sz w:val="24"/>
                <w:szCs w:val="24"/>
                <w:lang w:val="en-US" w:eastAsia="zh-CN"/>
              </w:rPr>
              <w:t>要求</w:t>
            </w:r>
          </w:p>
        </w:tc>
        <w:tc>
          <w:tcPr>
            <w:tcW w:w="570" w:type="dxa"/>
            <w:tcBorders>
              <w:top w:val="single" w:color="auto" w:sz="4" w:space="0"/>
              <w:left w:val="nil"/>
              <w:bottom w:val="single" w:color="auto" w:sz="4" w:space="0"/>
              <w:right w:val="single" w:color="auto" w:sz="4" w:space="0"/>
            </w:tcBorders>
            <w:noWrap/>
            <w:vAlign w:val="center"/>
          </w:tcPr>
          <w:p w14:paraId="593B733A">
            <w:pPr>
              <w:widowControl/>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448" w:type="dxa"/>
            <w:tcBorders>
              <w:top w:val="single" w:color="auto" w:sz="4" w:space="0"/>
              <w:left w:val="nil"/>
              <w:bottom w:val="single" w:color="auto" w:sz="4" w:space="0"/>
              <w:right w:val="single" w:color="auto" w:sz="4" w:space="0"/>
            </w:tcBorders>
            <w:noWrap/>
            <w:vAlign w:val="center"/>
          </w:tcPr>
          <w:p w14:paraId="411B9D62">
            <w:pPr>
              <w:widowControl/>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731" w:type="dxa"/>
            <w:tcBorders>
              <w:top w:val="single" w:color="auto" w:sz="4" w:space="0"/>
              <w:left w:val="nil"/>
              <w:bottom w:val="single" w:color="auto" w:sz="4" w:space="0"/>
              <w:right w:val="single" w:color="auto" w:sz="4" w:space="0"/>
            </w:tcBorders>
            <w:noWrap/>
            <w:vAlign w:val="center"/>
          </w:tcPr>
          <w:p w14:paraId="62ABE31C">
            <w:pPr>
              <w:widowControl/>
              <w:snapToGrid w:val="0"/>
              <w:jc w:val="center"/>
              <w:rPr>
                <w:rFonts w:ascii="宋体" w:hAnsi="宋体" w:eastAsia="宋体" w:cs="宋体"/>
                <w:b/>
                <w:bCs/>
                <w:color w:val="auto"/>
                <w:sz w:val="24"/>
                <w:szCs w:val="24"/>
              </w:rPr>
            </w:pPr>
            <w:r>
              <w:rPr>
                <w:rFonts w:hint="eastAsia" w:ascii="宋体" w:hAnsi="宋体" w:eastAsia="宋体" w:cs="宋体"/>
                <w:b/>
                <w:bCs/>
                <w:color w:val="auto"/>
                <w:sz w:val="24"/>
                <w:szCs w:val="24"/>
              </w:rPr>
              <w:t>单价</w:t>
            </w:r>
          </w:p>
          <w:p w14:paraId="7F93AF05">
            <w:pPr>
              <w:widowControl/>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(元)</w:t>
            </w:r>
          </w:p>
        </w:tc>
        <w:tc>
          <w:tcPr>
            <w:tcW w:w="677" w:type="dxa"/>
            <w:tcBorders>
              <w:top w:val="single" w:color="auto" w:sz="4" w:space="0"/>
              <w:left w:val="nil"/>
              <w:bottom w:val="single" w:color="auto" w:sz="4" w:space="0"/>
              <w:right w:val="single" w:color="auto" w:sz="4" w:space="0"/>
            </w:tcBorders>
            <w:noWrap/>
            <w:vAlign w:val="center"/>
          </w:tcPr>
          <w:p w14:paraId="20D811E3">
            <w:pPr>
              <w:widowControl/>
              <w:snapToGrid w:val="0"/>
              <w:jc w:val="center"/>
              <w:rPr>
                <w:rFonts w:ascii="宋体" w:hAnsi="宋体" w:eastAsia="宋体" w:cs="宋体"/>
                <w:b/>
                <w:bCs/>
                <w:color w:val="auto"/>
                <w:sz w:val="24"/>
                <w:szCs w:val="24"/>
              </w:rPr>
            </w:pPr>
            <w:r>
              <w:rPr>
                <w:rFonts w:hint="eastAsia" w:ascii="宋体" w:hAnsi="宋体" w:eastAsia="宋体" w:cs="宋体"/>
                <w:b/>
                <w:bCs/>
                <w:color w:val="auto"/>
                <w:sz w:val="24"/>
                <w:szCs w:val="24"/>
              </w:rPr>
              <w:t>金额</w:t>
            </w:r>
          </w:p>
          <w:p w14:paraId="1F97BFC2">
            <w:pPr>
              <w:widowControl/>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(元)</w:t>
            </w:r>
          </w:p>
        </w:tc>
        <w:tc>
          <w:tcPr>
            <w:tcW w:w="1137" w:type="dxa"/>
            <w:tcBorders>
              <w:top w:val="single" w:color="auto" w:sz="4" w:space="0"/>
              <w:left w:val="nil"/>
              <w:bottom w:val="single" w:color="auto" w:sz="4" w:space="0"/>
              <w:right w:val="single" w:color="auto" w:sz="4" w:space="0"/>
            </w:tcBorders>
            <w:vAlign w:val="center"/>
          </w:tcPr>
          <w:p w14:paraId="6909CAD5">
            <w:pPr>
              <w:widowControl/>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具体（详细）规格参数</w:t>
            </w:r>
          </w:p>
          <w:p w14:paraId="1804E4D9">
            <w:pPr>
              <w:widowControl/>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具体响应</w:t>
            </w:r>
            <w:r>
              <w:rPr>
                <w:rFonts w:hint="eastAsia" w:ascii="宋体" w:hAnsi="宋体" w:eastAsia="宋体" w:cs="宋体"/>
                <w:b/>
                <w:bCs/>
                <w:color w:val="auto"/>
                <w:sz w:val="24"/>
                <w:szCs w:val="24"/>
                <w:lang w:val="en-US" w:eastAsia="zh-CN"/>
              </w:rPr>
              <w:t>内容</w:t>
            </w:r>
          </w:p>
        </w:tc>
        <w:tc>
          <w:tcPr>
            <w:tcW w:w="517" w:type="dxa"/>
            <w:tcBorders>
              <w:top w:val="single" w:color="auto" w:sz="4" w:space="0"/>
              <w:left w:val="nil"/>
              <w:bottom w:val="single" w:color="auto" w:sz="4" w:space="0"/>
              <w:right w:val="single" w:color="auto" w:sz="4" w:space="0"/>
            </w:tcBorders>
            <w:vAlign w:val="center"/>
          </w:tcPr>
          <w:p w14:paraId="56501EE0">
            <w:pPr>
              <w:widowControl/>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是否响应</w:t>
            </w:r>
          </w:p>
        </w:tc>
        <w:tc>
          <w:tcPr>
            <w:tcW w:w="1740" w:type="dxa"/>
            <w:tcBorders>
              <w:top w:val="single" w:color="auto" w:sz="4" w:space="0"/>
              <w:left w:val="nil"/>
              <w:bottom w:val="single" w:color="auto" w:sz="4" w:space="0"/>
              <w:right w:val="single" w:color="auto" w:sz="4" w:space="0"/>
            </w:tcBorders>
            <w:vAlign w:val="center"/>
          </w:tcPr>
          <w:p w14:paraId="04EC2D89">
            <w:pPr>
              <w:widowControl/>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品牌及生产厂家</w:t>
            </w:r>
          </w:p>
        </w:tc>
        <w:tc>
          <w:tcPr>
            <w:tcW w:w="1325" w:type="dxa"/>
            <w:tcBorders>
              <w:top w:val="single" w:color="auto" w:sz="4" w:space="0"/>
              <w:left w:val="nil"/>
              <w:bottom w:val="single" w:color="auto" w:sz="4" w:space="0"/>
              <w:right w:val="single" w:color="auto" w:sz="4" w:space="0"/>
            </w:tcBorders>
            <w:vAlign w:val="center"/>
          </w:tcPr>
          <w:p w14:paraId="525AAE62">
            <w:pPr>
              <w:widowControl/>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型号规格</w:t>
            </w:r>
          </w:p>
        </w:tc>
      </w:tr>
      <w:tr w14:paraId="47A0AD0A">
        <w:tblPrEx>
          <w:tblCellMar>
            <w:top w:w="0" w:type="dxa"/>
            <w:left w:w="28" w:type="dxa"/>
            <w:bottom w:w="0" w:type="dxa"/>
            <w:right w:w="28" w:type="dxa"/>
          </w:tblCellMar>
        </w:tblPrEx>
        <w:trPr>
          <w:trHeight w:val="90" w:hRule="atLeast"/>
        </w:trPr>
        <w:tc>
          <w:tcPr>
            <w:tcW w:w="607" w:type="dxa"/>
            <w:tcBorders>
              <w:top w:val="nil"/>
              <w:left w:val="single" w:color="auto" w:sz="4" w:space="0"/>
              <w:bottom w:val="single" w:color="auto" w:sz="4" w:space="0"/>
              <w:right w:val="single" w:color="auto" w:sz="4" w:space="0"/>
            </w:tcBorders>
            <w:noWrap/>
            <w:vAlign w:val="center"/>
          </w:tcPr>
          <w:p w14:paraId="61DEE0B5">
            <w:pPr>
              <w:jc w:val="center"/>
              <w:rPr>
                <w:rFonts w:ascii="宋体" w:hAnsi="宋体" w:eastAsia="宋体" w:cs="宋体"/>
                <w:color w:val="auto"/>
                <w:sz w:val="24"/>
                <w:szCs w:val="24"/>
              </w:rPr>
            </w:pPr>
            <w:r>
              <w:rPr>
                <w:rFonts w:ascii="宋体" w:hAnsi="宋体" w:eastAsia="宋体" w:cs="宋体"/>
                <w:color w:val="auto"/>
                <w:sz w:val="24"/>
                <w:szCs w:val="24"/>
              </w:rPr>
              <w:t>1</w:t>
            </w:r>
          </w:p>
        </w:tc>
        <w:tc>
          <w:tcPr>
            <w:tcW w:w="1275" w:type="dxa"/>
            <w:tcBorders>
              <w:top w:val="nil"/>
              <w:left w:val="single" w:color="auto" w:sz="4" w:space="0"/>
              <w:bottom w:val="single" w:color="auto" w:sz="4" w:space="0"/>
              <w:right w:val="single" w:color="auto" w:sz="4" w:space="0"/>
            </w:tcBorders>
            <w:noWrap/>
            <w:vAlign w:val="center"/>
          </w:tcPr>
          <w:p w14:paraId="6F49DC5B">
            <w:pPr>
              <w:widowControl/>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篮球架</w:t>
            </w:r>
          </w:p>
        </w:tc>
        <w:tc>
          <w:tcPr>
            <w:tcW w:w="6315" w:type="dxa"/>
            <w:tcBorders>
              <w:top w:val="nil"/>
              <w:left w:val="nil"/>
              <w:bottom w:val="single" w:color="auto" w:sz="4" w:space="0"/>
              <w:right w:val="single" w:color="auto" w:sz="4" w:space="0"/>
            </w:tcBorders>
            <w:noWrap/>
            <w:vAlign w:val="center"/>
          </w:tcPr>
          <w:p w14:paraId="4DAE812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 类型：室内移动式篮球架；</w:t>
            </w:r>
          </w:p>
          <w:p w14:paraId="75542217">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 篮板：尺寸 1800 mm × 1050 mm（≥2mm），平面与水平面垂直；</w:t>
            </w:r>
          </w:p>
          <w:p w14:paraId="23D0713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 篮板材质：高强度钢化玻璃（厚度≥12 mm），外围边框采用40mm宽的铝型材经模具压制而成，下沿及侧面覆盖有48mm-55mm厚EVA保护胶条；</w:t>
            </w:r>
          </w:p>
          <w:p w14:paraId="14821E21">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 篮圈高度：3050 mm（±6mm）；</w:t>
            </w:r>
          </w:p>
          <w:p w14:paraId="6D19E66C">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 篮圈材质：实心钢制 Φ18-20 mm；内径 450-459mm；缓冲弹簧（三簧设计）；圈下均匀焊接12个成型挂钩，间隙≤8mm，装置无锐边、毛刺；</w:t>
            </w:r>
          </w:p>
          <w:p w14:paraId="7ADE7726">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 篮网材质：尼龙编织，网长400-450mm；</w:t>
            </w:r>
          </w:p>
          <w:p w14:paraId="4BA5B90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 篮板支撑构架刚性：架体受到规定外力卸载后，从原始位置计算支撑构架的永久性水平变形量应≤10mm；</w:t>
            </w:r>
          </w:p>
          <w:p w14:paraId="42EE8CD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 篮板支撑构架稳定性：架体受到规定外力卸载后，从原始位置计算支撑构架的永久性垂直变形量应≤10 mm；</w:t>
            </w:r>
          </w:p>
          <w:p w14:paraId="424D47C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9. 包扎物：(1) 篮板下沿有48mm-55mm厚度的包扎物；侧表面上，从篮板下沿起有350mm-450mm高度的包扎物，厚度20mm-27mm；前、后表面上从篮板下沿起高20mm-25mm处，有20mm-27mm厚的包扎物；(2 篮球架篮板背后面向球场的篮板支撑构架应经衬填后包扎，包扎物高度≥2150mm，包扎厚度≥100mm；在篮板背后的任何支撑部分应在其下表面包扎，包扎厚度不小于25mm，直到距篮板后面1200mm处；</w:t>
            </w:r>
          </w:p>
          <w:p w14:paraId="7BAE817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 底座尺寸≥2000mm×1000mm×340mm（±2mm）。采用≥2.5mm厚的整张钢板经模具一次冲压成型，正面无焊缝，四周边角均采用弧形无棱角设计；</w:t>
            </w:r>
          </w:p>
          <w:p w14:paraId="5607A07E">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▲11. 立柱下面采用≥180mmx180mm大圆弧方管，壁厚≥3.0mm，立柱顶端30cm（±1cm），采用≥150mmx150mm，壁厚≥3mm的方管拼焊而成,圆弧过渡消除应力集中；</w:t>
            </w:r>
          </w:p>
          <w:p w14:paraId="02528BF7">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▲12. 横梁采用宽≥150mmx高≥200mm，壁厚≥3mm的六边成型管材制作而成；</w:t>
            </w:r>
          </w:p>
          <w:p w14:paraId="7F89996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▲13. 后拉杆采用≥40mm×60mm矩形管，在自动弯管机上一次折弯成型。后拉杆两端采用封口焊接防水、防腐、防锈、防划伤；</w:t>
            </w:r>
          </w:p>
          <w:p w14:paraId="06C0214E">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14. 篮板上拉杆采用Φ≥48mmx2.5mm圆管在自动弯管机上一次折弯成型,拉杆前端采用免调节。尺寸严谨，安装方便一次安装到位无需多次调节篮圈与地面的平行度；</w:t>
            </w:r>
          </w:p>
          <w:p w14:paraId="2D7EC48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15. 表面处理：表面处理符合环保标准，涂层享度70-80um，涂饰层附着力应达到一级、硬度应达到或优于2H；涂饰件表面涂层在经24h周期试验后，其耐腐蚀性能应&gt;6级：</w:t>
            </w:r>
          </w:p>
          <w:p w14:paraId="737CB93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▲16. 供货时需提供国家认可的检验机构出具的检验报告原件或复印件加盖生产厂商公章。</w:t>
            </w:r>
          </w:p>
        </w:tc>
        <w:tc>
          <w:tcPr>
            <w:tcW w:w="570" w:type="dxa"/>
            <w:tcBorders>
              <w:top w:val="nil"/>
              <w:left w:val="nil"/>
              <w:bottom w:val="single" w:color="auto" w:sz="4" w:space="0"/>
              <w:right w:val="single" w:color="auto" w:sz="4" w:space="0"/>
            </w:tcBorders>
            <w:vAlign w:val="center"/>
          </w:tcPr>
          <w:p w14:paraId="12DAD232">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副</w:t>
            </w:r>
          </w:p>
        </w:tc>
        <w:tc>
          <w:tcPr>
            <w:tcW w:w="448" w:type="dxa"/>
            <w:tcBorders>
              <w:top w:val="nil"/>
              <w:left w:val="nil"/>
              <w:bottom w:val="single" w:color="auto" w:sz="4" w:space="0"/>
              <w:right w:val="single" w:color="auto" w:sz="4" w:space="0"/>
            </w:tcBorders>
            <w:vAlign w:val="center"/>
          </w:tcPr>
          <w:p w14:paraId="6FBE7FD5">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731" w:type="dxa"/>
            <w:tcBorders>
              <w:top w:val="nil"/>
              <w:left w:val="nil"/>
              <w:bottom w:val="single" w:color="auto" w:sz="4" w:space="0"/>
              <w:right w:val="single" w:color="auto" w:sz="4" w:space="0"/>
            </w:tcBorders>
            <w:noWrap/>
            <w:vAlign w:val="center"/>
          </w:tcPr>
          <w:p w14:paraId="7A3B0D01">
            <w:pPr>
              <w:widowControl/>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466EDEAB">
            <w:pPr>
              <w:widowControl/>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266110FA">
            <w:pPr>
              <w:widowControl/>
              <w:jc w:val="center"/>
              <w:rPr>
                <w:rFonts w:ascii="宋体" w:hAnsi="宋体" w:eastAsia="宋体" w:cs="宋体"/>
                <w:color w:val="auto"/>
                <w:sz w:val="24"/>
                <w:szCs w:val="24"/>
              </w:rPr>
            </w:pPr>
          </w:p>
        </w:tc>
        <w:tc>
          <w:tcPr>
            <w:tcW w:w="517" w:type="dxa"/>
            <w:tcBorders>
              <w:top w:val="single" w:color="auto" w:sz="4" w:space="0"/>
              <w:left w:val="nil"/>
              <w:bottom w:val="single" w:color="auto" w:sz="4" w:space="0"/>
              <w:right w:val="single" w:color="auto" w:sz="4" w:space="0"/>
            </w:tcBorders>
            <w:vAlign w:val="center"/>
          </w:tcPr>
          <w:p w14:paraId="0B0B38B5">
            <w:pPr>
              <w:widowControl/>
              <w:jc w:val="center"/>
              <w:rPr>
                <w:rFonts w:ascii="宋体" w:hAnsi="宋体" w:eastAsia="宋体" w:cs="宋体"/>
                <w:color w:val="auto"/>
                <w:sz w:val="24"/>
                <w:szCs w:val="24"/>
              </w:rPr>
            </w:pPr>
          </w:p>
          <w:p w14:paraId="673681CC">
            <w:pPr>
              <w:widowControl/>
              <w:jc w:val="center"/>
              <w:rPr>
                <w:rFonts w:ascii="宋体" w:hAnsi="宋体" w:eastAsia="宋体" w:cs="宋体"/>
                <w:color w:val="auto"/>
                <w:sz w:val="24"/>
                <w:szCs w:val="24"/>
              </w:rPr>
            </w:pPr>
          </w:p>
        </w:tc>
        <w:tc>
          <w:tcPr>
            <w:tcW w:w="1740" w:type="dxa"/>
            <w:tcBorders>
              <w:top w:val="single" w:color="auto" w:sz="4" w:space="0"/>
              <w:left w:val="nil"/>
              <w:bottom w:val="single" w:color="auto" w:sz="4" w:space="0"/>
              <w:right w:val="single" w:color="auto" w:sz="4" w:space="0"/>
            </w:tcBorders>
            <w:vAlign w:val="center"/>
          </w:tcPr>
          <w:p w14:paraId="348C8DB4">
            <w:pPr>
              <w:widowControl/>
              <w:jc w:val="center"/>
              <w:rPr>
                <w:rFonts w:ascii="宋体" w:hAnsi="宋体" w:eastAsia="宋体" w:cs="宋体"/>
                <w:color w:val="auto"/>
                <w:sz w:val="24"/>
                <w:szCs w:val="24"/>
              </w:rPr>
            </w:pPr>
          </w:p>
        </w:tc>
        <w:tc>
          <w:tcPr>
            <w:tcW w:w="1325" w:type="dxa"/>
            <w:tcBorders>
              <w:top w:val="single" w:color="auto" w:sz="4" w:space="0"/>
              <w:left w:val="nil"/>
              <w:bottom w:val="single" w:color="auto" w:sz="4" w:space="0"/>
              <w:right w:val="single" w:color="auto" w:sz="4" w:space="0"/>
            </w:tcBorders>
            <w:vAlign w:val="center"/>
          </w:tcPr>
          <w:p w14:paraId="1CA49972">
            <w:pPr>
              <w:widowControl/>
              <w:jc w:val="center"/>
              <w:rPr>
                <w:rFonts w:ascii="宋体" w:hAnsi="宋体" w:eastAsia="宋体" w:cs="宋体"/>
                <w:color w:val="auto"/>
                <w:sz w:val="24"/>
                <w:szCs w:val="24"/>
              </w:rPr>
            </w:pPr>
          </w:p>
        </w:tc>
      </w:tr>
      <w:tr w14:paraId="5CB5D2B6">
        <w:tblPrEx>
          <w:tblCellMar>
            <w:top w:w="0" w:type="dxa"/>
            <w:left w:w="28" w:type="dxa"/>
            <w:bottom w:w="0" w:type="dxa"/>
            <w:right w:w="28" w:type="dxa"/>
          </w:tblCellMar>
        </w:tblPrEx>
        <w:trPr>
          <w:trHeight w:val="1236" w:hRule="atLeast"/>
        </w:trPr>
        <w:tc>
          <w:tcPr>
            <w:tcW w:w="607" w:type="dxa"/>
            <w:tcBorders>
              <w:top w:val="nil"/>
              <w:left w:val="single" w:color="auto" w:sz="4" w:space="0"/>
              <w:bottom w:val="single" w:color="auto" w:sz="4" w:space="0"/>
              <w:right w:val="single" w:color="auto" w:sz="4" w:space="0"/>
            </w:tcBorders>
            <w:noWrap/>
            <w:vAlign w:val="center"/>
          </w:tcPr>
          <w:p w14:paraId="2C3688E4">
            <w:pPr>
              <w:jc w:val="center"/>
              <w:rPr>
                <w:rFonts w:ascii="宋体" w:hAnsi="宋体" w:eastAsia="宋体" w:cs="宋体"/>
                <w:color w:val="auto"/>
                <w:sz w:val="24"/>
                <w:szCs w:val="24"/>
              </w:rPr>
            </w:pPr>
            <w:r>
              <w:rPr>
                <w:rFonts w:ascii="宋体" w:hAnsi="宋体" w:eastAsia="宋体" w:cs="宋体"/>
                <w:color w:val="auto"/>
                <w:sz w:val="24"/>
                <w:szCs w:val="24"/>
              </w:rPr>
              <w:t>2</w:t>
            </w:r>
          </w:p>
        </w:tc>
        <w:tc>
          <w:tcPr>
            <w:tcW w:w="1275" w:type="dxa"/>
            <w:tcBorders>
              <w:top w:val="nil"/>
              <w:left w:val="single" w:color="auto" w:sz="4" w:space="0"/>
              <w:bottom w:val="single" w:color="auto" w:sz="4" w:space="0"/>
              <w:right w:val="single" w:color="auto" w:sz="4" w:space="0"/>
            </w:tcBorders>
            <w:noWrap/>
            <w:vAlign w:val="center"/>
          </w:tcPr>
          <w:p w14:paraId="6595FE9A">
            <w:pPr>
              <w:widowControl/>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燕式篮球架</w:t>
            </w:r>
          </w:p>
        </w:tc>
        <w:tc>
          <w:tcPr>
            <w:tcW w:w="6315" w:type="dxa"/>
            <w:tcBorders>
              <w:top w:val="nil"/>
              <w:left w:val="nil"/>
              <w:bottom w:val="single" w:color="auto" w:sz="4" w:space="0"/>
              <w:right w:val="single" w:color="auto" w:sz="4" w:space="0"/>
            </w:tcBorders>
            <w:noWrap/>
            <w:vAlign w:val="center"/>
          </w:tcPr>
          <w:p w14:paraId="5122838D">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 类型：室内移动燕式篮球架；</w:t>
            </w:r>
          </w:p>
          <w:p w14:paraId="51BF6A47">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 篮板：2块篮板，尺寸 1800 mm × 1050 mm（≥2mm），平面与水平面垂直；</w:t>
            </w:r>
          </w:p>
          <w:p w14:paraId="31CA517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 篮板材质：高强度钢化玻璃（厚度≥12 mm），外围边框采用40mm宽的铝型材经模具压制而成，下沿及侧面覆盖有48mm-55mm厚EVA保护胶条；</w:t>
            </w:r>
          </w:p>
          <w:p w14:paraId="52D2CA0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 篮圈高度：3050 mm（±6mm）；</w:t>
            </w:r>
          </w:p>
          <w:p w14:paraId="347290E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 篮圈材质：实心钢制 Φ18-20 mm；内径 450-459mm；缓冲弹簧（三簧设计）；圈下均匀焊接12个成型挂钩，间隙≤8mm，装置无锐边、毛刺；</w:t>
            </w:r>
          </w:p>
          <w:p w14:paraId="673434C7">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 篮网材质：尼龙编织，网长400-450mm；</w:t>
            </w:r>
          </w:p>
          <w:p w14:paraId="3B099FE5">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 篮板支撑构架刚性：架体受到规定外力卸载后，从原始位置计算支撑构架的永久性水平变形量应≤10mm；</w:t>
            </w:r>
          </w:p>
          <w:p w14:paraId="0305213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 篮板支撑构架稳定性：架体受到规定外力卸载后，从原始位置计算支撑构架的永久性垂直变形量应≤10 mm；</w:t>
            </w:r>
          </w:p>
          <w:p w14:paraId="2EF3B046">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9. 包扎物：（1）篮板下沿有48mm-55mm厚度的包扎物；侧表面上，从篮板下沿起有350mm-450mm高度的包扎物，厚度20mm-27mm；前、后表面上从篮板下沿起高20mm-25mm处，有20mm-27mm厚的包扎物；（2）篮球架篮板背后面向球场的篮板支撑构架应经衬填后包扎，包扎物高度≥2150mm，包扎厚度≥100mm；在篮板背后的任何支撑部分应在其下表面包扎，包扎厚度不小于25mm，直到距篮板后面1200mm处；</w:t>
            </w:r>
          </w:p>
          <w:p w14:paraId="16F1202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 底座尺寸≥2000mm×1100mm×340mm（±2mm）。采用≥2.5mm厚的整张钢板经模具一次冲压成型，正面无焊缝，四周边角均采用弧形无棱角设计；</w:t>
            </w:r>
          </w:p>
          <w:p w14:paraId="656CC12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▲11. 篮球架伸臂：采用≥250㎜*200㎜*4㎜渐变式方通，海燕式臂长为1.7m（±2mm）；</w:t>
            </w:r>
          </w:p>
          <w:p w14:paraId="62E62B4C">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▲12. 篮球架拉杆：上拉杆采用≥∮42.厚度≥2.5mm圆管焊接而成；下拉条采用≥60㎜×40㎜×2.5mm方管，后拉条采用≥100㎜×100㎜×3㎜大方管焊接而成；</w:t>
            </w:r>
          </w:p>
          <w:p w14:paraId="711666F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13. 表面处理：表面处理符合环保标准，涂层享度70-80um，涂饰层附着力应达到一级、硬度应达到或优于2H；涂饰件表面涂层在经24h周期试验后，其耐腐蚀性能应&gt;6级；</w:t>
            </w:r>
          </w:p>
          <w:p w14:paraId="532B389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▲14. 供货时需提供国家认可的检验机构出具的检验报告原件或复印件加盖生产厂商公章。</w:t>
            </w:r>
          </w:p>
        </w:tc>
        <w:tc>
          <w:tcPr>
            <w:tcW w:w="570" w:type="dxa"/>
            <w:tcBorders>
              <w:top w:val="nil"/>
              <w:left w:val="nil"/>
              <w:bottom w:val="single" w:color="auto" w:sz="4" w:space="0"/>
              <w:right w:val="single" w:color="auto" w:sz="4" w:space="0"/>
            </w:tcBorders>
            <w:vAlign w:val="center"/>
          </w:tcPr>
          <w:p w14:paraId="3C267556">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副</w:t>
            </w:r>
          </w:p>
        </w:tc>
        <w:tc>
          <w:tcPr>
            <w:tcW w:w="448" w:type="dxa"/>
            <w:tcBorders>
              <w:top w:val="nil"/>
              <w:left w:val="nil"/>
              <w:bottom w:val="single" w:color="auto" w:sz="4" w:space="0"/>
              <w:right w:val="single" w:color="auto" w:sz="4" w:space="0"/>
            </w:tcBorders>
            <w:vAlign w:val="center"/>
          </w:tcPr>
          <w:p w14:paraId="2A70297A">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731" w:type="dxa"/>
            <w:tcBorders>
              <w:top w:val="nil"/>
              <w:left w:val="nil"/>
              <w:bottom w:val="single" w:color="auto" w:sz="4" w:space="0"/>
              <w:right w:val="single" w:color="auto" w:sz="4" w:space="0"/>
            </w:tcBorders>
            <w:noWrap/>
            <w:vAlign w:val="center"/>
          </w:tcPr>
          <w:p w14:paraId="2BF400DE">
            <w:pPr>
              <w:widowControl/>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4AD20C6E">
            <w:pPr>
              <w:widowControl/>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7733B23F">
            <w:pPr>
              <w:widowControl/>
              <w:jc w:val="center"/>
              <w:rPr>
                <w:rFonts w:ascii="宋体" w:hAnsi="宋体" w:eastAsia="宋体" w:cs="宋体"/>
                <w:color w:val="auto"/>
                <w:sz w:val="24"/>
                <w:szCs w:val="24"/>
              </w:rPr>
            </w:pPr>
          </w:p>
        </w:tc>
        <w:tc>
          <w:tcPr>
            <w:tcW w:w="517" w:type="dxa"/>
            <w:tcBorders>
              <w:top w:val="single" w:color="auto" w:sz="4" w:space="0"/>
              <w:left w:val="nil"/>
              <w:bottom w:val="single" w:color="auto" w:sz="4" w:space="0"/>
              <w:right w:val="single" w:color="auto" w:sz="4" w:space="0"/>
            </w:tcBorders>
            <w:vAlign w:val="center"/>
          </w:tcPr>
          <w:p w14:paraId="144CC022">
            <w:pPr>
              <w:widowControl/>
              <w:jc w:val="center"/>
              <w:rPr>
                <w:rFonts w:ascii="宋体" w:hAnsi="宋体" w:eastAsia="宋体" w:cs="宋体"/>
                <w:color w:val="auto"/>
                <w:sz w:val="24"/>
                <w:szCs w:val="24"/>
              </w:rPr>
            </w:pPr>
          </w:p>
        </w:tc>
        <w:tc>
          <w:tcPr>
            <w:tcW w:w="1740" w:type="dxa"/>
            <w:tcBorders>
              <w:top w:val="single" w:color="auto" w:sz="4" w:space="0"/>
              <w:left w:val="nil"/>
              <w:bottom w:val="single" w:color="auto" w:sz="4" w:space="0"/>
              <w:right w:val="single" w:color="auto" w:sz="4" w:space="0"/>
            </w:tcBorders>
            <w:vAlign w:val="center"/>
          </w:tcPr>
          <w:p w14:paraId="65898DE8">
            <w:pPr>
              <w:widowControl/>
              <w:jc w:val="center"/>
              <w:rPr>
                <w:rFonts w:ascii="宋体" w:hAnsi="宋体" w:eastAsia="宋体" w:cs="宋体"/>
                <w:color w:val="auto"/>
                <w:sz w:val="24"/>
                <w:szCs w:val="24"/>
              </w:rPr>
            </w:pPr>
          </w:p>
        </w:tc>
        <w:tc>
          <w:tcPr>
            <w:tcW w:w="1325" w:type="dxa"/>
            <w:tcBorders>
              <w:top w:val="single" w:color="auto" w:sz="4" w:space="0"/>
              <w:left w:val="nil"/>
              <w:bottom w:val="single" w:color="auto" w:sz="4" w:space="0"/>
              <w:right w:val="single" w:color="auto" w:sz="4" w:space="0"/>
            </w:tcBorders>
            <w:vAlign w:val="center"/>
          </w:tcPr>
          <w:p w14:paraId="08CCA844">
            <w:pPr>
              <w:widowControl/>
              <w:jc w:val="center"/>
              <w:rPr>
                <w:rFonts w:ascii="宋体" w:hAnsi="宋体" w:eastAsia="宋体" w:cs="宋体"/>
                <w:color w:val="auto"/>
                <w:sz w:val="24"/>
                <w:szCs w:val="24"/>
              </w:rPr>
            </w:pPr>
          </w:p>
        </w:tc>
      </w:tr>
      <w:tr w14:paraId="46A33491">
        <w:tblPrEx>
          <w:tblCellMar>
            <w:top w:w="0" w:type="dxa"/>
            <w:left w:w="28" w:type="dxa"/>
            <w:bottom w:w="0" w:type="dxa"/>
            <w:right w:w="28" w:type="dxa"/>
          </w:tblCellMar>
        </w:tblPrEx>
        <w:trPr>
          <w:trHeight w:val="1569" w:hRule="atLeast"/>
        </w:trPr>
        <w:tc>
          <w:tcPr>
            <w:tcW w:w="607" w:type="dxa"/>
            <w:tcBorders>
              <w:top w:val="nil"/>
              <w:left w:val="single" w:color="auto" w:sz="4" w:space="0"/>
              <w:bottom w:val="single" w:color="auto" w:sz="4" w:space="0"/>
              <w:right w:val="single" w:color="auto" w:sz="4" w:space="0"/>
            </w:tcBorders>
            <w:noWrap/>
            <w:vAlign w:val="center"/>
          </w:tcPr>
          <w:p w14:paraId="5648FB2C">
            <w:pPr>
              <w:jc w:val="center"/>
              <w:rPr>
                <w:rFonts w:ascii="宋体" w:hAnsi="宋体" w:eastAsia="宋体" w:cs="宋体"/>
                <w:color w:val="auto"/>
                <w:sz w:val="24"/>
                <w:szCs w:val="24"/>
              </w:rPr>
            </w:pPr>
            <w:r>
              <w:rPr>
                <w:rFonts w:ascii="宋体" w:hAnsi="宋体" w:eastAsia="宋体" w:cs="宋体"/>
                <w:color w:val="auto"/>
                <w:sz w:val="24"/>
                <w:szCs w:val="24"/>
              </w:rPr>
              <w:t>3</w:t>
            </w:r>
          </w:p>
        </w:tc>
        <w:tc>
          <w:tcPr>
            <w:tcW w:w="1275" w:type="dxa"/>
            <w:tcBorders>
              <w:top w:val="nil"/>
              <w:left w:val="single" w:color="auto" w:sz="4" w:space="0"/>
              <w:bottom w:val="single" w:color="auto" w:sz="4" w:space="0"/>
              <w:right w:val="single" w:color="auto" w:sz="4" w:space="0"/>
            </w:tcBorders>
            <w:noWrap/>
            <w:vAlign w:val="center"/>
          </w:tcPr>
          <w:p w14:paraId="3DF6FE47">
            <w:pPr>
              <w:widowControl/>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篮球</w:t>
            </w:r>
          </w:p>
        </w:tc>
        <w:tc>
          <w:tcPr>
            <w:tcW w:w="6315" w:type="dxa"/>
            <w:tcBorders>
              <w:top w:val="nil"/>
              <w:left w:val="nil"/>
              <w:bottom w:val="single" w:color="auto" w:sz="4" w:space="0"/>
              <w:right w:val="single" w:color="auto" w:sz="4" w:space="0"/>
            </w:tcBorders>
            <w:noWrap/>
            <w:vAlign w:val="center"/>
          </w:tcPr>
          <w:p w14:paraId="712F8331">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▲1.规格：篮球比赛用标准7号篮球。</w:t>
            </w:r>
          </w:p>
          <w:p w14:paraId="4A786F9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▲2.材质：PU/丁基内胆。</w:t>
            </w:r>
          </w:p>
          <w:p w14:paraId="4E9E48C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3.圆周：74.9-78.0CM。</w:t>
            </w:r>
          </w:p>
          <w:p w14:paraId="0F93D1BB">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4.重量：567-650g。</w:t>
            </w:r>
          </w:p>
          <w:p w14:paraId="6E53763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5.适用产地：室内/室外。</w:t>
            </w:r>
          </w:p>
        </w:tc>
        <w:tc>
          <w:tcPr>
            <w:tcW w:w="570" w:type="dxa"/>
            <w:tcBorders>
              <w:top w:val="nil"/>
              <w:left w:val="nil"/>
              <w:bottom w:val="single" w:color="auto" w:sz="4" w:space="0"/>
              <w:right w:val="single" w:color="auto" w:sz="4" w:space="0"/>
            </w:tcBorders>
            <w:vAlign w:val="center"/>
          </w:tcPr>
          <w:p w14:paraId="12EA13C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个</w:t>
            </w:r>
          </w:p>
        </w:tc>
        <w:tc>
          <w:tcPr>
            <w:tcW w:w="448" w:type="dxa"/>
            <w:tcBorders>
              <w:top w:val="nil"/>
              <w:left w:val="nil"/>
              <w:bottom w:val="single" w:color="auto" w:sz="4" w:space="0"/>
              <w:right w:val="single" w:color="auto" w:sz="4" w:space="0"/>
            </w:tcBorders>
            <w:vAlign w:val="center"/>
          </w:tcPr>
          <w:p w14:paraId="3904F14A">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20</w:t>
            </w:r>
          </w:p>
        </w:tc>
        <w:tc>
          <w:tcPr>
            <w:tcW w:w="731" w:type="dxa"/>
            <w:tcBorders>
              <w:top w:val="nil"/>
              <w:left w:val="nil"/>
              <w:bottom w:val="single" w:color="auto" w:sz="4" w:space="0"/>
              <w:right w:val="single" w:color="auto" w:sz="4" w:space="0"/>
            </w:tcBorders>
            <w:noWrap/>
            <w:vAlign w:val="center"/>
          </w:tcPr>
          <w:p w14:paraId="0DA9685F">
            <w:pPr>
              <w:widowControl/>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3715B8BD">
            <w:pPr>
              <w:widowControl/>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575CF54A">
            <w:pPr>
              <w:widowControl/>
              <w:jc w:val="center"/>
              <w:rPr>
                <w:rFonts w:ascii="宋体" w:hAnsi="宋体" w:eastAsia="宋体" w:cs="宋体"/>
                <w:color w:val="auto"/>
                <w:sz w:val="24"/>
                <w:szCs w:val="24"/>
              </w:rPr>
            </w:pPr>
          </w:p>
        </w:tc>
        <w:tc>
          <w:tcPr>
            <w:tcW w:w="517" w:type="dxa"/>
            <w:tcBorders>
              <w:top w:val="single" w:color="auto" w:sz="4" w:space="0"/>
              <w:left w:val="nil"/>
              <w:bottom w:val="single" w:color="auto" w:sz="4" w:space="0"/>
              <w:right w:val="single" w:color="auto" w:sz="4" w:space="0"/>
            </w:tcBorders>
            <w:vAlign w:val="center"/>
          </w:tcPr>
          <w:p w14:paraId="397EF7DD">
            <w:pPr>
              <w:widowControl/>
              <w:jc w:val="center"/>
              <w:rPr>
                <w:rFonts w:ascii="宋体" w:hAnsi="宋体" w:eastAsia="宋体" w:cs="宋体"/>
                <w:color w:val="auto"/>
                <w:sz w:val="24"/>
                <w:szCs w:val="24"/>
              </w:rPr>
            </w:pPr>
          </w:p>
        </w:tc>
        <w:tc>
          <w:tcPr>
            <w:tcW w:w="1740" w:type="dxa"/>
            <w:tcBorders>
              <w:top w:val="single" w:color="auto" w:sz="4" w:space="0"/>
              <w:left w:val="nil"/>
              <w:bottom w:val="single" w:color="auto" w:sz="4" w:space="0"/>
              <w:right w:val="single" w:color="auto" w:sz="4" w:space="0"/>
            </w:tcBorders>
            <w:vAlign w:val="center"/>
          </w:tcPr>
          <w:p w14:paraId="43052693">
            <w:pPr>
              <w:widowControl/>
              <w:jc w:val="center"/>
              <w:rPr>
                <w:rFonts w:ascii="宋体" w:hAnsi="宋体" w:eastAsia="宋体" w:cs="宋体"/>
                <w:color w:val="auto"/>
                <w:sz w:val="24"/>
                <w:szCs w:val="24"/>
              </w:rPr>
            </w:pPr>
          </w:p>
        </w:tc>
        <w:tc>
          <w:tcPr>
            <w:tcW w:w="1325" w:type="dxa"/>
            <w:tcBorders>
              <w:top w:val="single" w:color="auto" w:sz="4" w:space="0"/>
              <w:left w:val="nil"/>
              <w:bottom w:val="single" w:color="auto" w:sz="4" w:space="0"/>
              <w:right w:val="single" w:color="auto" w:sz="4" w:space="0"/>
            </w:tcBorders>
            <w:vAlign w:val="center"/>
          </w:tcPr>
          <w:p w14:paraId="4B5D93A5">
            <w:pPr>
              <w:widowControl/>
              <w:jc w:val="center"/>
              <w:rPr>
                <w:rFonts w:ascii="宋体" w:hAnsi="宋体" w:eastAsia="宋体" w:cs="宋体"/>
                <w:color w:val="auto"/>
                <w:sz w:val="24"/>
                <w:szCs w:val="24"/>
              </w:rPr>
            </w:pPr>
          </w:p>
        </w:tc>
      </w:tr>
      <w:tr w14:paraId="206AD339">
        <w:tblPrEx>
          <w:tblCellMar>
            <w:top w:w="0" w:type="dxa"/>
            <w:left w:w="28" w:type="dxa"/>
            <w:bottom w:w="0" w:type="dxa"/>
            <w:right w:w="28" w:type="dxa"/>
          </w:tblCellMar>
        </w:tblPrEx>
        <w:trPr>
          <w:trHeight w:val="3438" w:hRule="atLeast"/>
        </w:trPr>
        <w:tc>
          <w:tcPr>
            <w:tcW w:w="607" w:type="dxa"/>
            <w:tcBorders>
              <w:top w:val="nil"/>
              <w:left w:val="single" w:color="auto" w:sz="4" w:space="0"/>
              <w:bottom w:val="single" w:color="auto" w:sz="4" w:space="0"/>
              <w:right w:val="single" w:color="auto" w:sz="4" w:space="0"/>
            </w:tcBorders>
            <w:noWrap/>
            <w:vAlign w:val="center"/>
          </w:tcPr>
          <w:p w14:paraId="03D99D93">
            <w:pPr>
              <w:jc w:val="center"/>
              <w:rPr>
                <w:rFonts w:ascii="宋体" w:hAnsi="宋体" w:eastAsia="宋体" w:cs="宋体"/>
                <w:color w:val="auto"/>
                <w:sz w:val="24"/>
                <w:szCs w:val="24"/>
              </w:rPr>
            </w:pPr>
            <w:r>
              <w:rPr>
                <w:rFonts w:ascii="宋体" w:hAnsi="宋体" w:eastAsia="宋体" w:cs="宋体"/>
                <w:color w:val="auto"/>
                <w:sz w:val="24"/>
                <w:szCs w:val="24"/>
              </w:rPr>
              <w:t>4</w:t>
            </w:r>
          </w:p>
        </w:tc>
        <w:tc>
          <w:tcPr>
            <w:tcW w:w="1275" w:type="dxa"/>
            <w:tcBorders>
              <w:top w:val="nil"/>
              <w:left w:val="single" w:color="auto" w:sz="4" w:space="0"/>
              <w:bottom w:val="single" w:color="auto" w:sz="4" w:space="0"/>
              <w:right w:val="single" w:color="auto" w:sz="4" w:space="0"/>
            </w:tcBorders>
            <w:noWrap/>
            <w:vAlign w:val="center"/>
          </w:tcPr>
          <w:p w14:paraId="6E89B34A">
            <w:pPr>
              <w:widowControl/>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乒乓球桌</w:t>
            </w:r>
          </w:p>
        </w:tc>
        <w:tc>
          <w:tcPr>
            <w:tcW w:w="6315" w:type="dxa"/>
            <w:tcBorders>
              <w:top w:val="nil"/>
              <w:left w:val="nil"/>
              <w:bottom w:val="single" w:color="auto" w:sz="4" w:space="0"/>
              <w:right w:val="single" w:color="auto" w:sz="4" w:space="0"/>
            </w:tcBorders>
            <w:noWrap/>
            <w:vAlign w:val="center"/>
          </w:tcPr>
          <w:p w14:paraId="0C1ADB9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 球桌类型：室内球桌</w:t>
            </w:r>
          </w:p>
          <w:p w14:paraId="6F8E6B9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 桌面材质：高密度纤维板，表面喷涂耐磨涂层。</w:t>
            </w:r>
          </w:p>
          <w:p w14:paraId="06567586">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 桌面颜色：桌面为深蓝色，边线与中线为白色，不反光，边界清晰，画线标准</w:t>
            </w:r>
          </w:p>
          <w:p w14:paraId="75C9DAE1">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 台面尺寸：长2740mm × 宽1525mm × 高760mm（±2mm），台面厚度≥22mm，平整度≤3mm</w:t>
            </w:r>
          </w:p>
          <w:p w14:paraId="6AEB8305">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 物理性能：弹性：230-260mm，弹性均匀度：≤5mm，台面光泽度:≤10</w:t>
            </w:r>
          </w:p>
          <w:p w14:paraId="197F5BE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 台架材质：钢结构支架，≥40MM方管台脚，防锈涂层处理</w:t>
            </w:r>
          </w:p>
          <w:p w14:paraId="479BF7AD">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 台脚配置：配有≥75mm带刹车脚轮；可折叠、可移动</w:t>
            </w:r>
          </w:p>
          <w:p w14:paraId="64CE2F68">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 重量：100-150kg</w:t>
            </w:r>
          </w:p>
          <w:p w14:paraId="01C8082B">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9. 网架系统：配标准网架及球网，网高152.5mm（±2mm）</w:t>
            </w:r>
          </w:p>
          <w:p w14:paraId="33B0118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 具备ITTF-国际乒联认证</w:t>
            </w:r>
          </w:p>
        </w:tc>
        <w:tc>
          <w:tcPr>
            <w:tcW w:w="570" w:type="dxa"/>
            <w:tcBorders>
              <w:top w:val="nil"/>
              <w:left w:val="nil"/>
              <w:bottom w:val="single" w:color="auto" w:sz="4" w:space="0"/>
              <w:right w:val="single" w:color="auto" w:sz="4" w:space="0"/>
            </w:tcBorders>
            <w:vAlign w:val="center"/>
          </w:tcPr>
          <w:p w14:paraId="049C1978">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张</w:t>
            </w:r>
          </w:p>
        </w:tc>
        <w:tc>
          <w:tcPr>
            <w:tcW w:w="448" w:type="dxa"/>
            <w:tcBorders>
              <w:top w:val="nil"/>
              <w:left w:val="nil"/>
              <w:bottom w:val="single" w:color="auto" w:sz="4" w:space="0"/>
              <w:right w:val="single" w:color="auto" w:sz="4" w:space="0"/>
            </w:tcBorders>
            <w:vAlign w:val="center"/>
          </w:tcPr>
          <w:p w14:paraId="7389CC62">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731" w:type="dxa"/>
            <w:tcBorders>
              <w:top w:val="nil"/>
              <w:left w:val="nil"/>
              <w:bottom w:val="single" w:color="auto" w:sz="4" w:space="0"/>
              <w:right w:val="single" w:color="auto" w:sz="4" w:space="0"/>
            </w:tcBorders>
            <w:noWrap/>
            <w:vAlign w:val="center"/>
          </w:tcPr>
          <w:p w14:paraId="0872C9DC">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36B6B2F2">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19FBC655">
            <w:pPr>
              <w:jc w:val="center"/>
              <w:rPr>
                <w:rFonts w:ascii="宋体" w:hAnsi="宋体" w:eastAsia="宋体" w:cs="宋体"/>
                <w:color w:val="auto"/>
                <w:sz w:val="24"/>
                <w:szCs w:val="24"/>
              </w:rPr>
            </w:pPr>
          </w:p>
        </w:tc>
        <w:tc>
          <w:tcPr>
            <w:tcW w:w="517" w:type="dxa"/>
            <w:tcBorders>
              <w:top w:val="single" w:color="auto" w:sz="4" w:space="0"/>
              <w:left w:val="nil"/>
              <w:bottom w:val="single" w:color="auto" w:sz="4" w:space="0"/>
              <w:right w:val="single" w:color="auto" w:sz="4" w:space="0"/>
            </w:tcBorders>
            <w:vAlign w:val="center"/>
          </w:tcPr>
          <w:p w14:paraId="1D72A1AC">
            <w:pPr>
              <w:jc w:val="center"/>
              <w:rPr>
                <w:rFonts w:ascii="宋体" w:hAnsi="宋体" w:eastAsia="宋体" w:cs="宋体"/>
                <w:color w:val="auto"/>
                <w:sz w:val="24"/>
                <w:szCs w:val="24"/>
              </w:rPr>
            </w:pPr>
          </w:p>
        </w:tc>
        <w:tc>
          <w:tcPr>
            <w:tcW w:w="1740" w:type="dxa"/>
            <w:tcBorders>
              <w:top w:val="single" w:color="auto" w:sz="4" w:space="0"/>
              <w:left w:val="nil"/>
              <w:bottom w:val="single" w:color="auto" w:sz="4" w:space="0"/>
              <w:right w:val="single" w:color="auto" w:sz="4" w:space="0"/>
            </w:tcBorders>
            <w:vAlign w:val="center"/>
          </w:tcPr>
          <w:p w14:paraId="4F55B8FC">
            <w:pPr>
              <w:jc w:val="center"/>
              <w:rPr>
                <w:rFonts w:ascii="宋体" w:hAnsi="宋体" w:eastAsia="宋体" w:cs="宋体"/>
                <w:color w:val="auto"/>
                <w:sz w:val="24"/>
                <w:szCs w:val="24"/>
              </w:rPr>
            </w:pPr>
          </w:p>
        </w:tc>
        <w:tc>
          <w:tcPr>
            <w:tcW w:w="1325" w:type="dxa"/>
            <w:tcBorders>
              <w:top w:val="single" w:color="auto" w:sz="4" w:space="0"/>
              <w:left w:val="nil"/>
              <w:bottom w:val="single" w:color="auto" w:sz="4" w:space="0"/>
              <w:right w:val="single" w:color="auto" w:sz="4" w:space="0"/>
            </w:tcBorders>
            <w:vAlign w:val="center"/>
          </w:tcPr>
          <w:p w14:paraId="612A82B2">
            <w:pPr>
              <w:jc w:val="center"/>
              <w:rPr>
                <w:rFonts w:ascii="宋体" w:hAnsi="宋体" w:eastAsia="宋体" w:cs="宋体"/>
                <w:color w:val="auto"/>
                <w:sz w:val="24"/>
                <w:szCs w:val="24"/>
              </w:rPr>
            </w:pPr>
          </w:p>
        </w:tc>
      </w:tr>
      <w:tr w14:paraId="47057F4C">
        <w:tblPrEx>
          <w:tblCellMar>
            <w:top w:w="0" w:type="dxa"/>
            <w:left w:w="28" w:type="dxa"/>
            <w:bottom w:w="0" w:type="dxa"/>
            <w:right w:w="28" w:type="dxa"/>
          </w:tblCellMar>
        </w:tblPrEx>
        <w:trPr>
          <w:trHeight w:val="90" w:hRule="atLeast"/>
        </w:trPr>
        <w:tc>
          <w:tcPr>
            <w:tcW w:w="607" w:type="dxa"/>
            <w:tcBorders>
              <w:top w:val="nil"/>
              <w:left w:val="single" w:color="auto" w:sz="4" w:space="0"/>
              <w:bottom w:val="single" w:color="auto" w:sz="4" w:space="0"/>
              <w:right w:val="single" w:color="auto" w:sz="4" w:space="0"/>
            </w:tcBorders>
            <w:noWrap/>
            <w:vAlign w:val="center"/>
          </w:tcPr>
          <w:p w14:paraId="3DC3047D">
            <w:pPr>
              <w:jc w:val="center"/>
              <w:rPr>
                <w:rFonts w:ascii="宋体" w:hAnsi="宋体" w:eastAsia="宋体" w:cs="宋体"/>
                <w:color w:val="auto"/>
                <w:sz w:val="24"/>
                <w:szCs w:val="24"/>
              </w:rPr>
            </w:pPr>
            <w:r>
              <w:rPr>
                <w:rFonts w:ascii="宋体" w:hAnsi="宋体" w:eastAsia="宋体" w:cs="宋体"/>
                <w:color w:val="auto"/>
                <w:sz w:val="24"/>
                <w:szCs w:val="24"/>
              </w:rPr>
              <w:t>5</w:t>
            </w:r>
          </w:p>
        </w:tc>
        <w:tc>
          <w:tcPr>
            <w:tcW w:w="1275" w:type="dxa"/>
            <w:tcBorders>
              <w:top w:val="nil"/>
              <w:left w:val="single" w:color="auto" w:sz="4" w:space="0"/>
              <w:bottom w:val="single" w:color="auto" w:sz="4" w:space="0"/>
              <w:right w:val="single" w:color="auto" w:sz="4" w:space="0"/>
            </w:tcBorders>
            <w:noWrap/>
            <w:vAlign w:val="center"/>
          </w:tcPr>
          <w:p w14:paraId="16F6CDFF">
            <w:pPr>
              <w:widowControl/>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乒乓球桌</w:t>
            </w:r>
          </w:p>
        </w:tc>
        <w:tc>
          <w:tcPr>
            <w:tcW w:w="6315" w:type="dxa"/>
            <w:tcBorders>
              <w:top w:val="nil"/>
              <w:left w:val="nil"/>
              <w:bottom w:val="single" w:color="auto" w:sz="4" w:space="0"/>
              <w:right w:val="single" w:color="auto" w:sz="4" w:space="0"/>
            </w:tcBorders>
            <w:noWrap/>
            <w:vAlign w:val="center"/>
          </w:tcPr>
          <w:p w14:paraId="0B29EC1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 球桌类型：室内球桌</w:t>
            </w:r>
          </w:p>
          <w:p w14:paraId="397E701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 桌面材质：高密度纤维板，表面喷涂耐磨涂层。</w:t>
            </w:r>
          </w:p>
          <w:p w14:paraId="67395CB8">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 桌面颜色：桌面为深蓝色，边线与中线为白色，不反光，边界清晰，画线标准</w:t>
            </w:r>
          </w:p>
          <w:p w14:paraId="2209E20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 台面尺寸：长2740mm × 宽1525mm × 高760mm（±2mm），台面厚度≥18mm，平整度≤3mm</w:t>
            </w:r>
          </w:p>
          <w:p w14:paraId="417C2848">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 物理性能：弹性：220-250mm，弹性均匀度：≤10mm，台面光泽度:≤10</w:t>
            </w:r>
          </w:p>
          <w:p w14:paraId="5CB16705">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 台架材质：钢结构支架，≥40MM方管台脚，防锈涂层处理</w:t>
            </w:r>
          </w:p>
          <w:p w14:paraId="0D27E0F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 台脚配置：配有≥8个直径≥75mm带刹车脚轮；可折叠、可移动</w:t>
            </w:r>
          </w:p>
          <w:p w14:paraId="356934A9">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 重量：100-150kg</w:t>
            </w:r>
          </w:p>
          <w:p w14:paraId="3F0F774E">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9. 网架系统：配标准网架及球网，网高152.5mm（±2mm）</w:t>
            </w:r>
          </w:p>
        </w:tc>
        <w:tc>
          <w:tcPr>
            <w:tcW w:w="570" w:type="dxa"/>
            <w:tcBorders>
              <w:top w:val="nil"/>
              <w:left w:val="nil"/>
              <w:bottom w:val="single" w:color="auto" w:sz="4" w:space="0"/>
              <w:right w:val="single" w:color="auto" w:sz="4" w:space="0"/>
            </w:tcBorders>
            <w:vAlign w:val="center"/>
          </w:tcPr>
          <w:p w14:paraId="4F60CC38">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张</w:t>
            </w:r>
          </w:p>
        </w:tc>
        <w:tc>
          <w:tcPr>
            <w:tcW w:w="448" w:type="dxa"/>
            <w:tcBorders>
              <w:top w:val="nil"/>
              <w:left w:val="nil"/>
              <w:bottom w:val="single" w:color="auto" w:sz="4" w:space="0"/>
              <w:right w:val="single" w:color="auto" w:sz="4" w:space="0"/>
            </w:tcBorders>
            <w:vAlign w:val="center"/>
          </w:tcPr>
          <w:p w14:paraId="4F8754DD">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731" w:type="dxa"/>
            <w:tcBorders>
              <w:top w:val="nil"/>
              <w:left w:val="nil"/>
              <w:bottom w:val="single" w:color="auto" w:sz="4" w:space="0"/>
              <w:right w:val="single" w:color="auto" w:sz="4" w:space="0"/>
            </w:tcBorders>
            <w:noWrap/>
            <w:vAlign w:val="center"/>
          </w:tcPr>
          <w:p w14:paraId="15CF77EE">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5338B08A">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40D9781F">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5D1E55F2">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5B45393D">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2DAD699C">
            <w:pPr>
              <w:jc w:val="center"/>
              <w:rPr>
                <w:color w:val="auto"/>
              </w:rPr>
            </w:pPr>
          </w:p>
        </w:tc>
      </w:tr>
      <w:tr w14:paraId="0E30962C">
        <w:tblPrEx>
          <w:tblCellMar>
            <w:top w:w="0" w:type="dxa"/>
            <w:left w:w="28" w:type="dxa"/>
            <w:bottom w:w="0" w:type="dxa"/>
            <w:right w:w="28" w:type="dxa"/>
          </w:tblCellMar>
        </w:tblPrEx>
        <w:trPr>
          <w:trHeight w:val="1569" w:hRule="atLeast"/>
        </w:trPr>
        <w:tc>
          <w:tcPr>
            <w:tcW w:w="607" w:type="dxa"/>
            <w:tcBorders>
              <w:top w:val="nil"/>
              <w:left w:val="single" w:color="auto" w:sz="4" w:space="0"/>
              <w:bottom w:val="single" w:color="auto" w:sz="4" w:space="0"/>
              <w:right w:val="single" w:color="auto" w:sz="4" w:space="0"/>
            </w:tcBorders>
            <w:noWrap/>
            <w:vAlign w:val="center"/>
          </w:tcPr>
          <w:p w14:paraId="550948CA">
            <w:pPr>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1275" w:type="dxa"/>
            <w:tcBorders>
              <w:top w:val="nil"/>
              <w:left w:val="single" w:color="auto" w:sz="4" w:space="0"/>
              <w:bottom w:val="single" w:color="auto" w:sz="4" w:space="0"/>
              <w:right w:val="single" w:color="auto" w:sz="4" w:space="0"/>
            </w:tcBorders>
            <w:noWrap/>
            <w:vAlign w:val="center"/>
          </w:tcPr>
          <w:p w14:paraId="4428C628">
            <w:pPr>
              <w:widowControl/>
              <w:jc w:val="left"/>
              <w:textAlignment w:val="center"/>
              <w:rPr>
                <w:color w:val="auto"/>
                <w:sz w:val="21"/>
                <w:szCs w:val="21"/>
              </w:rPr>
            </w:pPr>
            <w:r>
              <w:rPr>
                <w:rFonts w:hint="eastAsia"/>
                <w:color w:val="auto"/>
                <w:sz w:val="21"/>
                <w:szCs w:val="21"/>
              </w:rPr>
              <w:t>乒乓球围挡</w:t>
            </w:r>
          </w:p>
        </w:tc>
        <w:tc>
          <w:tcPr>
            <w:tcW w:w="6315" w:type="dxa"/>
            <w:tcBorders>
              <w:top w:val="nil"/>
              <w:left w:val="nil"/>
              <w:bottom w:val="single" w:color="auto" w:sz="4" w:space="0"/>
              <w:right w:val="single" w:color="auto" w:sz="4" w:space="0"/>
            </w:tcBorders>
            <w:noWrap/>
            <w:vAlign w:val="center"/>
          </w:tcPr>
          <w:p w14:paraId="42CE85C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▲1.规格：≥140×75CM。</w:t>
            </w:r>
          </w:p>
          <w:p w14:paraId="6A5ADB5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2.颜色：蓝色.绿色。</w:t>
            </w:r>
          </w:p>
          <w:p w14:paraId="46A31E7D">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▲3.特点：特制牛津材料，铁管T型脚可折叠。</w:t>
            </w:r>
          </w:p>
          <w:p w14:paraId="728D54EE">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4.重量：≤2.5KG。</w:t>
            </w:r>
          </w:p>
        </w:tc>
        <w:tc>
          <w:tcPr>
            <w:tcW w:w="570" w:type="dxa"/>
            <w:tcBorders>
              <w:top w:val="nil"/>
              <w:left w:val="nil"/>
              <w:bottom w:val="single" w:color="auto" w:sz="4" w:space="0"/>
              <w:right w:val="single" w:color="auto" w:sz="4" w:space="0"/>
            </w:tcBorders>
            <w:vAlign w:val="center"/>
          </w:tcPr>
          <w:p w14:paraId="04D93985">
            <w:pPr>
              <w:widowControl/>
              <w:jc w:val="center"/>
              <w:textAlignment w:val="center"/>
              <w:rPr>
                <w:color w:val="auto"/>
                <w:sz w:val="21"/>
                <w:szCs w:val="21"/>
              </w:rPr>
            </w:pPr>
            <w:r>
              <w:rPr>
                <w:rFonts w:hint="eastAsia"/>
                <w:color w:val="auto"/>
                <w:sz w:val="21"/>
                <w:szCs w:val="21"/>
              </w:rPr>
              <w:t>张</w:t>
            </w:r>
          </w:p>
        </w:tc>
        <w:tc>
          <w:tcPr>
            <w:tcW w:w="448" w:type="dxa"/>
            <w:tcBorders>
              <w:top w:val="nil"/>
              <w:left w:val="nil"/>
              <w:bottom w:val="single" w:color="auto" w:sz="4" w:space="0"/>
              <w:right w:val="single" w:color="auto" w:sz="4" w:space="0"/>
            </w:tcBorders>
            <w:vAlign w:val="center"/>
          </w:tcPr>
          <w:p w14:paraId="49422DE5">
            <w:pPr>
              <w:widowControl/>
              <w:jc w:val="center"/>
              <w:textAlignment w:val="center"/>
              <w:rPr>
                <w:color w:val="auto"/>
                <w:sz w:val="21"/>
                <w:szCs w:val="21"/>
              </w:rPr>
            </w:pPr>
            <w:r>
              <w:rPr>
                <w:rFonts w:hint="eastAsia"/>
                <w:color w:val="auto"/>
                <w:sz w:val="21"/>
                <w:szCs w:val="21"/>
              </w:rPr>
              <w:t>60</w:t>
            </w:r>
          </w:p>
        </w:tc>
        <w:tc>
          <w:tcPr>
            <w:tcW w:w="731" w:type="dxa"/>
            <w:tcBorders>
              <w:top w:val="nil"/>
              <w:left w:val="nil"/>
              <w:bottom w:val="single" w:color="auto" w:sz="4" w:space="0"/>
              <w:right w:val="single" w:color="auto" w:sz="4" w:space="0"/>
            </w:tcBorders>
            <w:noWrap/>
            <w:vAlign w:val="center"/>
          </w:tcPr>
          <w:p w14:paraId="425B0E2E">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5FC618B4">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78E2A46A">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609291CA">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050FBBC3">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37641A6A">
            <w:pPr>
              <w:jc w:val="center"/>
              <w:rPr>
                <w:color w:val="auto"/>
              </w:rPr>
            </w:pPr>
          </w:p>
        </w:tc>
      </w:tr>
      <w:tr w14:paraId="0F746B4F">
        <w:tblPrEx>
          <w:tblCellMar>
            <w:top w:w="0" w:type="dxa"/>
            <w:left w:w="28" w:type="dxa"/>
            <w:bottom w:w="0" w:type="dxa"/>
            <w:right w:w="28" w:type="dxa"/>
          </w:tblCellMar>
        </w:tblPrEx>
        <w:trPr>
          <w:trHeight w:val="1569" w:hRule="atLeast"/>
        </w:trPr>
        <w:tc>
          <w:tcPr>
            <w:tcW w:w="607" w:type="dxa"/>
            <w:tcBorders>
              <w:top w:val="nil"/>
              <w:left w:val="single" w:color="auto" w:sz="4" w:space="0"/>
              <w:bottom w:val="single" w:color="auto" w:sz="4" w:space="0"/>
              <w:right w:val="single" w:color="auto" w:sz="4" w:space="0"/>
            </w:tcBorders>
            <w:noWrap/>
            <w:vAlign w:val="center"/>
          </w:tcPr>
          <w:p w14:paraId="089B3764">
            <w:pPr>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1275" w:type="dxa"/>
            <w:tcBorders>
              <w:top w:val="nil"/>
              <w:left w:val="single" w:color="auto" w:sz="4" w:space="0"/>
              <w:bottom w:val="single" w:color="auto" w:sz="4" w:space="0"/>
              <w:right w:val="single" w:color="auto" w:sz="4" w:space="0"/>
            </w:tcBorders>
            <w:noWrap/>
            <w:vAlign w:val="center"/>
          </w:tcPr>
          <w:p w14:paraId="605677B7">
            <w:pPr>
              <w:widowControl/>
              <w:jc w:val="both"/>
              <w:textAlignment w:val="center"/>
              <w:rPr>
                <w:color w:val="auto"/>
                <w:sz w:val="21"/>
                <w:szCs w:val="21"/>
              </w:rPr>
            </w:pPr>
            <w:r>
              <w:rPr>
                <w:rFonts w:hint="eastAsia"/>
                <w:color w:val="auto"/>
                <w:sz w:val="21"/>
                <w:szCs w:val="21"/>
              </w:rPr>
              <w:t>乒乓球网</w:t>
            </w:r>
          </w:p>
          <w:p w14:paraId="4931C90E">
            <w:pPr>
              <w:widowControl/>
              <w:jc w:val="left"/>
              <w:textAlignment w:val="center"/>
              <w:rPr>
                <w:rFonts w:ascii="宋体" w:hAnsi="宋体" w:eastAsia="宋体" w:cs="宋体"/>
                <w:color w:val="auto"/>
                <w:sz w:val="21"/>
                <w:szCs w:val="21"/>
                <w:lang w:bidi="ar"/>
              </w:rPr>
            </w:pPr>
            <w:r>
              <w:rPr>
                <w:rFonts w:hint="eastAsia"/>
                <w:color w:val="auto"/>
                <w:sz w:val="21"/>
                <w:szCs w:val="21"/>
              </w:rPr>
              <w:t>网架</w:t>
            </w:r>
          </w:p>
        </w:tc>
        <w:tc>
          <w:tcPr>
            <w:tcW w:w="6315" w:type="dxa"/>
            <w:tcBorders>
              <w:top w:val="nil"/>
              <w:left w:val="nil"/>
              <w:bottom w:val="single" w:color="auto" w:sz="4" w:space="0"/>
              <w:right w:val="single" w:color="auto" w:sz="4" w:space="0"/>
            </w:tcBorders>
            <w:noWrap/>
            <w:vAlign w:val="center"/>
          </w:tcPr>
          <w:p w14:paraId="3C7078E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1.配置网：410网.网尺装台方式：螺旋式。</w:t>
            </w:r>
          </w:p>
          <w:p w14:paraId="1CDE957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▲2.离台高度：152.5（±3mm）。</w:t>
            </w:r>
          </w:p>
          <w:p w14:paraId="0441C56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3.装网方式：内置。</w:t>
            </w:r>
          </w:p>
          <w:p w14:paraId="78A1C95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▲4.网柱高度：152.5（士2mm）。</w:t>
            </w:r>
          </w:p>
          <w:p w14:paraId="49890E6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5.夹紧强度：&gt;18N。</w:t>
            </w:r>
          </w:p>
        </w:tc>
        <w:tc>
          <w:tcPr>
            <w:tcW w:w="570" w:type="dxa"/>
            <w:tcBorders>
              <w:top w:val="nil"/>
              <w:left w:val="nil"/>
              <w:bottom w:val="single" w:color="auto" w:sz="4" w:space="0"/>
              <w:right w:val="single" w:color="auto" w:sz="4" w:space="0"/>
            </w:tcBorders>
            <w:vAlign w:val="center"/>
          </w:tcPr>
          <w:p w14:paraId="032A3963">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张</w:t>
            </w:r>
          </w:p>
        </w:tc>
        <w:tc>
          <w:tcPr>
            <w:tcW w:w="448" w:type="dxa"/>
            <w:tcBorders>
              <w:top w:val="nil"/>
              <w:left w:val="nil"/>
              <w:bottom w:val="single" w:color="auto" w:sz="4" w:space="0"/>
              <w:right w:val="single" w:color="auto" w:sz="4" w:space="0"/>
            </w:tcBorders>
            <w:vAlign w:val="center"/>
          </w:tcPr>
          <w:p w14:paraId="31B0E90F">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20</w:t>
            </w:r>
          </w:p>
        </w:tc>
        <w:tc>
          <w:tcPr>
            <w:tcW w:w="731" w:type="dxa"/>
            <w:tcBorders>
              <w:top w:val="nil"/>
              <w:left w:val="nil"/>
              <w:bottom w:val="single" w:color="auto" w:sz="4" w:space="0"/>
              <w:right w:val="single" w:color="auto" w:sz="4" w:space="0"/>
            </w:tcBorders>
            <w:noWrap/>
            <w:vAlign w:val="center"/>
          </w:tcPr>
          <w:p w14:paraId="0CF03D47">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671A9D8B">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7518B29A">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27CC53FD">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6A23DCEB">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5553A999">
            <w:pPr>
              <w:jc w:val="center"/>
              <w:rPr>
                <w:color w:val="auto"/>
              </w:rPr>
            </w:pPr>
          </w:p>
        </w:tc>
      </w:tr>
      <w:tr w14:paraId="4579F68D">
        <w:tblPrEx>
          <w:tblCellMar>
            <w:top w:w="0" w:type="dxa"/>
            <w:left w:w="28" w:type="dxa"/>
            <w:bottom w:w="0" w:type="dxa"/>
            <w:right w:w="28" w:type="dxa"/>
          </w:tblCellMar>
        </w:tblPrEx>
        <w:trPr>
          <w:trHeight w:val="1257" w:hRule="atLeast"/>
        </w:trPr>
        <w:tc>
          <w:tcPr>
            <w:tcW w:w="607" w:type="dxa"/>
            <w:tcBorders>
              <w:top w:val="nil"/>
              <w:left w:val="single" w:color="auto" w:sz="4" w:space="0"/>
              <w:bottom w:val="single" w:color="auto" w:sz="4" w:space="0"/>
              <w:right w:val="single" w:color="auto" w:sz="4" w:space="0"/>
            </w:tcBorders>
            <w:noWrap/>
            <w:vAlign w:val="center"/>
          </w:tcPr>
          <w:p w14:paraId="25D5EF2C">
            <w:pPr>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1275" w:type="dxa"/>
            <w:tcBorders>
              <w:top w:val="nil"/>
              <w:left w:val="single" w:color="auto" w:sz="4" w:space="0"/>
              <w:bottom w:val="single" w:color="auto" w:sz="4" w:space="0"/>
              <w:right w:val="single" w:color="auto" w:sz="4" w:space="0"/>
            </w:tcBorders>
            <w:noWrap/>
            <w:vAlign w:val="center"/>
          </w:tcPr>
          <w:p w14:paraId="443FF03B">
            <w:pPr>
              <w:widowControl/>
              <w:jc w:val="left"/>
              <w:textAlignment w:val="center"/>
              <w:rPr>
                <w:rFonts w:ascii="宋体" w:hAnsi="宋体" w:eastAsia="宋体" w:cs="宋体"/>
                <w:color w:val="auto"/>
                <w:sz w:val="21"/>
                <w:szCs w:val="21"/>
                <w:lang w:bidi="ar"/>
              </w:rPr>
            </w:pPr>
            <w:r>
              <w:rPr>
                <w:rFonts w:hint="eastAsia"/>
                <w:color w:val="auto"/>
                <w:sz w:val="21"/>
                <w:szCs w:val="21"/>
              </w:rPr>
              <w:t>跆拳道地垫</w:t>
            </w:r>
          </w:p>
        </w:tc>
        <w:tc>
          <w:tcPr>
            <w:tcW w:w="6315" w:type="dxa"/>
            <w:tcBorders>
              <w:top w:val="nil"/>
              <w:left w:val="nil"/>
              <w:bottom w:val="single" w:color="auto" w:sz="4" w:space="0"/>
              <w:right w:val="single" w:color="auto" w:sz="4" w:space="0"/>
            </w:tcBorders>
            <w:noWrap/>
            <w:vAlign w:val="center"/>
          </w:tcPr>
          <w:p w14:paraId="7B93804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▲1.材质：国产EVA制，环保无味。</w:t>
            </w:r>
          </w:p>
          <w:p w14:paraId="21E7376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2.花纹：五道纹。</w:t>
            </w:r>
          </w:p>
          <w:p w14:paraId="5C9C670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3.颜色：红蓝.黄蓝.黑黄。</w:t>
            </w:r>
          </w:p>
          <w:p w14:paraId="5F64FC7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▲4.规格：≥100cm*100cm*2.5cm。</w:t>
            </w:r>
          </w:p>
        </w:tc>
        <w:tc>
          <w:tcPr>
            <w:tcW w:w="570" w:type="dxa"/>
            <w:tcBorders>
              <w:top w:val="nil"/>
              <w:left w:val="nil"/>
              <w:bottom w:val="single" w:color="auto" w:sz="4" w:space="0"/>
              <w:right w:val="single" w:color="auto" w:sz="4" w:space="0"/>
            </w:tcBorders>
            <w:vAlign w:val="center"/>
          </w:tcPr>
          <w:p w14:paraId="1AADD6B8">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张</w:t>
            </w:r>
          </w:p>
        </w:tc>
        <w:tc>
          <w:tcPr>
            <w:tcW w:w="448" w:type="dxa"/>
            <w:tcBorders>
              <w:top w:val="nil"/>
              <w:left w:val="nil"/>
              <w:bottom w:val="single" w:color="auto" w:sz="4" w:space="0"/>
              <w:right w:val="single" w:color="auto" w:sz="4" w:space="0"/>
            </w:tcBorders>
            <w:vAlign w:val="center"/>
          </w:tcPr>
          <w:p w14:paraId="54930337">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140</w:t>
            </w:r>
          </w:p>
        </w:tc>
        <w:tc>
          <w:tcPr>
            <w:tcW w:w="731" w:type="dxa"/>
            <w:tcBorders>
              <w:top w:val="nil"/>
              <w:left w:val="nil"/>
              <w:bottom w:val="single" w:color="auto" w:sz="4" w:space="0"/>
              <w:right w:val="single" w:color="auto" w:sz="4" w:space="0"/>
            </w:tcBorders>
            <w:noWrap/>
            <w:vAlign w:val="center"/>
          </w:tcPr>
          <w:p w14:paraId="47051993">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35AE00B6">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16CC752E">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06F8D7BB">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42A2D64D">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25AB7143">
            <w:pPr>
              <w:jc w:val="center"/>
              <w:rPr>
                <w:color w:val="auto"/>
              </w:rPr>
            </w:pPr>
          </w:p>
        </w:tc>
      </w:tr>
      <w:tr w14:paraId="746A3149">
        <w:tblPrEx>
          <w:tblCellMar>
            <w:top w:w="0" w:type="dxa"/>
            <w:left w:w="28" w:type="dxa"/>
            <w:bottom w:w="0" w:type="dxa"/>
            <w:right w:w="28" w:type="dxa"/>
          </w:tblCellMar>
        </w:tblPrEx>
        <w:trPr>
          <w:trHeight w:val="945" w:hRule="atLeast"/>
        </w:trPr>
        <w:tc>
          <w:tcPr>
            <w:tcW w:w="607" w:type="dxa"/>
            <w:tcBorders>
              <w:top w:val="nil"/>
              <w:left w:val="single" w:color="auto" w:sz="4" w:space="0"/>
              <w:bottom w:val="single" w:color="auto" w:sz="4" w:space="0"/>
              <w:right w:val="single" w:color="auto" w:sz="4" w:space="0"/>
            </w:tcBorders>
            <w:noWrap/>
            <w:vAlign w:val="center"/>
          </w:tcPr>
          <w:p w14:paraId="01FEBA07">
            <w:pPr>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1275" w:type="dxa"/>
            <w:tcBorders>
              <w:top w:val="nil"/>
              <w:left w:val="single" w:color="auto" w:sz="4" w:space="0"/>
              <w:bottom w:val="single" w:color="auto" w:sz="4" w:space="0"/>
              <w:right w:val="single" w:color="auto" w:sz="4" w:space="0"/>
            </w:tcBorders>
            <w:noWrap/>
            <w:vAlign w:val="center"/>
          </w:tcPr>
          <w:p w14:paraId="00DDE81B">
            <w:pPr>
              <w:widowControl/>
              <w:jc w:val="left"/>
              <w:textAlignment w:val="center"/>
              <w:rPr>
                <w:rFonts w:ascii="宋体" w:hAnsi="宋体" w:eastAsia="宋体" w:cs="宋体"/>
                <w:color w:val="auto"/>
                <w:sz w:val="21"/>
                <w:szCs w:val="21"/>
                <w:lang w:bidi="ar"/>
              </w:rPr>
            </w:pPr>
            <w:r>
              <w:rPr>
                <w:rFonts w:hint="eastAsia"/>
                <w:color w:val="auto"/>
                <w:sz w:val="21"/>
                <w:szCs w:val="21"/>
              </w:rPr>
              <w:t>ABS全塑储物柜</w:t>
            </w:r>
          </w:p>
        </w:tc>
        <w:tc>
          <w:tcPr>
            <w:tcW w:w="6315" w:type="dxa"/>
            <w:tcBorders>
              <w:top w:val="nil"/>
              <w:left w:val="nil"/>
              <w:bottom w:val="single" w:color="auto" w:sz="4" w:space="0"/>
              <w:right w:val="single" w:color="auto" w:sz="4" w:space="0"/>
            </w:tcBorders>
            <w:noWrap/>
            <w:vAlign w:val="center"/>
          </w:tcPr>
          <w:p w14:paraId="1E41915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▲1.每组9个门。</w:t>
            </w:r>
          </w:p>
          <w:p w14:paraId="5E82537E">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▲2.单门尺寸：≥310mm*388mm*436mm。</w:t>
            </w:r>
          </w:p>
        </w:tc>
        <w:tc>
          <w:tcPr>
            <w:tcW w:w="570" w:type="dxa"/>
            <w:tcBorders>
              <w:top w:val="nil"/>
              <w:left w:val="nil"/>
              <w:bottom w:val="single" w:color="auto" w:sz="4" w:space="0"/>
              <w:right w:val="single" w:color="auto" w:sz="4" w:space="0"/>
            </w:tcBorders>
            <w:vAlign w:val="center"/>
          </w:tcPr>
          <w:p w14:paraId="7C4768CC">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组</w:t>
            </w:r>
          </w:p>
        </w:tc>
        <w:tc>
          <w:tcPr>
            <w:tcW w:w="448" w:type="dxa"/>
            <w:tcBorders>
              <w:top w:val="nil"/>
              <w:left w:val="nil"/>
              <w:bottom w:val="single" w:color="auto" w:sz="4" w:space="0"/>
              <w:right w:val="single" w:color="auto" w:sz="4" w:space="0"/>
            </w:tcBorders>
            <w:vAlign w:val="center"/>
          </w:tcPr>
          <w:p w14:paraId="14BB7CA1">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5</w:t>
            </w:r>
          </w:p>
        </w:tc>
        <w:tc>
          <w:tcPr>
            <w:tcW w:w="731" w:type="dxa"/>
            <w:tcBorders>
              <w:top w:val="nil"/>
              <w:left w:val="nil"/>
              <w:bottom w:val="single" w:color="auto" w:sz="4" w:space="0"/>
              <w:right w:val="single" w:color="auto" w:sz="4" w:space="0"/>
            </w:tcBorders>
            <w:noWrap/>
            <w:vAlign w:val="center"/>
          </w:tcPr>
          <w:p w14:paraId="28F44CDA">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237DDE3A">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37359140">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717E21B2">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7AA01AF7">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1F8E4255">
            <w:pPr>
              <w:jc w:val="center"/>
              <w:rPr>
                <w:color w:val="auto"/>
              </w:rPr>
            </w:pPr>
          </w:p>
        </w:tc>
      </w:tr>
      <w:tr w14:paraId="17DA5C11">
        <w:tblPrEx>
          <w:tblCellMar>
            <w:top w:w="0" w:type="dxa"/>
            <w:left w:w="28" w:type="dxa"/>
            <w:bottom w:w="0" w:type="dxa"/>
            <w:right w:w="28" w:type="dxa"/>
          </w:tblCellMar>
        </w:tblPrEx>
        <w:trPr>
          <w:trHeight w:val="890" w:hRule="atLeast"/>
        </w:trPr>
        <w:tc>
          <w:tcPr>
            <w:tcW w:w="607" w:type="dxa"/>
            <w:tcBorders>
              <w:top w:val="nil"/>
              <w:left w:val="single" w:color="auto" w:sz="4" w:space="0"/>
              <w:bottom w:val="single" w:color="auto" w:sz="4" w:space="0"/>
              <w:right w:val="single" w:color="auto" w:sz="4" w:space="0"/>
            </w:tcBorders>
            <w:noWrap/>
            <w:vAlign w:val="center"/>
          </w:tcPr>
          <w:p w14:paraId="1A52C5AE">
            <w:pPr>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1275" w:type="dxa"/>
            <w:tcBorders>
              <w:top w:val="nil"/>
              <w:left w:val="single" w:color="auto" w:sz="4" w:space="0"/>
              <w:bottom w:val="single" w:color="auto" w:sz="4" w:space="0"/>
              <w:right w:val="single" w:color="auto" w:sz="4" w:space="0"/>
            </w:tcBorders>
            <w:noWrap/>
            <w:vAlign w:val="center"/>
          </w:tcPr>
          <w:p w14:paraId="4904DF90">
            <w:pPr>
              <w:widowControl/>
              <w:jc w:val="left"/>
              <w:textAlignment w:val="center"/>
              <w:rPr>
                <w:rFonts w:ascii="宋体" w:hAnsi="宋体" w:eastAsia="宋体" w:cs="宋体"/>
                <w:color w:val="auto"/>
                <w:sz w:val="21"/>
                <w:szCs w:val="21"/>
                <w:lang w:bidi="ar"/>
              </w:rPr>
            </w:pPr>
            <w:r>
              <w:rPr>
                <w:rFonts w:hint="eastAsia"/>
                <w:color w:val="auto"/>
                <w:sz w:val="21"/>
                <w:szCs w:val="21"/>
              </w:rPr>
              <w:t>五层鞋架</w:t>
            </w:r>
          </w:p>
        </w:tc>
        <w:tc>
          <w:tcPr>
            <w:tcW w:w="6315" w:type="dxa"/>
            <w:tcBorders>
              <w:top w:val="nil"/>
              <w:left w:val="nil"/>
              <w:bottom w:val="single" w:color="auto" w:sz="4" w:space="0"/>
              <w:right w:val="single" w:color="auto" w:sz="4" w:space="0"/>
            </w:tcBorders>
            <w:noWrap/>
            <w:vAlign w:val="center"/>
          </w:tcPr>
          <w:p w14:paraId="5500780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1.材质：密度板</w:t>
            </w:r>
          </w:p>
          <w:p w14:paraId="5153A5D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▲2.规格：≥100cm*23cm*72cm</w:t>
            </w:r>
          </w:p>
        </w:tc>
        <w:tc>
          <w:tcPr>
            <w:tcW w:w="570" w:type="dxa"/>
            <w:tcBorders>
              <w:top w:val="nil"/>
              <w:left w:val="nil"/>
              <w:bottom w:val="single" w:color="auto" w:sz="4" w:space="0"/>
              <w:right w:val="single" w:color="auto" w:sz="4" w:space="0"/>
            </w:tcBorders>
            <w:vAlign w:val="center"/>
          </w:tcPr>
          <w:p w14:paraId="3050228D">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组</w:t>
            </w:r>
          </w:p>
        </w:tc>
        <w:tc>
          <w:tcPr>
            <w:tcW w:w="448" w:type="dxa"/>
            <w:tcBorders>
              <w:top w:val="nil"/>
              <w:left w:val="nil"/>
              <w:bottom w:val="single" w:color="auto" w:sz="4" w:space="0"/>
              <w:right w:val="single" w:color="auto" w:sz="4" w:space="0"/>
            </w:tcBorders>
            <w:vAlign w:val="center"/>
          </w:tcPr>
          <w:p w14:paraId="35AAAC3D">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3</w:t>
            </w:r>
          </w:p>
        </w:tc>
        <w:tc>
          <w:tcPr>
            <w:tcW w:w="731" w:type="dxa"/>
            <w:tcBorders>
              <w:top w:val="nil"/>
              <w:left w:val="nil"/>
              <w:bottom w:val="single" w:color="auto" w:sz="4" w:space="0"/>
              <w:right w:val="single" w:color="auto" w:sz="4" w:space="0"/>
            </w:tcBorders>
            <w:noWrap/>
            <w:vAlign w:val="center"/>
          </w:tcPr>
          <w:p w14:paraId="64F72995">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30A5B6EA">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3E5B865D">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23AA12BE">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70A39EE1">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2C35F33D">
            <w:pPr>
              <w:jc w:val="center"/>
              <w:rPr>
                <w:color w:val="auto"/>
              </w:rPr>
            </w:pPr>
          </w:p>
        </w:tc>
      </w:tr>
      <w:tr w14:paraId="77DE7378">
        <w:tblPrEx>
          <w:tblCellMar>
            <w:top w:w="0" w:type="dxa"/>
            <w:left w:w="28" w:type="dxa"/>
            <w:bottom w:w="0" w:type="dxa"/>
            <w:right w:w="28" w:type="dxa"/>
          </w:tblCellMar>
        </w:tblPrEx>
        <w:trPr>
          <w:trHeight w:val="945" w:hRule="atLeast"/>
        </w:trPr>
        <w:tc>
          <w:tcPr>
            <w:tcW w:w="607" w:type="dxa"/>
            <w:tcBorders>
              <w:top w:val="nil"/>
              <w:left w:val="single" w:color="auto" w:sz="4" w:space="0"/>
              <w:bottom w:val="single" w:color="auto" w:sz="4" w:space="0"/>
              <w:right w:val="single" w:color="auto" w:sz="4" w:space="0"/>
            </w:tcBorders>
            <w:noWrap/>
            <w:vAlign w:val="center"/>
          </w:tcPr>
          <w:p w14:paraId="1440B57E">
            <w:pPr>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1275" w:type="dxa"/>
            <w:tcBorders>
              <w:top w:val="nil"/>
              <w:left w:val="single" w:color="auto" w:sz="4" w:space="0"/>
              <w:bottom w:val="single" w:color="auto" w:sz="4" w:space="0"/>
              <w:right w:val="single" w:color="auto" w:sz="4" w:space="0"/>
            </w:tcBorders>
            <w:noWrap/>
            <w:vAlign w:val="center"/>
          </w:tcPr>
          <w:p w14:paraId="1DD15F30">
            <w:pPr>
              <w:widowControl/>
              <w:jc w:val="left"/>
              <w:textAlignment w:val="center"/>
              <w:rPr>
                <w:rFonts w:ascii="宋体" w:hAnsi="宋体" w:eastAsia="宋体" w:cs="宋体"/>
                <w:color w:val="auto"/>
                <w:sz w:val="21"/>
                <w:szCs w:val="21"/>
                <w:lang w:bidi="ar"/>
              </w:rPr>
            </w:pPr>
            <w:r>
              <w:rPr>
                <w:rFonts w:hint="eastAsia"/>
                <w:color w:val="auto"/>
                <w:sz w:val="21"/>
                <w:szCs w:val="21"/>
              </w:rPr>
              <w:t>手靶</w:t>
            </w:r>
          </w:p>
        </w:tc>
        <w:tc>
          <w:tcPr>
            <w:tcW w:w="6315" w:type="dxa"/>
            <w:tcBorders>
              <w:top w:val="nil"/>
              <w:left w:val="nil"/>
              <w:bottom w:val="single" w:color="auto" w:sz="4" w:space="0"/>
              <w:right w:val="single" w:color="auto" w:sz="4" w:space="0"/>
            </w:tcBorders>
            <w:noWrap/>
            <w:vAlign w:val="center"/>
          </w:tcPr>
          <w:p w14:paraId="3279931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1.颜色：红，蓝，金，白。</w:t>
            </w:r>
          </w:p>
          <w:p w14:paraId="000D00B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▲2.材质：环保耐撕裂PU+EVA多层模压成型内胆，弧形设计，掌心有突兀，着力点强。</w:t>
            </w:r>
          </w:p>
        </w:tc>
        <w:tc>
          <w:tcPr>
            <w:tcW w:w="570" w:type="dxa"/>
            <w:tcBorders>
              <w:top w:val="nil"/>
              <w:left w:val="nil"/>
              <w:bottom w:val="single" w:color="auto" w:sz="4" w:space="0"/>
              <w:right w:val="single" w:color="auto" w:sz="4" w:space="0"/>
            </w:tcBorders>
            <w:vAlign w:val="center"/>
          </w:tcPr>
          <w:p w14:paraId="6960752A">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个</w:t>
            </w:r>
          </w:p>
        </w:tc>
        <w:tc>
          <w:tcPr>
            <w:tcW w:w="448" w:type="dxa"/>
            <w:tcBorders>
              <w:top w:val="nil"/>
              <w:left w:val="nil"/>
              <w:bottom w:val="single" w:color="auto" w:sz="4" w:space="0"/>
              <w:right w:val="single" w:color="auto" w:sz="4" w:space="0"/>
            </w:tcBorders>
            <w:vAlign w:val="center"/>
          </w:tcPr>
          <w:p w14:paraId="6E700E53">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30</w:t>
            </w:r>
          </w:p>
        </w:tc>
        <w:tc>
          <w:tcPr>
            <w:tcW w:w="731" w:type="dxa"/>
            <w:tcBorders>
              <w:top w:val="nil"/>
              <w:left w:val="nil"/>
              <w:bottom w:val="single" w:color="auto" w:sz="4" w:space="0"/>
              <w:right w:val="single" w:color="auto" w:sz="4" w:space="0"/>
            </w:tcBorders>
            <w:noWrap/>
            <w:vAlign w:val="center"/>
          </w:tcPr>
          <w:p w14:paraId="1DF29342">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6BE59249">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464166F8">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0A8D0425">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72101556">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456D8C33">
            <w:pPr>
              <w:jc w:val="center"/>
              <w:rPr>
                <w:color w:val="auto"/>
              </w:rPr>
            </w:pPr>
          </w:p>
        </w:tc>
      </w:tr>
      <w:tr w14:paraId="6BD26948">
        <w:tblPrEx>
          <w:tblCellMar>
            <w:top w:w="0" w:type="dxa"/>
            <w:left w:w="28" w:type="dxa"/>
            <w:bottom w:w="0" w:type="dxa"/>
            <w:right w:w="28" w:type="dxa"/>
          </w:tblCellMar>
        </w:tblPrEx>
        <w:trPr>
          <w:trHeight w:val="1569" w:hRule="atLeast"/>
        </w:trPr>
        <w:tc>
          <w:tcPr>
            <w:tcW w:w="607" w:type="dxa"/>
            <w:tcBorders>
              <w:top w:val="nil"/>
              <w:left w:val="single" w:color="auto" w:sz="4" w:space="0"/>
              <w:bottom w:val="single" w:color="auto" w:sz="4" w:space="0"/>
              <w:right w:val="single" w:color="auto" w:sz="4" w:space="0"/>
            </w:tcBorders>
            <w:noWrap/>
            <w:vAlign w:val="center"/>
          </w:tcPr>
          <w:p w14:paraId="5F5C126F">
            <w:pPr>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1275" w:type="dxa"/>
            <w:tcBorders>
              <w:top w:val="nil"/>
              <w:left w:val="single" w:color="auto" w:sz="4" w:space="0"/>
              <w:bottom w:val="single" w:color="auto" w:sz="4" w:space="0"/>
              <w:right w:val="single" w:color="auto" w:sz="4" w:space="0"/>
            </w:tcBorders>
            <w:noWrap/>
            <w:vAlign w:val="center"/>
          </w:tcPr>
          <w:p w14:paraId="5D9CAB54">
            <w:pPr>
              <w:widowControl/>
              <w:jc w:val="left"/>
              <w:textAlignment w:val="center"/>
              <w:rPr>
                <w:rFonts w:ascii="宋体" w:hAnsi="宋体" w:eastAsia="宋体" w:cs="宋体"/>
                <w:color w:val="auto"/>
                <w:sz w:val="21"/>
                <w:szCs w:val="21"/>
                <w:lang w:bidi="ar"/>
              </w:rPr>
            </w:pPr>
            <w:r>
              <w:rPr>
                <w:rFonts w:hint="eastAsia"/>
                <w:color w:val="auto"/>
                <w:sz w:val="21"/>
                <w:szCs w:val="21"/>
              </w:rPr>
              <w:t>脚靶</w:t>
            </w:r>
          </w:p>
        </w:tc>
        <w:tc>
          <w:tcPr>
            <w:tcW w:w="6315" w:type="dxa"/>
            <w:tcBorders>
              <w:top w:val="nil"/>
              <w:left w:val="nil"/>
              <w:bottom w:val="single" w:color="auto" w:sz="4" w:space="0"/>
              <w:right w:val="single" w:color="auto" w:sz="4" w:space="0"/>
            </w:tcBorders>
            <w:noWrap/>
            <w:vAlign w:val="center"/>
          </w:tcPr>
          <w:p w14:paraId="29BD692E">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1.规格：≥38cm*20cm*9cm。</w:t>
            </w:r>
          </w:p>
          <w:p w14:paraId="61C1956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2.颜色：红/黑。</w:t>
            </w:r>
          </w:p>
          <w:p w14:paraId="799EAE9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▲3.材质：耐撕裂环保PU，内胆高压海绵+EVA多层复合模板，弧形设计，更方便腿部动作的训练。</w:t>
            </w:r>
          </w:p>
        </w:tc>
        <w:tc>
          <w:tcPr>
            <w:tcW w:w="570" w:type="dxa"/>
            <w:tcBorders>
              <w:top w:val="nil"/>
              <w:left w:val="nil"/>
              <w:bottom w:val="single" w:color="auto" w:sz="4" w:space="0"/>
              <w:right w:val="single" w:color="auto" w:sz="4" w:space="0"/>
            </w:tcBorders>
            <w:vAlign w:val="center"/>
          </w:tcPr>
          <w:p w14:paraId="22D2085B">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个</w:t>
            </w:r>
          </w:p>
        </w:tc>
        <w:tc>
          <w:tcPr>
            <w:tcW w:w="448" w:type="dxa"/>
            <w:tcBorders>
              <w:top w:val="nil"/>
              <w:left w:val="nil"/>
              <w:bottom w:val="single" w:color="auto" w:sz="4" w:space="0"/>
              <w:right w:val="single" w:color="auto" w:sz="4" w:space="0"/>
            </w:tcBorders>
            <w:vAlign w:val="center"/>
          </w:tcPr>
          <w:p w14:paraId="659EB98D">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10</w:t>
            </w:r>
          </w:p>
        </w:tc>
        <w:tc>
          <w:tcPr>
            <w:tcW w:w="731" w:type="dxa"/>
            <w:tcBorders>
              <w:top w:val="nil"/>
              <w:left w:val="nil"/>
              <w:bottom w:val="single" w:color="auto" w:sz="4" w:space="0"/>
              <w:right w:val="single" w:color="auto" w:sz="4" w:space="0"/>
            </w:tcBorders>
            <w:noWrap/>
            <w:vAlign w:val="center"/>
          </w:tcPr>
          <w:p w14:paraId="03D484E0">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19150934">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59EEA307">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14BB9D95">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7E89032C">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4AFFD0AC">
            <w:pPr>
              <w:jc w:val="center"/>
              <w:rPr>
                <w:color w:val="auto"/>
              </w:rPr>
            </w:pPr>
          </w:p>
        </w:tc>
      </w:tr>
      <w:tr w14:paraId="56881B60">
        <w:tblPrEx>
          <w:tblCellMar>
            <w:top w:w="0" w:type="dxa"/>
            <w:left w:w="28" w:type="dxa"/>
            <w:bottom w:w="0" w:type="dxa"/>
            <w:right w:w="28" w:type="dxa"/>
          </w:tblCellMar>
        </w:tblPrEx>
        <w:trPr>
          <w:trHeight w:val="90" w:hRule="atLeast"/>
        </w:trPr>
        <w:tc>
          <w:tcPr>
            <w:tcW w:w="607" w:type="dxa"/>
            <w:tcBorders>
              <w:top w:val="nil"/>
              <w:left w:val="single" w:color="auto" w:sz="4" w:space="0"/>
              <w:bottom w:val="single" w:color="auto" w:sz="4" w:space="0"/>
              <w:right w:val="single" w:color="auto" w:sz="4" w:space="0"/>
            </w:tcBorders>
            <w:noWrap/>
            <w:vAlign w:val="center"/>
          </w:tcPr>
          <w:p w14:paraId="7275CD11">
            <w:pPr>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1275" w:type="dxa"/>
            <w:tcBorders>
              <w:top w:val="nil"/>
              <w:left w:val="single" w:color="auto" w:sz="4" w:space="0"/>
              <w:bottom w:val="single" w:color="auto" w:sz="4" w:space="0"/>
              <w:right w:val="single" w:color="auto" w:sz="4" w:space="0"/>
            </w:tcBorders>
            <w:noWrap/>
            <w:vAlign w:val="center"/>
          </w:tcPr>
          <w:p w14:paraId="757BA3FE">
            <w:pPr>
              <w:widowControl/>
              <w:jc w:val="left"/>
              <w:textAlignment w:val="center"/>
              <w:rPr>
                <w:rFonts w:ascii="宋体" w:hAnsi="宋体" w:eastAsia="宋体" w:cs="宋体"/>
                <w:color w:val="auto"/>
                <w:sz w:val="21"/>
                <w:szCs w:val="21"/>
                <w:lang w:bidi="ar"/>
              </w:rPr>
            </w:pPr>
            <w:r>
              <w:rPr>
                <w:rFonts w:hint="eastAsia"/>
                <w:color w:val="auto"/>
                <w:sz w:val="21"/>
                <w:szCs w:val="21"/>
              </w:rPr>
              <w:t>护具</w:t>
            </w:r>
          </w:p>
        </w:tc>
        <w:tc>
          <w:tcPr>
            <w:tcW w:w="6315" w:type="dxa"/>
            <w:tcBorders>
              <w:top w:val="nil"/>
              <w:left w:val="nil"/>
              <w:bottom w:val="single" w:color="auto" w:sz="4" w:space="0"/>
              <w:right w:val="single" w:color="auto" w:sz="4" w:space="0"/>
            </w:tcBorders>
            <w:noWrap/>
            <w:vAlign w:val="center"/>
          </w:tcPr>
          <w:p w14:paraId="7AE46DF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▲1.护头：NBR弹性泡棉+PU涂层一次发泡成型,佩戴舒适,保护性能佳。</w:t>
            </w:r>
          </w:p>
          <w:p w14:paraId="5F6610B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▲2.护脚套：.环保弹力PU皮制，严格按照WTF专业设计。</w:t>
            </w:r>
          </w:p>
          <w:p w14:paraId="487D9EC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▲3.护手套：环保弹力PU皮制，严格按照WTF专业设计。</w:t>
            </w:r>
          </w:p>
          <w:p w14:paraId="68F5CD9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▲4.护胸：环保耐撕裂PU，双面设计，适用于比赛，带护肩，可有效保护肩部和后背，后背为系绳，方便耐用。根据WTF和人体工程学原理设计制造，通过不含有害物的检验。</w:t>
            </w:r>
          </w:p>
          <w:p w14:paraId="63F8B25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▲5.护裆：环保可拉伸耐撕裂PU，内芯为高回弹EVA+塑形内壳，腰部粘扣设计穿脱更方便，分为男女款，具有较好的支撑和保卫防护作用。</w:t>
            </w:r>
          </w:p>
          <w:p w14:paraId="136E3AE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▲6.护齿材质：进口环保EVA，颜色：透明。</w:t>
            </w:r>
          </w:p>
          <w:p w14:paraId="4D12078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▲7.护手绷带颜色：红/黑/黄/白，规格：≥250cm*5cm，100%纯棉。</w:t>
            </w:r>
          </w:p>
          <w:p w14:paraId="503E58E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▲8.护具包颜色：蓝色，材质：面料采用精密涂层牛津布。</w:t>
            </w:r>
          </w:p>
        </w:tc>
        <w:tc>
          <w:tcPr>
            <w:tcW w:w="570" w:type="dxa"/>
            <w:tcBorders>
              <w:top w:val="nil"/>
              <w:left w:val="nil"/>
              <w:bottom w:val="single" w:color="auto" w:sz="4" w:space="0"/>
              <w:right w:val="single" w:color="auto" w:sz="4" w:space="0"/>
            </w:tcBorders>
            <w:vAlign w:val="center"/>
          </w:tcPr>
          <w:p w14:paraId="6C6B0D74">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副</w:t>
            </w:r>
          </w:p>
        </w:tc>
        <w:tc>
          <w:tcPr>
            <w:tcW w:w="448" w:type="dxa"/>
            <w:tcBorders>
              <w:top w:val="nil"/>
              <w:left w:val="nil"/>
              <w:bottom w:val="single" w:color="auto" w:sz="4" w:space="0"/>
              <w:right w:val="single" w:color="auto" w:sz="4" w:space="0"/>
            </w:tcBorders>
            <w:vAlign w:val="center"/>
          </w:tcPr>
          <w:p w14:paraId="7667BE94">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10</w:t>
            </w:r>
          </w:p>
        </w:tc>
        <w:tc>
          <w:tcPr>
            <w:tcW w:w="731" w:type="dxa"/>
            <w:tcBorders>
              <w:top w:val="nil"/>
              <w:left w:val="nil"/>
              <w:bottom w:val="single" w:color="auto" w:sz="4" w:space="0"/>
              <w:right w:val="single" w:color="auto" w:sz="4" w:space="0"/>
            </w:tcBorders>
            <w:noWrap/>
            <w:vAlign w:val="center"/>
          </w:tcPr>
          <w:p w14:paraId="38AC8E24">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5534F1AB">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708D2B3A">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7AC97824">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6AF92294">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473DECCA">
            <w:pPr>
              <w:jc w:val="center"/>
              <w:rPr>
                <w:color w:val="auto"/>
              </w:rPr>
            </w:pPr>
          </w:p>
        </w:tc>
      </w:tr>
      <w:tr w14:paraId="34DD839D">
        <w:tblPrEx>
          <w:tblCellMar>
            <w:top w:w="0" w:type="dxa"/>
            <w:left w:w="28" w:type="dxa"/>
            <w:bottom w:w="0" w:type="dxa"/>
            <w:right w:w="28" w:type="dxa"/>
          </w:tblCellMar>
        </w:tblPrEx>
        <w:trPr>
          <w:trHeight w:val="2353" w:hRule="atLeast"/>
        </w:trPr>
        <w:tc>
          <w:tcPr>
            <w:tcW w:w="607" w:type="dxa"/>
            <w:tcBorders>
              <w:top w:val="nil"/>
              <w:left w:val="single" w:color="auto" w:sz="4" w:space="0"/>
              <w:bottom w:val="single" w:color="auto" w:sz="4" w:space="0"/>
              <w:right w:val="single" w:color="auto" w:sz="4" w:space="0"/>
            </w:tcBorders>
            <w:noWrap/>
            <w:vAlign w:val="center"/>
          </w:tcPr>
          <w:p w14:paraId="2EA6C420">
            <w:pPr>
              <w:jc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1275" w:type="dxa"/>
            <w:tcBorders>
              <w:top w:val="nil"/>
              <w:left w:val="single" w:color="auto" w:sz="4" w:space="0"/>
              <w:bottom w:val="single" w:color="auto" w:sz="4" w:space="0"/>
              <w:right w:val="single" w:color="auto" w:sz="4" w:space="0"/>
            </w:tcBorders>
            <w:noWrap/>
            <w:vAlign w:val="center"/>
          </w:tcPr>
          <w:p w14:paraId="1532B1B8">
            <w:pPr>
              <w:widowControl/>
              <w:jc w:val="both"/>
              <w:textAlignment w:val="center"/>
              <w:rPr>
                <w:color w:val="auto"/>
                <w:sz w:val="21"/>
                <w:szCs w:val="21"/>
              </w:rPr>
            </w:pPr>
            <w:r>
              <w:rPr>
                <w:rFonts w:hint="eastAsia"/>
                <w:color w:val="auto"/>
                <w:sz w:val="21"/>
                <w:szCs w:val="21"/>
              </w:rPr>
              <w:t>仿皮悬挂式沙袋</w:t>
            </w:r>
          </w:p>
          <w:p w14:paraId="02439EA6">
            <w:pPr>
              <w:widowControl/>
              <w:jc w:val="left"/>
              <w:textAlignment w:val="center"/>
              <w:rPr>
                <w:rFonts w:ascii="宋体" w:hAnsi="宋体" w:eastAsia="宋体" w:cs="宋体"/>
                <w:color w:val="auto"/>
                <w:sz w:val="21"/>
                <w:szCs w:val="21"/>
                <w:lang w:bidi="ar"/>
              </w:rPr>
            </w:pPr>
            <w:r>
              <w:rPr>
                <w:rFonts w:hint="eastAsia"/>
                <w:color w:val="auto"/>
                <w:sz w:val="21"/>
                <w:szCs w:val="21"/>
              </w:rPr>
              <w:t>1.8米</w:t>
            </w:r>
          </w:p>
        </w:tc>
        <w:tc>
          <w:tcPr>
            <w:tcW w:w="6315" w:type="dxa"/>
            <w:tcBorders>
              <w:top w:val="nil"/>
              <w:left w:val="nil"/>
              <w:bottom w:val="single" w:color="auto" w:sz="4" w:space="0"/>
              <w:right w:val="single" w:color="auto" w:sz="4" w:space="0"/>
            </w:tcBorders>
            <w:noWrap/>
            <w:vAlign w:val="center"/>
          </w:tcPr>
          <w:p w14:paraId="4763DE6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1.颜色：红色.黑色。</w:t>
            </w:r>
          </w:p>
          <w:p w14:paraId="07005AE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▲2.规格：≥1.8m*0.4m。</w:t>
            </w:r>
          </w:p>
          <w:p w14:paraId="51D5861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材质：头部支架稳固，挂架轴承为转盘式，受力后自然旋转，保证受力均匀，增加使用寿命，吊钩可拆卸，铁链加粗加长，沙袋外套精选皮革面料，沙袋外套手工车缝走线，沙袋更结实耐用，抗击打，人工填充碎布，内胆高效吸能，结实耐磨不伤手。</w:t>
            </w:r>
          </w:p>
        </w:tc>
        <w:tc>
          <w:tcPr>
            <w:tcW w:w="570" w:type="dxa"/>
            <w:tcBorders>
              <w:top w:val="nil"/>
              <w:left w:val="nil"/>
              <w:bottom w:val="single" w:color="auto" w:sz="4" w:space="0"/>
              <w:right w:val="single" w:color="auto" w:sz="4" w:space="0"/>
            </w:tcBorders>
            <w:vAlign w:val="center"/>
          </w:tcPr>
          <w:p w14:paraId="1A33EC18">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个</w:t>
            </w:r>
          </w:p>
        </w:tc>
        <w:tc>
          <w:tcPr>
            <w:tcW w:w="448" w:type="dxa"/>
            <w:tcBorders>
              <w:top w:val="nil"/>
              <w:left w:val="nil"/>
              <w:bottom w:val="single" w:color="auto" w:sz="4" w:space="0"/>
              <w:right w:val="single" w:color="auto" w:sz="4" w:space="0"/>
            </w:tcBorders>
            <w:vAlign w:val="center"/>
          </w:tcPr>
          <w:p w14:paraId="63077C60">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10</w:t>
            </w:r>
          </w:p>
        </w:tc>
        <w:tc>
          <w:tcPr>
            <w:tcW w:w="731" w:type="dxa"/>
            <w:tcBorders>
              <w:top w:val="nil"/>
              <w:left w:val="nil"/>
              <w:bottom w:val="single" w:color="auto" w:sz="4" w:space="0"/>
              <w:right w:val="single" w:color="auto" w:sz="4" w:space="0"/>
            </w:tcBorders>
            <w:noWrap/>
            <w:vAlign w:val="center"/>
          </w:tcPr>
          <w:p w14:paraId="7E51376A">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1861E398">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598C8FEB">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6330FED8">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72541BC0">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070169E9">
            <w:pPr>
              <w:jc w:val="center"/>
              <w:rPr>
                <w:color w:val="auto"/>
              </w:rPr>
            </w:pPr>
          </w:p>
        </w:tc>
      </w:tr>
      <w:tr w14:paraId="723D6555">
        <w:tblPrEx>
          <w:tblCellMar>
            <w:top w:w="0" w:type="dxa"/>
            <w:left w:w="28" w:type="dxa"/>
            <w:bottom w:w="0" w:type="dxa"/>
            <w:right w:w="28" w:type="dxa"/>
          </w:tblCellMar>
        </w:tblPrEx>
        <w:trPr>
          <w:trHeight w:val="2095" w:hRule="atLeast"/>
        </w:trPr>
        <w:tc>
          <w:tcPr>
            <w:tcW w:w="607" w:type="dxa"/>
            <w:tcBorders>
              <w:top w:val="nil"/>
              <w:left w:val="single" w:color="auto" w:sz="4" w:space="0"/>
              <w:bottom w:val="single" w:color="auto" w:sz="4" w:space="0"/>
              <w:right w:val="single" w:color="auto" w:sz="4" w:space="0"/>
            </w:tcBorders>
            <w:noWrap/>
            <w:vAlign w:val="center"/>
          </w:tcPr>
          <w:p w14:paraId="03D3DF1E">
            <w:pPr>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1275" w:type="dxa"/>
            <w:tcBorders>
              <w:top w:val="nil"/>
              <w:left w:val="single" w:color="auto" w:sz="4" w:space="0"/>
              <w:bottom w:val="single" w:color="auto" w:sz="4" w:space="0"/>
              <w:right w:val="single" w:color="auto" w:sz="4" w:space="0"/>
            </w:tcBorders>
            <w:noWrap/>
            <w:vAlign w:val="center"/>
          </w:tcPr>
          <w:p w14:paraId="71E89C36">
            <w:pPr>
              <w:widowControl/>
              <w:jc w:val="left"/>
              <w:textAlignment w:val="center"/>
              <w:rPr>
                <w:rFonts w:ascii="宋体" w:hAnsi="宋体" w:eastAsia="宋体" w:cs="宋体"/>
                <w:color w:val="auto"/>
                <w:sz w:val="21"/>
                <w:szCs w:val="21"/>
                <w:lang w:bidi="ar"/>
              </w:rPr>
            </w:pPr>
            <w:r>
              <w:rPr>
                <w:rFonts w:hint="eastAsia"/>
                <w:color w:val="auto"/>
                <w:sz w:val="21"/>
                <w:szCs w:val="21"/>
              </w:rPr>
              <w:t>双通道专业功放</w:t>
            </w:r>
          </w:p>
        </w:tc>
        <w:tc>
          <w:tcPr>
            <w:tcW w:w="6315" w:type="dxa"/>
            <w:tcBorders>
              <w:top w:val="nil"/>
              <w:left w:val="nil"/>
              <w:bottom w:val="single" w:color="auto" w:sz="4" w:space="0"/>
              <w:right w:val="single" w:color="auto" w:sz="4" w:space="0"/>
            </w:tcBorders>
            <w:noWrap/>
            <w:vAlign w:val="center"/>
          </w:tcPr>
          <w:p w14:paraId="3F4488F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1.输出功率：650W*4/8Ω.975W*4/4Ω，桥接：1600W*2/8Ω。</w:t>
            </w:r>
          </w:p>
          <w:p w14:paraId="518ED54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2.频率响应（1W 8ohms）：20Hz-20KHz(±3dB)。</w:t>
            </w:r>
          </w:p>
          <w:p w14:paraId="1E800C0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3.灵敏度（8ohms 1KHz）：0.775v。</w:t>
            </w:r>
          </w:p>
          <w:p w14:paraId="1698DFD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4.链接端子：输入链接端子（XLR公.母），输出链接端子（SPEAKON）。</w:t>
            </w:r>
          </w:p>
          <w:p w14:paraId="269E806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5.输入阻抗：平衡输入（20KΩ）。非平衡输入（10KΩ）。</w:t>
            </w:r>
          </w:p>
          <w:p w14:paraId="3814D56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6.串音衰减（20Hz-20KHz,额定功率8ohms）：≥65dB。</w:t>
            </w:r>
          </w:p>
          <w:p w14:paraId="49D0985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7.信噪比（A计权,额定功率8ohms）：≥108dB。</w:t>
            </w:r>
          </w:p>
          <w:p w14:paraId="7041A57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8.阻尼系数（1KHz&amp;8ohms）：≥900。</w:t>
            </w:r>
          </w:p>
          <w:p w14:paraId="45E2F0E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9.互调失真（20Hz-20KHz,半功率）：≤0.02%。</w:t>
            </w:r>
          </w:p>
          <w:p w14:paraId="3C08015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10.总谐波失真（20Hz-20KHz,半功率）：≤0.05%。</w:t>
            </w:r>
          </w:p>
          <w:p w14:paraId="02DE1E5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11.相位响应（1W&amp;8ohms,20Hz-20KHz）：≤±8°。</w:t>
            </w:r>
          </w:p>
          <w:p w14:paraId="05E3AF3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12.转换速率：≥60V/µs。</w:t>
            </w:r>
          </w:p>
          <w:p w14:paraId="338A8C4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13.输出电路类型：线性H类。</w:t>
            </w:r>
          </w:p>
          <w:p w14:paraId="4E1EADB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14.功耗（双声道驱动为4ohms,1/8RMS/230V）：650W。</w:t>
            </w:r>
          </w:p>
          <w:p w14:paraId="3606973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15.安装空间：2U。</w:t>
            </w:r>
          </w:p>
        </w:tc>
        <w:tc>
          <w:tcPr>
            <w:tcW w:w="570" w:type="dxa"/>
            <w:tcBorders>
              <w:top w:val="nil"/>
              <w:left w:val="nil"/>
              <w:bottom w:val="single" w:color="auto" w:sz="4" w:space="0"/>
              <w:right w:val="single" w:color="auto" w:sz="4" w:space="0"/>
            </w:tcBorders>
            <w:vAlign w:val="center"/>
          </w:tcPr>
          <w:p w14:paraId="15AF6A2F">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台</w:t>
            </w:r>
          </w:p>
        </w:tc>
        <w:tc>
          <w:tcPr>
            <w:tcW w:w="448" w:type="dxa"/>
            <w:tcBorders>
              <w:top w:val="nil"/>
              <w:left w:val="nil"/>
              <w:bottom w:val="single" w:color="auto" w:sz="4" w:space="0"/>
              <w:right w:val="single" w:color="auto" w:sz="4" w:space="0"/>
            </w:tcBorders>
            <w:vAlign w:val="center"/>
          </w:tcPr>
          <w:p w14:paraId="7286C555">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4</w:t>
            </w:r>
          </w:p>
        </w:tc>
        <w:tc>
          <w:tcPr>
            <w:tcW w:w="731" w:type="dxa"/>
            <w:tcBorders>
              <w:top w:val="nil"/>
              <w:left w:val="nil"/>
              <w:bottom w:val="single" w:color="auto" w:sz="4" w:space="0"/>
              <w:right w:val="single" w:color="auto" w:sz="4" w:space="0"/>
            </w:tcBorders>
            <w:noWrap/>
            <w:vAlign w:val="center"/>
          </w:tcPr>
          <w:p w14:paraId="31156D15">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47058623">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0B78EFCD">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5F5AD0A0">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4637870C">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74556B98">
            <w:pPr>
              <w:jc w:val="center"/>
              <w:rPr>
                <w:color w:val="auto"/>
              </w:rPr>
            </w:pPr>
          </w:p>
        </w:tc>
      </w:tr>
      <w:tr w14:paraId="4DB36668">
        <w:tblPrEx>
          <w:tblCellMar>
            <w:top w:w="0" w:type="dxa"/>
            <w:left w:w="28" w:type="dxa"/>
            <w:bottom w:w="0" w:type="dxa"/>
            <w:right w:w="28" w:type="dxa"/>
          </w:tblCellMar>
        </w:tblPrEx>
        <w:trPr>
          <w:trHeight w:val="4373" w:hRule="atLeast"/>
        </w:trPr>
        <w:tc>
          <w:tcPr>
            <w:tcW w:w="607" w:type="dxa"/>
            <w:tcBorders>
              <w:top w:val="nil"/>
              <w:left w:val="single" w:color="auto" w:sz="4" w:space="0"/>
              <w:bottom w:val="single" w:color="auto" w:sz="4" w:space="0"/>
              <w:right w:val="single" w:color="auto" w:sz="4" w:space="0"/>
            </w:tcBorders>
            <w:noWrap/>
            <w:vAlign w:val="center"/>
          </w:tcPr>
          <w:p w14:paraId="2BC78F35">
            <w:pPr>
              <w:jc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1275" w:type="dxa"/>
            <w:tcBorders>
              <w:top w:val="nil"/>
              <w:left w:val="single" w:color="auto" w:sz="4" w:space="0"/>
              <w:bottom w:val="single" w:color="auto" w:sz="4" w:space="0"/>
              <w:right w:val="single" w:color="auto" w:sz="4" w:space="0"/>
            </w:tcBorders>
            <w:noWrap/>
            <w:vAlign w:val="center"/>
          </w:tcPr>
          <w:p w14:paraId="590F9D70">
            <w:pPr>
              <w:widowControl/>
              <w:jc w:val="left"/>
              <w:textAlignment w:val="center"/>
              <w:rPr>
                <w:rFonts w:ascii="宋体" w:hAnsi="宋体" w:eastAsia="宋体" w:cs="宋体"/>
                <w:color w:val="auto"/>
                <w:sz w:val="21"/>
                <w:szCs w:val="21"/>
                <w:lang w:bidi="ar"/>
              </w:rPr>
            </w:pPr>
            <w:r>
              <w:rPr>
                <w:rFonts w:hint="eastAsia"/>
                <w:color w:val="auto"/>
                <w:sz w:val="21"/>
                <w:szCs w:val="21"/>
              </w:rPr>
              <w:t>同轴全频音箱</w:t>
            </w:r>
          </w:p>
        </w:tc>
        <w:tc>
          <w:tcPr>
            <w:tcW w:w="6315" w:type="dxa"/>
            <w:tcBorders>
              <w:top w:val="nil"/>
              <w:left w:val="nil"/>
              <w:bottom w:val="single" w:color="auto" w:sz="4" w:space="0"/>
              <w:right w:val="single" w:color="auto" w:sz="4" w:space="0"/>
            </w:tcBorders>
            <w:noWrap/>
            <w:vAlign w:val="center"/>
          </w:tcPr>
          <w:p w14:paraId="190F7AB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1.系统类型：单8寸全频同轴音箱。</w:t>
            </w:r>
          </w:p>
          <w:p w14:paraId="7A5CD86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2.高音单元：1×34芯高音。</w:t>
            </w:r>
          </w:p>
          <w:p w14:paraId="582A714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3.低音单元：1×8寸低音。</w:t>
            </w:r>
          </w:p>
          <w:p w14:paraId="4E92EDD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4.频率响应：70Hz-20KHZ 。</w:t>
            </w:r>
          </w:p>
          <w:p w14:paraId="7677A0B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5.灵敏度：92dB /W(lm) 。</w:t>
            </w:r>
          </w:p>
          <w:p w14:paraId="270E881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6.最大声压级：120dB 。</w:t>
            </w:r>
          </w:p>
          <w:p w14:paraId="377D6C2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7.阻抗：8ohm。</w:t>
            </w:r>
          </w:p>
          <w:p w14:paraId="6A9D214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8.额定功率：200W。</w:t>
            </w:r>
          </w:p>
          <w:p w14:paraId="5EDE135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9.峰值功率：800W 。</w:t>
            </w:r>
          </w:p>
          <w:p w14:paraId="3686679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10.扩散角度：80°水平×80°垂直。</w:t>
            </w:r>
          </w:p>
          <w:p w14:paraId="2DCCAF2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11.分频点：2KHZ。</w:t>
            </w:r>
          </w:p>
          <w:p w14:paraId="75B1C4E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12.吊挂硬件：M8螺丝吊装。</w:t>
            </w:r>
          </w:p>
          <w:p w14:paraId="0EB2236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13.材质：高密度中纤维板。</w:t>
            </w:r>
          </w:p>
          <w:p w14:paraId="08E5962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14.颜色：黑/白色。</w:t>
            </w:r>
          </w:p>
        </w:tc>
        <w:tc>
          <w:tcPr>
            <w:tcW w:w="570" w:type="dxa"/>
            <w:tcBorders>
              <w:top w:val="nil"/>
              <w:left w:val="nil"/>
              <w:bottom w:val="single" w:color="auto" w:sz="4" w:space="0"/>
              <w:right w:val="single" w:color="auto" w:sz="4" w:space="0"/>
            </w:tcBorders>
            <w:vAlign w:val="center"/>
          </w:tcPr>
          <w:p w14:paraId="548D62D8">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台</w:t>
            </w:r>
          </w:p>
        </w:tc>
        <w:tc>
          <w:tcPr>
            <w:tcW w:w="448" w:type="dxa"/>
            <w:tcBorders>
              <w:top w:val="nil"/>
              <w:left w:val="nil"/>
              <w:bottom w:val="single" w:color="auto" w:sz="4" w:space="0"/>
              <w:right w:val="single" w:color="auto" w:sz="4" w:space="0"/>
            </w:tcBorders>
            <w:vAlign w:val="center"/>
          </w:tcPr>
          <w:p w14:paraId="7EBD4AC0">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16</w:t>
            </w:r>
          </w:p>
        </w:tc>
        <w:tc>
          <w:tcPr>
            <w:tcW w:w="731" w:type="dxa"/>
            <w:tcBorders>
              <w:top w:val="nil"/>
              <w:left w:val="nil"/>
              <w:bottom w:val="single" w:color="auto" w:sz="4" w:space="0"/>
              <w:right w:val="single" w:color="auto" w:sz="4" w:space="0"/>
            </w:tcBorders>
            <w:noWrap/>
            <w:vAlign w:val="center"/>
          </w:tcPr>
          <w:p w14:paraId="24E45C1A">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0DF363E6">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0458CC71">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4ABDFF8B">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2E192A46">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2B16D411">
            <w:pPr>
              <w:jc w:val="center"/>
              <w:rPr>
                <w:color w:val="auto"/>
              </w:rPr>
            </w:pPr>
          </w:p>
        </w:tc>
      </w:tr>
      <w:tr w14:paraId="35D8766F">
        <w:tblPrEx>
          <w:tblCellMar>
            <w:top w:w="0" w:type="dxa"/>
            <w:left w:w="28" w:type="dxa"/>
            <w:bottom w:w="0" w:type="dxa"/>
            <w:right w:w="28" w:type="dxa"/>
          </w:tblCellMar>
        </w:tblPrEx>
        <w:trPr>
          <w:trHeight w:val="4685" w:hRule="atLeast"/>
        </w:trPr>
        <w:tc>
          <w:tcPr>
            <w:tcW w:w="607" w:type="dxa"/>
            <w:tcBorders>
              <w:top w:val="nil"/>
              <w:left w:val="single" w:color="auto" w:sz="4" w:space="0"/>
              <w:bottom w:val="single" w:color="auto" w:sz="4" w:space="0"/>
              <w:right w:val="single" w:color="auto" w:sz="4" w:space="0"/>
            </w:tcBorders>
            <w:noWrap/>
            <w:vAlign w:val="center"/>
          </w:tcPr>
          <w:p w14:paraId="0C96A5D1">
            <w:pPr>
              <w:jc w:val="center"/>
              <w:rPr>
                <w:rFonts w:ascii="宋体" w:hAnsi="宋体" w:eastAsia="宋体" w:cs="宋体"/>
                <w:color w:val="auto"/>
                <w:sz w:val="24"/>
                <w:szCs w:val="24"/>
              </w:rPr>
            </w:pPr>
            <w:r>
              <w:rPr>
                <w:rFonts w:hint="eastAsia" w:ascii="宋体" w:hAnsi="宋体" w:eastAsia="宋体" w:cs="宋体"/>
                <w:color w:val="auto"/>
                <w:sz w:val="24"/>
                <w:szCs w:val="24"/>
              </w:rPr>
              <w:t>17</w:t>
            </w:r>
          </w:p>
        </w:tc>
        <w:tc>
          <w:tcPr>
            <w:tcW w:w="1275" w:type="dxa"/>
            <w:tcBorders>
              <w:top w:val="nil"/>
              <w:left w:val="single" w:color="auto" w:sz="4" w:space="0"/>
              <w:bottom w:val="single" w:color="auto" w:sz="4" w:space="0"/>
              <w:right w:val="single" w:color="auto" w:sz="4" w:space="0"/>
            </w:tcBorders>
            <w:noWrap/>
            <w:vAlign w:val="center"/>
          </w:tcPr>
          <w:p w14:paraId="171FEA95">
            <w:pPr>
              <w:widowControl/>
              <w:jc w:val="left"/>
              <w:textAlignment w:val="center"/>
              <w:rPr>
                <w:rFonts w:ascii="宋体" w:hAnsi="宋体" w:eastAsia="宋体" w:cs="宋体"/>
                <w:color w:val="auto"/>
                <w:sz w:val="21"/>
                <w:szCs w:val="21"/>
                <w:lang w:bidi="ar"/>
              </w:rPr>
            </w:pPr>
            <w:r>
              <w:rPr>
                <w:rFonts w:hint="eastAsia"/>
                <w:color w:val="auto"/>
                <w:sz w:val="21"/>
                <w:szCs w:val="21"/>
              </w:rPr>
              <w:t>模拟调音台</w:t>
            </w:r>
          </w:p>
        </w:tc>
        <w:tc>
          <w:tcPr>
            <w:tcW w:w="6315" w:type="dxa"/>
            <w:tcBorders>
              <w:top w:val="nil"/>
              <w:left w:val="nil"/>
              <w:bottom w:val="single" w:color="auto" w:sz="4" w:space="0"/>
              <w:right w:val="single" w:color="auto" w:sz="4" w:space="0"/>
            </w:tcBorders>
            <w:noWrap/>
            <w:vAlign w:val="center"/>
          </w:tcPr>
          <w:p w14:paraId="2304865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1.双差分输入电路。                                   </w:t>
            </w:r>
          </w:p>
          <w:p w14:paraId="5ECD729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2.16种回声和混响可调。                                                              </w:t>
            </w:r>
          </w:p>
          <w:p w14:paraId="5598BA5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3.2编组4母线调音台。                                       </w:t>
            </w:r>
          </w:p>
          <w:p w14:paraId="1FE1725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4.4路线路输入+2组立体声输入,内置16种数码效果器。                                        </w:t>
            </w:r>
          </w:p>
          <w:p w14:paraId="092DB3D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5.内置多格式蓝牙MP3播放器,MP3音源可转入本机立体声声道进行调音或混合。                                                   </w:t>
            </w:r>
          </w:p>
          <w:p w14:paraId="1DE354FE">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6.分路3段美式EQ,带衰减带,带显示哑音选择开关，另设有监听功能。                                                       </w:t>
            </w:r>
          </w:p>
          <w:p w14:paraId="1B59F6C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7.6路母线(BUS)：主输出+两编组+监听室输出+录音输出与返回。                                                </w:t>
            </w:r>
          </w:p>
          <w:p w14:paraId="2EB9F7A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8.在无需外置设备下可独立完成6路不同音源的输出。                                           </w:t>
            </w:r>
          </w:p>
          <w:p w14:paraId="13DB325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9.1路AUX外接与返回,双7段图视均衡。                            </w:t>
            </w:r>
          </w:p>
          <w:p w14:paraId="3292DED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10.≥100MM长行程推子控制。                                     </w:t>
            </w:r>
          </w:p>
          <w:p w14:paraId="0292174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11.内置48V幻象供电,内置80V-240V宽电压工作电源。</w:t>
            </w:r>
          </w:p>
          <w:p w14:paraId="6802F37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12.稳固的全金属机身设计可靠性，配专用航空箱机架。                                      </w:t>
            </w:r>
          </w:p>
          <w:p w14:paraId="2CA598D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                      </w:t>
            </w:r>
          </w:p>
        </w:tc>
        <w:tc>
          <w:tcPr>
            <w:tcW w:w="570" w:type="dxa"/>
            <w:tcBorders>
              <w:top w:val="nil"/>
              <w:left w:val="nil"/>
              <w:bottom w:val="single" w:color="auto" w:sz="4" w:space="0"/>
              <w:right w:val="single" w:color="auto" w:sz="4" w:space="0"/>
            </w:tcBorders>
            <w:vAlign w:val="center"/>
          </w:tcPr>
          <w:p w14:paraId="14042F7D">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台</w:t>
            </w:r>
          </w:p>
        </w:tc>
        <w:tc>
          <w:tcPr>
            <w:tcW w:w="448" w:type="dxa"/>
            <w:tcBorders>
              <w:top w:val="nil"/>
              <w:left w:val="nil"/>
              <w:bottom w:val="single" w:color="auto" w:sz="4" w:space="0"/>
              <w:right w:val="single" w:color="auto" w:sz="4" w:space="0"/>
            </w:tcBorders>
            <w:vAlign w:val="center"/>
          </w:tcPr>
          <w:p w14:paraId="3672CBD1">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4</w:t>
            </w:r>
          </w:p>
        </w:tc>
        <w:tc>
          <w:tcPr>
            <w:tcW w:w="731" w:type="dxa"/>
            <w:tcBorders>
              <w:top w:val="nil"/>
              <w:left w:val="nil"/>
              <w:bottom w:val="single" w:color="auto" w:sz="4" w:space="0"/>
              <w:right w:val="single" w:color="auto" w:sz="4" w:space="0"/>
            </w:tcBorders>
            <w:noWrap/>
            <w:vAlign w:val="center"/>
          </w:tcPr>
          <w:p w14:paraId="6536A2F1">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5F8D614F">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1BD063C1">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46F09F62">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58781D04">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59D00F0C">
            <w:pPr>
              <w:jc w:val="center"/>
              <w:rPr>
                <w:color w:val="auto"/>
              </w:rPr>
            </w:pPr>
          </w:p>
        </w:tc>
      </w:tr>
      <w:tr w14:paraId="36B1EAF7">
        <w:tblPrEx>
          <w:tblCellMar>
            <w:top w:w="0" w:type="dxa"/>
            <w:left w:w="28" w:type="dxa"/>
            <w:bottom w:w="0" w:type="dxa"/>
            <w:right w:w="28" w:type="dxa"/>
          </w:tblCellMar>
        </w:tblPrEx>
        <w:trPr>
          <w:trHeight w:val="2272" w:hRule="atLeast"/>
        </w:trPr>
        <w:tc>
          <w:tcPr>
            <w:tcW w:w="607" w:type="dxa"/>
            <w:tcBorders>
              <w:top w:val="nil"/>
              <w:left w:val="single" w:color="auto" w:sz="4" w:space="0"/>
              <w:bottom w:val="single" w:color="auto" w:sz="4" w:space="0"/>
              <w:right w:val="single" w:color="auto" w:sz="4" w:space="0"/>
            </w:tcBorders>
            <w:noWrap/>
            <w:vAlign w:val="center"/>
          </w:tcPr>
          <w:p w14:paraId="151D1365">
            <w:pPr>
              <w:jc w:val="center"/>
              <w:rPr>
                <w:rFonts w:ascii="宋体" w:hAnsi="宋体" w:eastAsia="宋体" w:cs="宋体"/>
                <w:color w:val="auto"/>
                <w:sz w:val="24"/>
                <w:szCs w:val="24"/>
              </w:rPr>
            </w:pPr>
            <w:r>
              <w:rPr>
                <w:rFonts w:hint="eastAsia" w:ascii="宋体" w:hAnsi="宋体" w:eastAsia="宋体" w:cs="宋体"/>
                <w:color w:val="auto"/>
                <w:sz w:val="24"/>
                <w:szCs w:val="24"/>
              </w:rPr>
              <w:t>18</w:t>
            </w:r>
          </w:p>
        </w:tc>
        <w:tc>
          <w:tcPr>
            <w:tcW w:w="1275" w:type="dxa"/>
            <w:tcBorders>
              <w:top w:val="nil"/>
              <w:left w:val="single" w:color="auto" w:sz="4" w:space="0"/>
              <w:bottom w:val="single" w:color="auto" w:sz="4" w:space="0"/>
              <w:right w:val="single" w:color="auto" w:sz="4" w:space="0"/>
            </w:tcBorders>
            <w:noWrap/>
            <w:vAlign w:val="center"/>
          </w:tcPr>
          <w:p w14:paraId="489577BA">
            <w:pPr>
              <w:widowControl/>
              <w:jc w:val="left"/>
              <w:textAlignment w:val="center"/>
              <w:rPr>
                <w:rFonts w:ascii="宋体" w:hAnsi="宋体" w:eastAsia="宋体" w:cs="宋体"/>
                <w:color w:val="auto"/>
                <w:sz w:val="21"/>
                <w:szCs w:val="21"/>
                <w:lang w:bidi="ar"/>
              </w:rPr>
            </w:pPr>
            <w:r>
              <w:rPr>
                <w:rFonts w:hint="eastAsia"/>
                <w:color w:val="auto"/>
                <w:sz w:val="21"/>
                <w:szCs w:val="21"/>
              </w:rPr>
              <w:t>真分集无线头戴话筒 一拖二</w:t>
            </w:r>
          </w:p>
        </w:tc>
        <w:tc>
          <w:tcPr>
            <w:tcW w:w="6315" w:type="dxa"/>
            <w:tcBorders>
              <w:top w:val="nil"/>
              <w:left w:val="nil"/>
              <w:bottom w:val="single" w:color="auto" w:sz="4" w:space="0"/>
              <w:right w:val="single" w:color="auto" w:sz="4" w:space="0"/>
            </w:tcBorders>
            <w:noWrap/>
            <w:vAlign w:val="center"/>
          </w:tcPr>
          <w:p w14:paraId="1F9CF49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1.真分集U段一拖二无线话筒，可灵活选配手持、头戴、领夹话筒。</w:t>
            </w:r>
          </w:p>
          <w:p w14:paraId="23D2E78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2.接收机：</w:t>
            </w:r>
          </w:p>
          <w:p w14:paraId="43CD02A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2.1.载波频段：610-670MHZ。</w:t>
            </w:r>
          </w:p>
          <w:p w14:paraId="1B0F8CA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2.2.振荡方式：DPLL数字锁相环技术。</w:t>
            </w:r>
          </w:p>
          <w:p w14:paraId="29D6460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2.3.频带宽度：60MHZ。</w:t>
            </w:r>
          </w:p>
          <w:p w14:paraId="623671F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2.4.频率响应：60Hz～15KHz。</w:t>
            </w:r>
          </w:p>
          <w:p w14:paraId="0F86FD5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2.5.接收灵敏度：在偏移度等于25KHZ,输入6dBuV时 ,S/N&gt;58dB。</w:t>
            </w:r>
          </w:p>
          <w:p w14:paraId="2B854CE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2.6.频率稳定度：±0.005%。</w:t>
            </w:r>
          </w:p>
          <w:p w14:paraId="6976A7E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2.7.最大偏移度：±45KHz。</w:t>
            </w:r>
          </w:p>
          <w:p w14:paraId="1E7E905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2.8.综合信噪比：S/N&gt;105dB。</w:t>
            </w:r>
          </w:p>
          <w:p w14:paraId="1003437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2.9.综合T.H.D：&lt;0.7%@1KHz。</w:t>
            </w:r>
          </w:p>
          <w:p w14:paraId="1046B18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2.10.频率响应：60Hz～15KHz。</w:t>
            </w:r>
          </w:p>
          <w:p w14:paraId="39C4888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2.11.平衡输出端口：阻抗680欧姆。</w:t>
            </w:r>
          </w:p>
          <w:p w14:paraId="1974310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2.12.非平衡输出音频端口：阻抗2200欧姆</w:t>
            </w:r>
          </w:p>
          <w:p w14:paraId="1077178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2.13.工作有效距离：≥100米（空旷地方）。</w:t>
            </w:r>
          </w:p>
          <w:p w14:paraId="4A060B8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2.14.电源供应：DC 12V--2000mA。</w:t>
            </w:r>
          </w:p>
          <w:p w14:paraId="0436819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3.手持式发射机：</w:t>
            </w:r>
          </w:p>
          <w:p w14:paraId="479E11F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3.1.载波频段 ：610-670MHZ。</w:t>
            </w:r>
          </w:p>
          <w:p w14:paraId="5D589D6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3.2.调制方式 ：宽带FM(WIFI FM)。</w:t>
            </w:r>
          </w:p>
          <w:p w14:paraId="5A117CB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3.3.谐波辐射：低于主波45dBm以上。</w:t>
            </w:r>
          </w:p>
          <w:p w14:paraId="3D984A1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3.4.振荡方式 Oscillation mode：DPLL数字锁相环技术。RF功率输出 ：20mW。</w:t>
            </w:r>
          </w:p>
          <w:p w14:paraId="55D111E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3.5.最大偏移度 ：±45KHz。</w:t>
            </w:r>
          </w:p>
          <w:p w14:paraId="4707F3F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3.6.频率响应：50Hz～17KHz。</w:t>
            </w:r>
          </w:p>
          <w:p w14:paraId="1E680C6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3.7.拾音方式：动圈式咪芯(dynamic microphone core)。</w:t>
            </w:r>
          </w:p>
          <w:p w14:paraId="2BD4C34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3.8.电流消耗：130mA。</w:t>
            </w:r>
          </w:p>
          <w:p w14:paraId="0DF29F0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▲3.9.电池寿命：≥13小时（2000mAH)。</w:t>
            </w:r>
          </w:p>
          <w:p w14:paraId="21A45EC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3.10.电池：AA*2(1.5V)。</w:t>
            </w:r>
          </w:p>
          <w:p w14:paraId="5FDD7E1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4.腰包式发射机：</w:t>
            </w:r>
          </w:p>
          <w:p w14:paraId="72CB6DE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4.1.载波频段：610-670MHZ。</w:t>
            </w:r>
          </w:p>
          <w:p w14:paraId="47F9E2C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4.2.调制方式：宽带FM(WIFI FM)。</w:t>
            </w:r>
          </w:p>
          <w:p w14:paraId="1AC4C0E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4.3.谐波辐射：低于主波45dBm以上。</w:t>
            </w:r>
          </w:p>
          <w:p w14:paraId="360C26E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4.4.振荡方式 Oscillation mode：DPLL数字锁相环技术。</w:t>
            </w:r>
          </w:p>
          <w:p w14:paraId="440DA71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4.5.RF功率输出：20mW。</w:t>
            </w:r>
          </w:p>
          <w:p w14:paraId="4FE8467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4.6.最大偏移度：±45KHz。</w:t>
            </w:r>
          </w:p>
          <w:p w14:paraId="55400A3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4.7.频率响应：50Hz～17KHz。</w:t>
            </w:r>
          </w:p>
          <w:p w14:paraId="2FF39D7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4.8.拾音方式：动圈式咪芯(dynamic microphone core)。</w:t>
            </w:r>
          </w:p>
          <w:p w14:paraId="18E6AE9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4.9.电流消耗：130mA。</w:t>
            </w:r>
          </w:p>
          <w:p w14:paraId="3F15153E">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▲4.10.电池寿命：≥13小时（2000mAH)。</w:t>
            </w:r>
          </w:p>
          <w:p w14:paraId="2371B6C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4.11.电池：AA*2(1.5V)。</w:t>
            </w:r>
          </w:p>
        </w:tc>
        <w:tc>
          <w:tcPr>
            <w:tcW w:w="570" w:type="dxa"/>
            <w:tcBorders>
              <w:top w:val="nil"/>
              <w:left w:val="nil"/>
              <w:bottom w:val="single" w:color="auto" w:sz="4" w:space="0"/>
              <w:right w:val="single" w:color="auto" w:sz="4" w:space="0"/>
            </w:tcBorders>
            <w:vAlign w:val="center"/>
          </w:tcPr>
          <w:p w14:paraId="29B99BF8">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个</w:t>
            </w:r>
          </w:p>
        </w:tc>
        <w:tc>
          <w:tcPr>
            <w:tcW w:w="448" w:type="dxa"/>
            <w:tcBorders>
              <w:top w:val="nil"/>
              <w:left w:val="nil"/>
              <w:bottom w:val="single" w:color="auto" w:sz="4" w:space="0"/>
              <w:right w:val="single" w:color="auto" w:sz="4" w:space="0"/>
            </w:tcBorders>
            <w:vAlign w:val="center"/>
          </w:tcPr>
          <w:p w14:paraId="2E2E77F9">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8</w:t>
            </w:r>
          </w:p>
        </w:tc>
        <w:tc>
          <w:tcPr>
            <w:tcW w:w="731" w:type="dxa"/>
            <w:tcBorders>
              <w:top w:val="nil"/>
              <w:left w:val="nil"/>
              <w:bottom w:val="single" w:color="auto" w:sz="4" w:space="0"/>
              <w:right w:val="single" w:color="auto" w:sz="4" w:space="0"/>
            </w:tcBorders>
            <w:noWrap/>
            <w:vAlign w:val="center"/>
          </w:tcPr>
          <w:p w14:paraId="6D394EBA">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58566E91">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59125514">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757264A7">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0C851179">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7244203F">
            <w:pPr>
              <w:jc w:val="center"/>
              <w:rPr>
                <w:color w:val="auto"/>
              </w:rPr>
            </w:pPr>
          </w:p>
        </w:tc>
      </w:tr>
      <w:tr w14:paraId="637C30FE">
        <w:tblPrEx>
          <w:tblCellMar>
            <w:top w:w="0" w:type="dxa"/>
            <w:left w:w="28" w:type="dxa"/>
            <w:bottom w:w="0" w:type="dxa"/>
            <w:right w:w="28" w:type="dxa"/>
          </w:tblCellMar>
        </w:tblPrEx>
        <w:trPr>
          <w:trHeight w:val="1257" w:hRule="atLeast"/>
        </w:trPr>
        <w:tc>
          <w:tcPr>
            <w:tcW w:w="607" w:type="dxa"/>
            <w:tcBorders>
              <w:top w:val="nil"/>
              <w:left w:val="single" w:color="auto" w:sz="4" w:space="0"/>
              <w:bottom w:val="single" w:color="auto" w:sz="4" w:space="0"/>
              <w:right w:val="single" w:color="auto" w:sz="4" w:space="0"/>
            </w:tcBorders>
            <w:noWrap/>
            <w:vAlign w:val="center"/>
          </w:tcPr>
          <w:p w14:paraId="393BE98A">
            <w:pPr>
              <w:jc w:val="center"/>
              <w:rPr>
                <w:rFonts w:ascii="宋体" w:hAnsi="宋体" w:eastAsia="宋体" w:cs="宋体"/>
                <w:color w:val="auto"/>
                <w:sz w:val="24"/>
                <w:szCs w:val="24"/>
              </w:rPr>
            </w:pPr>
            <w:r>
              <w:rPr>
                <w:rFonts w:hint="eastAsia" w:ascii="宋体" w:hAnsi="宋体" w:eastAsia="宋体" w:cs="宋体"/>
                <w:color w:val="auto"/>
                <w:sz w:val="24"/>
                <w:szCs w:val="24"/>
              </w:rPr>
              <w:t>19</w:t>
            </w:r>
          </w:p>
        </w:tc>
        <w:tc>
          <w:tcPr>
            <w:tcW w:w="1275" w:type="dxa"/>
            <w:tcBorders>
              <w:top w:val="nil"/>
              <w:left w:val="single" w:color="auto" w:sz="4" w:space="0"/>
              <w:bottom w:val="single" w:color="auto" w:sz="4" w:space="0"/>
              <w:right w:val="single" w:color="auto" w:sz="4" w:space="0"/>
            </w:tcBorders>
            <w:noWrap/>
            <w:vAlign w:val="center"/>
          </w:tcPr>
          <w:p w14:paraId="15264D39">
            <w:pPr>
              <w:widowControl/>
              <w:jc w:val="left"/>
              <w:textAlignment w:val="center"/>
              <w:rPr>
                <w:rFonts w:ascii="宋体" w:hAnsi="宋体" w:eastAsia="宋体" w:cs="宋体"/>
                <w:color w:val="auto"/>
                <w:sz w:val="21"/>
                <w:szCs w:val="21"/>
                <w:lang w:bidi="ar"/>
              </w:rPr>
            </w:pPr>
            <w:r>
              <w:rPr>
                <w:rFonts w:hint="eastAsia"/>
                <w:color w:val="auto"/>
                <w:sz w:val="21"/>
                <w:szCs w:val="21"/>
              </w:rPr>
              <w:t>设备机柜</w:t>
            </w:r>
          </w:p>
        </w:tc>
        <w:tc>
          <w:tcPr>
            <w:tcW w:w="6315" w:type="dxa"/>
            <w:tcBorders>
              <w:top w:val="nil"/>
              <w:left w:val="nil"/>
              <w:bottom w:val="single" w:color="auto" w:sz="4" w:space="0"/>
              <w:right w:val="single" w:color="auto" w:sz="4" w:space="0"/>
            </w:tcBorders>
            <w:noWrap/>
            <w:vAlign w:val="center"/>
          </w:tcPr>
          <w:p w14:paraId="420BAD0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1.材料：采用高强度冷轧钢板及高强度的钢化玻璃。</w:t>
            </w:r>
          </w:p>
          <w:p w14:paraId="02E2602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2.表层处理：脱脂 酸洗 磷化 静电喷喷塑。</w:t>
            </w:r>
          </w:p>
          <w:p w14:paraId="4F53B88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3.规格：≥1200*600*600mm</w:t>
            </w:r>
          </w:p>
        </w:tc>
        <w:tc>
          <w:tcPr>
            <w:tcW w:w="570" w:type="dxa"/>
            <w:tcBorders>
              <w:top w:val="nil"/>
              <w:left w:val="nil"/>
              <w:bottom w:val="single" w:color="auto" w:sz="4" w:space="0"/>
              <w:right w:val="single" w:color="auto" w:sz="4" w:space="0"/>
            </w:tcBorders>
            <w:vAlign w:val="center"/>
          </w:tcPr>
          <w:p w14:paraId="0946830F">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个</w:t>
            </w:r>
          </w:p>
        </w:tc>
        <w:tc>
          <w:tcPr>
            <w:tcW w:w="448" w:type="dxa"/>
            <w:tcBorders>
              <w:top w:val="nil"/>
              <w:left w:val="nil"/>
              <w:bottom w:val="single" w:color="auto" w:sz="4" w:space="0"/>
              <w:right w:val="single" w:color="auto" w:sz="4" w:space="0"/>
            </w:tcBorders>
            <w:vAlign w:val="center"/>
          </w:tcPr>
          <w:p w14:paraId="481A7464">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4</w:t>
            </w:r>
          </w:p>
        </w:tc>
        <w:tc>
          <w:tcPr>
            <w:tcW w:w="731" w:type="dxa"/>
            <w:tcBorders>
              <w:top w:val="nil"/>
              <w:left w:val="nil"/>
              <w:bottom w:val="single" w:color="auto" w:sz="4" w:space="0"/>
              <w:right w:val="single" w:color="auto" w:sz="4" w:space="0"/>
            </w:tcBorders>
            <w:noWrap/>
            <w:vAlign w:val="center"/>
          </w:tcPr>
          <w:p w14:paraId="6E81A8D2">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4A9B2E0E">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2D1475BD">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097F48E0">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348927F1">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778A05B4">
            <w:pPr>
              <w:jc w:val="center"/>
              <w:rPr>
                <w:color w:val="auto"/>
              </w:rPr>
            </w:pPr>
          </w:p>
        </w:tc>
      </w:tr>
      <w:tr w14:paraId="0D58BDE7">
        <w:tblPrEx>
          <w:tblCellMar>
            <w:top w:w="0" w:type="dxa"/>
            <w:left w:w="28" w:type="dxa"/>
            <w:bottom w:w="0" w:type="dxa"/>
            <w:right w:w="28" w:type="dxa"/>
          </w:tblCellMar>
        </w:tblPrEx>
        <w:trPr>
          <w:trHeight w:val="890" w:hRule="atLeast"/>
        </w:trPr>
        <w:tc>
          <w:tcPr>
            <w:tcW w:w="607" w:type="dxa"/>
            <w:tcBorders>
              <w:top w:val="nil"/>
              <w:left w:val="single" w:color="auto" w:sz="4" w:space="0"/>
              <w:bottom w:val="single" w:color="auto" w:sz="4" w:space="0"/>
              <w:right w:val="single" w:color="auto" w:sz="4" w:space="0"/>
            </w:tcBorders>
            <w:noWrap/>
            <w:vAlign w:val="center"/>
          </w:tcPr>
          <w:p w14:paraId="4BE0243F">
            <w:pPr>
              <w:jc w:val="center"/>
              <w:rPr>
                <w:rFonts w:ascii="宋体" w:hAnsi="宋体" w:eastAsia="宋体" w:cs="宋体"/>
                <w:color w:val="auto"/>
                <w:sz w:val="24"/>
                <w:szCs w:val="24"/>
              </w:rPr>
            </w:pPr>
            <w:r>
              <w:rPr>
                <w:rFonts w:hint="eastAsia" w:ascii="宋体" w:hAnsi="宋体" w:eastAsia="宋体" w:cs="宋体"/>
                <w:color w:val="auto"/>
                <w:sz w:val="24"/>
                <w:szCs w:val="24"/>
              </w:rPr>
              <w:t>20</w:t>
            </w:r>
          </w:p>
        </w:tc>
        <w:tc>
          <w:tcPr>
            <w:tcW w:w="1275" w:type="dxa"/>
            <w:tcBorders>
              <w:top w:val="nil"/>
              <w:left w:val="single" w:color="auto" w:sz="4" w:space="0"/>
              <w:bottom w:val="single" w:color="auto" w:sz="4" w:space="0"/>
              <w:right w:val="single" w:color="auto" w:sz="4" w:space="0"/>
            </w:tcBorders>
            <w:noWrap/>
            <w:vAlign w:val="center"/>
          </w:tcPr>
          <w:p w14:paraId="11395BA1">
            <w:pPr>
              <w:widowControl/>
              <w:jc w:val="left"/>
              <w:textAlignment w:val="center"/>
              <w:rPr>
                <w:rFonts w:ascii="宋体" w:hAnsi="宋体" w:eastAsia="宋体" w:cs="宋体"/>
                <w:color w:val="auto"/>
                <w:sz w:val="21"/>
                <w:szCs w:val="21"/>
                <w:lang w:bidi="ar"/>
              </w:rPr>
            </w:pPr>
            <w:r>
              <w:rPr>
                <w:rFonts w:hint="eastAsia"/>
                <w:color w:val="auto"/>
                <w:sz w:val="21"/>
                <w:szCs w:val="21"/>
              </w:rPr>
              <w:t>音箱线</w:t>
            </w:r>
          </w:p>
        </w:tc>
        <w:tc>
          <w:tcPr>
            <w:tcW w:w="6315" w:type="dxa"/>
            <w:tcBorders>
              <w:top w:val="nil"/>
              <w:left w:val="nil"/>
              <w:bottom w:val="single" w:color="auto" w:sz="4" w:space="0"/>
              <w:right w:val="single" w:color="auto" w:sz="4" w:space="0"/>
            </w:tcBorders>
            <w:noWrap/>
            <w:vAlign w:val="center"/>
          </w:tcPr>
          <w:p w14:paraId="33C60AA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1.材料：优质，纯铜，带护套。</w:t>
            </w:r>
          </w:p>
          <w:p w14:paraId="1DD7510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2.规格：≥2*1.5平方音箱线。</w:t>
            </w:r>
          </w:p>
        </w:tc>
        <w:tc>
          <w:tcPr>
            <w:tcW w:w="570" w:type="dxa"/>
            <w:tcBorders>
              <w:top w:val="nil"/>
              <w:left w:val="nil"/>
              <w:bottom w:val="single" w:color="auto" w:sz="4" w:space="0"/>
              <w:right w:val="single" w:color="auto" w:sz="4" w:space="0"/>
            </w:tcBorders>
            <w:vAlign w:val="center"/>
          </w:tcPr>
          <w:p w14:paraId="17CE804F">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米</w:t>
            </w:r>
          </w:p>
        </w:tc>
        <w:tc>
          <w:tcPr>
            <w:tcW w:w="448" w:type="dxa"/>
            <w:tcBorders>
              <w:top w:val="nil"/>
              <w:left w:val="nil"/>
              <w:bottom w:val="single" w:color="auto" w:sz="4" w:space="0"/>
              <w:right w:val="single" w:color="auto" w:sz="4" w:space="0"/>
            </w:tcBorders>
            <w:vAlign w:val="center"/>
          </w:tcPr>
          <w:p w14:paraId="6A0A834F">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50</w:t>
            </w:r>
          </w:p>
        </w:tc>
        <w:tc>
          <w:tcPr>
            <w:tcW w:w="731" w:type="dxa"/>
            <w:tcBorders>
              <w:top w:val="nil"/>
              <w:left w:val="nil"/>
              <w:bottom w:val="single" w:color="auto" w:sz="4" w:space="0"/>
              <w:right w:val="single" w:color="auto" w:sz="4" w:space="0"/>
            </w:tcBorders>
            <w:noWrap/>
            <w:vAlign w:val="center"/>
          </w:tcPr>
          <w:p w14:paraId="580A16EA">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741CEA28">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0DF8B3AC">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79BEB5C2">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4C3F41D2">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5DF1AF9D">
            <w:pPr>
              <w:jc w:val="center"/>
              <w:rPr>
                <w:color w:val="auto"/>
              </w:rPr>
            </w:pPr>
          </w:p>
        </w:tc>
      </w:tr>
      <w:tr w14:paraId="3F31389C">
        <w:tblPrEx>
          <w:tblCellMar>
            <w:top w:w="0" w:type="dxa"/>
            <w:left w:w="28" w:type="dxa"/>
            <w:bottom w:w="0" w:type="dxa"/>
            <w:right w:w="28" w:type="dxa"/>
          </w:tblCellMar>
        </w:tblPrEx>
        <w:trPr>
          <w:trHeight w:val="890" w:hRule="atLeast"/>
        </w:trPr>
        <w:tc>
          <w:tcPr>
            <w:tcW w:w="607" w:type="dxa"/>
            <w:tcBorders>
              <w:top w:val="nil"/>
              <w:left w:val="single" w:color="auto" w:sz="4" w:space="0"/>
              <w:bottom w:val="single" w:color="auto" w:sz="4" w:space="0"/>
              <w:right w:val="single" w:color="auto" w:sz="4" w:space="0"/>
            </w:tcBorders>
            <w:noWrap/>
            <w:vAlign w:val="center"/>
          </w:tcPr>
          <w:p w14:paraId="6B1DDC96">
            <w:pPr>
              <w:jc w:val="center"/>
              <w:rPr>
                <w:rFonts w:ascii="宋体" w:hAnsi="宋体" w:eastAsia="宋体" w:cs="宋体"/>
                <w:color w:val="auto"/>
                <w:sz w:val="24"/>
                <w:szCs w:val="24"/>
              </w:rPr>
            </w:pPr>
            <w:r>
              <w:rPr>
                <w:rFonts w:hint="eastAsia" w:ascii="宋体" w:hAnsi="宋体" w:eastAsia="宋体" w:cs="宋体"/>
                <w:color w:val="auto"/>
                <w:sz w:val="24"/>
                <w:szCs w:val="24"/>
              </w:rPr>
              <w:t>21</w:t>
            </w:r>
          </w:p>
        </w:tc>
        <w:tc>
          <w:tcPr>
            <w:tcW w:w="1275" w:type="dxa"/>
            <w:tcBorders>
              <w:top w:val="nil"/>
              <w:left w:val="single" w:color="auto" w:sz="4" w:space="0"/>
              <w:bottom w:val="single" w:color="auto" w:sz="4" w:space="0"/>
              <w:right w:val="single" w:color="auto" w:sz="4" w:space="0"/>
            </w:tcBorders>
            <w:noWrap/>
            <w:vAlign w:val="center"/>
          </w:tcPr>
          <w:p w14:paraId="46B82247">
            <w:pPr>
              <w:widowControl/>
              <w:jc w:val="left"/>
              <w:textAlignment w:val="center"/>
              <w:rPr>
                <w:rFonts w:ascii="宋体" w:hAnsi="宋体" w:eastAsia="宋体" w:cs="宋体"/>
                <w:color w:val="auto"/>
                <w:sz w:val="21"/>
                <w:szCs w:val="21"/>
                <w:lang w:bidi="ar"/>
              </w:rPr>
            </w:pPr>
            <w:r>
              <w:rPr>
                <w:rFonts w:hint="eastAsia"/>
                <w:color w:val="auto"/>
                <w:sz w:val="21"/>
                <w:szCs w:val="21"/>
              </w:rPr>
              <w:t>音频线</w:t>
            </w:r>
          </w:p>
        </w:tc>
        <w:tc>
          <w:tcPr>
            <w:tcW w:w="6315" w:type="dxa"/>
            <w:tcBorders>
              <w:top w:val="nil"/>
              <w:left w:val="nil"/>
              <w:bottom w:val="single" w:color="auto" w:sz="4" w:space="0"/>
              <w:right w:val="single" w:color="auto" w:sz="4" w:space="0"/>
            </w:tcBorders>
            <w:noWrap/>
            <w:vAlign w:val="center"/>
          </w:tcPr>
          <w:p w14:paraId="70B68BF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1.材料：优质，带屏蔽。</w:t>
            </w:r>
          </w:p>
          <w:p w14:paraId="469B87F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2.规格：≥2*0.5平方音频线。</w:t>
            </w:r>
          </w:p>
        </w:tc>
        <w:tc>
          <w:tcPr>
            <w:tcW w:w="570" w:type="dxa"/>
            <w:tcBorders>
              <w:top w:val="nil"/>
              <w:left w:val="nil"/>
              <w:bottom w:val="single" w:color="auto" w:sz="4" w:space="0"/>
              <w:right w:val="single" w:color="auto" w:sz="4" w:space="0"/>
            </w:tcBorders>
            <w:vAlign w:val="center"/>
          </w:tcPr>
          <w:p w14:paraId="19A265A2">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米</w:t>
            </w:r>
          </w:p>
        </w:tc>
        <w:tc>
          <w:tcPr>
            <w:tcW w:w="448" w:type="dxa"/>
            <w:tcBorders>
              <w:top w:val="nil"/>
              <w:left w:val="nil"/>
              <w:bottom w:val="single" w:color="auto" w:sz="4" w:space="0"/>
              <w:right w:val="single" w:color="auto" w:sz="4" w:space="0"/>
            </w:tcBorders>
            <w:vAlign w:val="center"/>
          </w:tcPr>
          <w:p w14:paraId="16B24C1D">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50</w:t>
            </w:r>
          </w:p>
        </w:tc>
        <w:tc>
          <w:tcPr>
            <w:tcW w:w="731" w:type="dxa"/>
            <w:tcBorders>
              <w:top w:val="nil"/>
              <w:left w:val="nil"/>
              <w:bottom w:val="single" w:color="auto" w:sz="4" w:space="0"/>
              <w:right w:val="single" w:color="auto" w:sz="4" w:space="0"/>
            </w:tcBorders>
            <w:noWrap/>
            <w:vAlign w:val="center"/>
          </w:tcPr>
          <w:p w14:paraId="3698E2A0">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5DFB3FDD">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1A4243C8">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168C790F">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388E4A7B">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3FA979A2">
            <w:pPr>
              <w:jc w:val="center"/>
              <w:rPr>
                <w:color w:val="auto"/>
              </w:rPr>
            </w:pPr>
          </w:p>
        </w:tc>
      </w:tr>
      <w:tr w14:paraId="46613F75">
        <w:tblPrEx>
          <w:tblCellMar>
            <w:top w:w="0" w:type="dxa"/>
            <w:left w:w="28" w:type="dxa"/>
            <w:bottom w:w="0" w:type="dxa"/>
            <w:right w:w="28" w:type="dxa"/>
          </w:tblCellMar>
        </w:tblPrEx>
        <w:trPr>
          <w:trHeight w:val="1257" w:hRule="atLeast"/>
        </w:trPr>
        <w:tc>
          <w:tcPr>
            <w:tcW w:w="607" w:type="dxa"/>
            <w:tcBorders>
              <w:top w:val="nil"/>
              <w:left w:val="single" w:color="auto" w:sz="4" w:space="0"/>
              <w:bottom w:val="single" w:color="auto" w:sz="4" w:space="0"/>
              <w:right w:val="single" w:color="auto" w:sz="4" w:space="0"/>
            </w:tcBorders>
            <w:noWrap/>
            <w:vAlign w:val="center"/>
          </w:tcPr>
          <w:p w14:paraId="3D5E6A09">
            <w:pPr>
              <w:jc w:val="center"/>
              <w:rPr>
                <w:rFonts w:ascii="宋体" w:hAnsi="宋体" w:eastAsia="宋体" w:cs="宋体"/>
                <w:color w:val="auto"/>
                <w:sz w:val="24"/>
                <w:szCs w:val="24"/>
              </w:rPr>
            </w:pPr>
            <w:r>
              <w:rPr>
                <w:rFonts w:hint="eastAsia" w:ascii="宋体" w:hAnsi="宋体" w:eastAsia="宋体" w:cs="宋体"/>
                <w:color w:val="auto"/>
                <w:sz w:val="24"/>
                <w:szCs w:val="24"/>
              </w:rPr>
              <w:t>22</w:t>
            </w:r>
          </w:p>
        </w:tc>
        <w:tc>
          <w:tcPr>
            <w:tcW w:w="1275" w:type="dxa"/>
            <w:tcBorders>
              <w:top w:val="nil"/>
              <w:left w:val="single" w:color="auto" w:sz="4" w:space="0"/>
              <w:bottom w:val="single" w:color="auto" w:sz="4" w:space="0"/>
              <w:right w:val="single" w:color="auto" w:sz="4" w:space="0"/>
            </w:tcBorders>
            <w:noWrap/>
            <w:vAlign w:val="center"/>
          </w:tcPr>
          <w:p w14:paraId="175263CF">
            <w:pPr>
              <w:widowControl/>
              <w:jc w:val="left"/>
              <w:textAlignment w:val="center"/>
              <w:rPr>
                <w:rFonts w:ascii="宋体" w:hAnsi="宋体" w:eastAsia="宋体" w:cs="宋体"/>
                <w:color w:val="auto"/>
                <w:sz w:val="21"/>
                <w:szCs w:val="21"/>
                <w:lang w:bidi="ar"/>
              </w:rPr>
            </w:pPr>
            <w:r>
              <w:rPr>
                <w:rFonts w:hint="eastAsia"/>
                <w:color w:val="auto"/>
                <w:sz w:val="21"/>
                <w:szCs w:val="21"/>
              </w:rPr>
              <w:t>羽毛球网</w:t>
            </w:r>
          </w:p>
        </w:tc>
        <w:tc>
          <w:tcPr>
            <w:tcW w:w="6315" w:type="dxa"/>
            <w:tcBorders>
              <w:top w:val="nil"/>
              <w:left w:val="nil"/>
              <w:bottom w:val="single" w:color="auto" w:sz="4" w:space="0"/>
              <w:right w:val="single" w:color="auto" w:sz="4" w:space="0"/>
            </w:tcBorders>
            <w:noWrap/>
            <w:vAlign w:val="center"/>
          </w:tcPr>
          <w:p w14:paraId="746E416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▲1.尼龙材质。</w:t>
            </w:r>
          </w:p>
          <w:p w14:paraId="49650C8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▲2.四面包边配钢丝。</w:t>
            </w:r>
          </w:p>
          <w:p w14:paraId="710D4CC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▲3.规格：≥6.1m×0.76m(±0.02m)</w:t>
            </w:r>
          </w:p>
          <w:p w14:paraId="53CE95B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4.孔径：网眼为 15-20mm 的方孔</w:t>
            </w:r>
          </w:p>
        </w:tc>
        <w:tc>
          <w:tcPr>
            <w:tcW w:w="570" w:type="dxa"/>
            <w:tcBorders>
              <w:top w:val="nil"/>
              <w:left w:val="nil"/>
              <w:bottom w:val="single" w:color="auto" w:sz="4" w:space="0"/>
              <w:right w:val="single" w:color="auto" w:sz="4" w:space="0"/>
            </w:tcBorders>
            <w:vAlign w:val="center"/>
          </w:tcPr>
          <w:p w14:paraId="218CD407">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张</w:t>
            </w:r>
          </w:p>
        </w:tc>
        <w:tc>
          <w:tcPr>
            <w:tcW w:w="448" w:type="dxa"/>
            <w:tcBorders>
              <w:top w:val="nil"/>
              <w:left w:val="nil"/>
              <w:bottom w:val="single" w:color="auto" w:sz="4" w:space="0"/>
              <w:right w:val="single" w:color="auto" w:sz="4" w:space="0"/>
            </w:tcBorders>
            <w:vAlign w:val="center"/>
          </w:tcPr>
          <w:p w14:paraId="6AB6FD89">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30</w:t>
            </w:r>
          </w:p>
        </w:tc>
        <w:tc>
          <w:tcPr>
            <w:tcW w:w="731" w:type="dxa"/>
            <w:tcBorders>
              <w:top w:val="nil"/>
              <w:left w:val="nil"/>
              <w:bottom w:val="single" w:color="auto" w:sz="4" w:space="0"/>
              <w:right w:val="single" w:color="auto" w:sz="4" w:space="0"/>
            </w:tcBorders>
            <w:noWrap/>
            <w:vAlign w:val="center"/>
          </w:tcPr>
          <w:p w14:paraId="5AC7E7A5">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5DFEEDC2">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38FEA794">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0D5744BC">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33B0E731">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3A20C234">
            <w:pPr>
              <w:jc w:val="center"/>
              <w:rPr>
                <w:color w:val="auto"/>
              </w:rPr>
            </w:pPr>
          </w:p>
        </w:tc>
      </w:tr>
      <w:tr w14:paraId="4708DC2E">
        <w:tblPrEx>
          <w:tblCellMar>
            <w:top w:w="0" w:type="dxa"/>
            <w:left w:w="28" w:type="dxa"/>
            <w:bottom w:w="0" w:type="dxa"/>
            <w:right w:w="28" w:type="dxa"/>
          </w:tblCellMar>
        </w:tblPrEx>
        <w:trPr>
          <w:trHeight w:val="1655" w:hRule="atLeast"/>
        </w:trPr>
        <w:tc>
          <w:tcPr>
            <w:tcW w:w="607" w:type="dxa"/>
            <w:tcBorders>
              <w:top w:val="nil"/>
              <w:left w:val="single" w:color="auto" w:sz="4" w:space="0"/>
              <w:bottom w:val="single" w:color="auto" w:sz="4" w:space="0"/>
              <w:right w:val="single" w:color="auto" w:sz="4" w:space="0"/>
            </w:tcBorders>
            <w:noWrap/>
            <w:vAlign w:val="center"/>
          </w:tcPr>
          <w:p w14:paraId="14A23DCD">
            <w:pPr>
              <w:jc w:val="center"/>
              <w:rPr>
                <w:rFonts w:ascii="宋体" w:hAnsi="宋体" w:eastAsia="宋体" w:cs="宋体"/>
                <w:color w:val="auto"/>
                <w:sz w:val="24"/>
                <w:szCs w:val="24"/>
              </w:rPr>
            </w:pPr>
            <w:r>
              <w:rPr>
                <w:rFonts w:hint="eastAsia" w:ascii="宋体" w:hAnsi="宋体" w:eastAsia="宋体" w:cs="宋体"/>
                <w:color w:val="auto"/>
                <w:sz w:val="24"/>
                <w:szCs w:val="24"/>
              </w:rPr>
              <w:t>23</w:t>
            </w:r>
          </w:p>
        </w:tc>
        <w:tc>
          <w:tcPr>
            <w:tcW w:w="1275" w:type="dxa"/>
            <w:tcBorders>
              <w:top w:val="nil"/>
              <w:left w:val="single" w:color="auto" w:sz="4" w:space="0"/>
              <w:bottom w:val="single" w:color="auto" w:sz="4" w:space="0"/>
              <w:right w:val="single" w:color="auto" w:sz="4" w:space="0"/>
            </w:tcBorders>
            <w:noWrap/>
            <w:vAlign w:val="center"/>
          </w:tcPr>
          <w:p w14:paraId="49A4CE9A">
            <w:pPr>
              <w:widowControl/>
              <w:jc w:val="left"/>
              <w:textAlignment w:val="center"/>
              <w:rPr>
                <w:rFonts w:ascii="宋体" w:hAnsi="宋体" w:eastAsia="宋体" w:cs="宋体"/>
                <w:color w:val="auto"/>
                <w:sz w:val="21"/>
                <w:szCs w:val="21"/>
                <w:lang w:bidi="ar"/>
              </w:rPr>
            </w:pPr>
            <w:r>
              <w:rPr>
                <w:rFonts w:hint="eastAsia"/>
                <w:color w:val="auto"/>
                <w:sz w:val="21"/>
                <w:szCs w:val="21"/>
              </w:rPr>
              <w:t>排球网</w:t>
            </w:r>
          </w:p>
        </w:tc>
        <w:tc>
          <w:tcPr>
            <w:tcW w:w="6315" w:type="dxa"/>
            <w:tcBorders>
              <w:top w:val="nil"/>
              <w:left w:val="nil"/>
              <w:bottom w:val="single" w:color="auto" w:sz="4" w:space="0"/>
              <w:right w:val="single" w:color="auto" w:sz="4" w:space="0"/>
            </w:tcBorders>
            <w:noWrap/>
            <w:vAlign w:val="center"/>
          </w:tcPr>
          <w:p w14:paraId="27250C1E">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1.规格：≥9.5m*1m(±0.02m)。配插杆标志带</w:t>
            </w:r>
          </w:p>
          <w:p w14:paraId="47A301B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▲2.材质：聚乙烯编制有结网四面包边配钢丝绳</w:t>
            </w:r>
          </w:p>
          <w:p w14:paraId="531B3A5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3.网孔大小：10cm×10cm（正方形）</w:t>
            </w:r>
          </w:p>
          <w:p w14:paraId="027ED16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4.边带：上下各有5cm宽的白色边带</w:t>
            </w:r>
          </w:p>
        </w:tc>
        <w:tc>
          <w:tcPr>
            <w:tcW w:w="570" w:type="dxa"/>
            <w:tcBorders>
              <w:top w:val="nil"/>
              <w:left w:val="nil"/>
              <w:bottom w:val="single" w:color="auto" w:sz="4" w:space="0"/>
              <w:right w:val="single" w:color="auto" w:sz="4" w:space="0"/>
            </w:tcBorders>
            <w:vAlign w:val="center"/>
          </w:tcPr>
          <w:p w14:paraId="511A5818">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张</w:t>
            </w:r>
          </w:p>
        </w:tc>
        <w:tc>
          <w:tcPr>
            <w:tcW w:w="448" w:type="dxa"/>
            <w:tcBorders>
              <w:top w:val="nil"/>
              <w:left w:val="nil"/>
              <w:bottom w:val="single" w:color="auto" w:sz="4" w:space="0"/>
              <w:right w:val="single" w:color="auto" w:sz="4" w:space="0"/>
            </w:tcBorders>
            <w:vAlign w:val="center"/>
          </w:tcPr>
          <w:p w14:paraId="014F0980">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10</w:t>
            </w:r>
          </w:p>
        </w:tc>
        <w:tc>
          <w:tcPr>
            <w:tcW w:w="731" w:type="dxa"/>
            <w:tcBorders>
              <w:top w:val="nil"/>
              <w:left w:val="nil"/>
              <w:bottom w:val="single" w:color="auto" w:sz="4" w:space="0"/>
              <w:right w:val="single" w:color="auto" w:sz="4" w:space="0"/>
            </w:tcBorders>
            <w:noWrap/>
            <w:vAlign w:val="center"/>
          </w:tcPr>
          <w:p w14:paraId="3A1C976A">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5AE3EFEC">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2416B708">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382437FD">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5798F108">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5D727CCD">
            <w:pPr>
              <w:jc w:val="center"/>
              <w:rPr>
                <w:color w:val="auto"/>
              </w:rPr>
            </w:pPr>
          </w:p>
        </w:tc>
      </w:tr>
      <w:tr w14:paraId="58F6DC17">
        <w:tblPrEx>
          <w:tblCellMar>
            <w:top w:w="0" w:type="dxa"/>
            <w:left w:w="28" w:type="dxa"/>
            <w:bottom w:w="0" w:type="dxa"/>
            <w:right w:w="28" w:type="dxa"/>
          </w:tblCellMar>
        </w:tblPrEx>
        <w:trPr>
          <w:trHeight w:val="1404" w:hRule="atLeast"/>
        </w:trPr>
        <w:tc>
          <w:tcPr>
            <w:tcW w:w="607" w:type="dxa"/>
            <w:tcBorders>
              <w:top w:val="nil"/>
              <w:left w:val="single" w:color="auto" w:sz="4" w:space="0"/>
              <w:bottom w:val="single" w:color="auto" w:sz="4" w:space="0"/>
              <w:right w:val="single" w:color="auto" w:sz="4" w:space="0"/>
            </w:tcBorders>
            <w:noWrap/>
            <w:vAlign w:val="center"/>
          </w:tcPr>
          <w:p w14:paraId="00E0CA55">
            <w:pPr>
              <w:jc w:val="center"/>
              <w:rPr>
                <w:rFonts w:ascii="宋体" w:hAnsi="宋体" w:eastAsia="宋体" w:cs="宋体"/>
                <w:color w:val="auto"/>
                <w:sz w:val="24"/>
                <w:szCs w:val="24"/>
              </w:rPr>
            </w:pPr>
            <w:r>
              <w:rPr>
                <w:rFonts w:hint="eastAsia" w:ascii="宋体" w:hAnsi="宋体" w:eastAsia="宋体" w:cs="宋体"/>
                <w:color w:val="auto"/>
                <w:sz w:val="24"/>
                <w:szCs w:val="24"/>
              </w:rPr>
              <w:t>24</w:t>
            </w:r>
          </w:p>
        </w:tc>
        <w:tc>
          <w:tcPr>
            <w:tcW w:w="1275" w:type="dxa"/>
            <w:tcBorders>
              <w:top w:val="nil"/>
              <w:left w:val="single" w:color="auto" w:sz="4" w:space="0"/>
              <w:bottom w:val="single" w:color="auto" w:sz="4" w:space="0"/>
              <w:right w:val="single" w:color="auto" w:sz="4" w:space="0"/>
            </w:tcBorders>
            <w:noWrap/>
            <w:vAlign w:val="center"/>
          </w:tcPr>
          <w:p w14:paraId="7A7E27CB">
            <w:pPr>
              <w:widowControl/>
              <w:jc w:val="left"/>
              <w:textAlignment w:val="center"/>
              <w:rPr>
                <w:rFonts w:ascii="宋体" w:hAnsi="宋体" w:eastAsia="宋体" w:cs="宋体"/>
                <w:color w:val="auto"/>
                <w:sz w:val="21"/>
                <w:szCs w:val="21"/>
                <w:lang w:bidi="ar"/>
              </w:rPr>
            </w:pPr>
            <w:r>
              <w:rPr>
                <w:rFonts w:hint="eastAsia"/>
                <w:color w:val="auto"/>
                <w:sz w:val="21"/>
                <w:szCs w:val="21"/>
              </w:rPr>
              <w:t>移动式羽毛球柱</w:t>
            </w:r>
          </w:p>
        </w:tc>
        <w:tc>
          <w:tcPr>
            <w:tcW w:w="6315" w:type="dxa"/>
            <w:tcBorders>
              <w:top w:val="nil"/>
              <w:left w:val="nil"/>
              <w:bottom w:val="single" w:color="auto" w:sz="4" w:space="0"/>
              <w:right w:val="single" w:color="auto" w:sz="4" w:space="0"/>
            </w:tcBorders>
            <w:noWrap/>
            <w:vAlign w:val="center"/>
          </w:tcPr>
          <w:p w14:paraId="27F2033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▲1.立柱：钢管，直径≥42mm，壁厚≥1.3mm。</w:t>
            </w:r>
          </w:p>
          <w:p w14:paraId="4E1DB7B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▲2.铸铁底座，箱尺寸≥30*25*30cm，总长≥55cm，</w:t>
            </w:r>
          </w:p>
          <w:p w14:paraId="77A4ED7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▲3.材质：钢材立柱，带轮可移动，带有紧线器。</w:t>
            </w:r>
          </w:p>
        </w:tc>
        <w:tc>
          <w:tcPr>
            <w:tcW w:w="570" w:type="dxa"/>
            <w:tcBorders>
              <w:top w:val="nil"/>
              <w:left w:val="nil"/>
              <w:bottom w:val="single" w:color="auto" w:sz="4" w:space="0"/>
              <w:right w:val="single" w:color="auto" w:sz="4" w:space="0"/>
            </w:tcBorders>
            <w:vAlign w:val="center"/>
          </w:tcPr>
          <w:p w14:paraId="4C5AF6C0">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副</w:t>
            </w:r>
          </w:p>
        </w:tc>
        <w:tc>
          <w:tcPr>
            <w:tcW w:w="448" w:type="dxa"/>
            <w:tcBorders>
              <w:top w:val="nil"/>
              <w:left w:val="nil"/>
              <w:bottom w:val="single" w:color="auto" w:sz="4" w:space="0"/>
              <w:right w:val="single" w:color="auto" w:sz="4" w:space="0"/>
            </w:tcBorders>
            <w:vAlign w:val="center"/>
          </w:tcPr>
          <w:p w14:paraId="5DC6B67B">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15</w:t>
            </w:r>
          </w:p>
        </w:tc>
        <w:tc>
          <w:tcPr>
            <w:tcW w:w="731" w:type="dxa"/>
            <w:tcBorders>
              <w:top w:val="nil"/>
              <w:left w:val="nil"/>
              <w:bottom w:val="single" w:color="auto" w:sz="4" w:space="0"/>
              <w:right w:val="single" w:color="auto" w:sz="4" w:space="0"/>
            </w:tcBorders>
            <w:noWrap/>
            <w:vAlign w:val="center"/>
          </w:tcPr>
          <w:p w14:paraId="214DE3E1">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5F0734C8">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5DDB1C3E">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6E99EA70">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4E9066E0">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5845339F">
            <w:pPr>
              <w:jc w:val="center"/>
              <w:rPr>
                <w:color w:val="auto"/>
              </w:rPr>
            </w:pPr>
          </w:p>
        </w:tc>
      </w:tr>
      <w:tr w14:paraId="2F729266">
        <w:tblPrEx>
          <w:tblCellMar>
            <w:top w:w="0" w:type="dxa"/>
            <w:left w:w="28" w:type="dxa"/>
            <w:bottom w:w="0" w:type="dxa"/>
            <w:right w:w="28" w:type="dxa"/>
          </w:tblCellMar>
        </w:tblPrEx>
        <w:trPr>
          <w:trHeight w:val="945" w:hRule="atLeast"/>
        </w:trPr>
        <w:tc>
          <w:tcPr>
            <w:tcW w:w="607" w:type="dxa"/>
            <w:tcBorders>
              <w:top w:val="nil"/>
              <w:left w:val="single" w:color="auto" w:sz="4" w:space="0"/>
              <w:bottom w:val="single" w:color="auto" w:sz="4" w:space="0"/>
              <w:right w:val="single" w:color="auto" w:sz="4" w:space="0"/>
            </w:tcBorders>
            <w:noWrap/>
            <w:vAlign w:val="center"/>
          </w:tcPr>
          <w:p w14:paraId="646B926C">
            <w:pPr>
              <w:jc w:val="center"/>
              <w:rPr>
                <w:rFonts w:ascii="宋体" w:hAnsi="宋体" w:eastAsia="宋体" w:cs="宋体"/>
                <w:color w:val="auto"/>
                <w:sz w:val="24"/>
                <w:szCs w:val="24"/>
              </w:rPr>
            </w:pPr>
            <w:r>
              <w:rPr>
                <w:rFonts w:hint="eastAsia" w:ascii="宋体" w:hAnsi="宋体" w:eastAsia="宋体" w:cs="宋体"/>
                <w:color w:val="auto"/>
                <w:sz w:val="24"/>
                <w:szCs w:val="24"/>
              </w:rPr>
              <w:t>25</w:t>
            </w:r>
          </w:p>
        </w:tc>
        <w:tc>
          <w:tcPr>
            <w:tcW w:w="1275" w:type="dxa"/>
            <w:tcBorders>
              <w:top w:val="nil"/>
              <w:left w:val="single" w:color="auto" w:sz="4" w:space="0"/>
              <w:bottom w:val="single" w:color="auto" w:sz="4" w:space="0"/>
              <w:right w:val="single" w:color="auto" w:sz="4" w:space="0"/>
            </w:tcBorders>
            <w:noWrap/>
            <w:vAlign w:val="center"/>
          </w:tcPr>
          <w:p w14:paraId="69D7F966">
            <w:pPr>
              <w:widowControl/>
              <w:jc w:val="left"/>
              <w:textAlignment w:val="center"/>
              <w:rPr>
                <w:rFonts w:ascii="宋体" w:hAnsi="宋体" w:eastAsia="宋体" w:cs="宋体"/>
                <w:color w:val="auto"/>
                <w:sz w:val="21"/>
                <w:szCs w:val="21"/>
                <w:lang w:bidi="ar"/>
              </w:rPr>
            </w:pPr>
            <w:r>
              <w:rPr>
                <w:rFonts w:hint="eastAsia"/>
                <w:color w:val="auto"/>
                <w:sz w:val="21"/>
                <w:szCs w:val="21"/>
              </w:rPr>
              <w:t>休息椅子带靠背</w:t>
            </w:r>
          </w:p>
        </w:tc>
        <w:tc>
          <w:tcPr>
            <w:tcW w:w="6315" w:type="dxa"/>
            <w:tcBorders>
              <w:top w:val="nil"/>
              <w:left w:val="nil"/>
              <w:bottom w:val="single" w:color="auto" w:sz="4" w:space="0"/>
              <w:right w:val="single" w:color="auto" w:sz="4" w:space="0"/>
            </w:tcBorders>
            <w:noWrap/>
            <w:vAlign w:val="center"/>
          </w:tcPr>
          <w:p w14:paraId="3000F1A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▲1.尺寸：≥180cm*43cm*38cm。靠背高≥76cm。</w:t>
            </w:r>
          </w:p>
          <w:p w14:paraId="6D7C079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▲2.坐面材质：防腐木。</w:t>
            </w:r>
          </w:p>
        </w:tc>
        <w:tc>
          <w:tcPr>
            <w:tcW w:w="570" w:type="dxa"/>
            <w:tcBorders>
              <w:top w:val="nil"/>
              <w:left w:val="nil"/>
              <w:bottom w:val="single" w:color="auto" w:sz="4" w:space="0"/>
              <w:right w:val="single" w:color="auto" w:sz="4" w:space="0"/>
            </w:tcBorders>
            <w:vAlign w:val="center"/>
          </w:tcPr>
          <w:p w14:paraId="4BC8DBD0">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张</w:t>
            </w:r>
          </w:p>
        </w:tc>
        <w:tc>
          <w:tcPr>
            <w:tcW w:w="448" w:type="dxa"/>
            <w:tcBorders>
              <w:top w:val="nil"/>
              <w:left w:val="nil"/>
              <w:bottom w:val="single" w:color="auto" w:sz="4" w:space="0"/>
              <w:right w:val="single" w:color="auto" w:sz="4" w:space="0"/>
            </w:tcBorders>
            <w:vAlign w:val="center"/>
          </w:tcPr>
          <w:p w14:paraId="3B862D44">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30</w:t>
            </w:r>
          </w:p>
        </w:tc>
        <w:tc>
          <w:tcPr>
            <w:tcW w:w="731" w:type="dxa"/>
            <w:tcBorders>
              <w:top w:val="nil"/>
              <w:left w:val="nil"/>
              <w:bottom w:val="single" w:color="auto" w:sz="4" w:space="0"/>
              <w:right w:val="single" w:color="auto" w:sz="4" w:space="0"/>
            </w:tcBorders>
            <w:noWrap/>
            <w:vAlign w:val="center"/>
          </w:tcPr>
          <w:p w14:paraId="2C5739E4">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16F0D205">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7FD82FFC">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4E5B0970">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17847B9C">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10FAC25B">
            <w:pPr>
              <w:jc w:val="center"/>
              <w:rPr>
                <w:color w:val="auto"/>
              </w:rPr>
            </w:pPr>
          </w:p>
        </w:tc>
      </w:tr>
      <w:tr w14:paraId="1052FE8A">
        <w:tblPrEx>
          <w:tblCellMar>
            <w:top w:w="0" w:type="dxa"/>
            <w:left w:w="28" w:type="dxa"/>
            <w:bottom w:w="0" w:type="dxa"/>
            <w:right w:w="28" w:type="dxa"/>
          </w:tblCellMar>
        </w:tblPrEx>
        <w:trPr>
          <w:trHeight w:val="1569" w:hRule="atLeast"/>
        </w:trPr>
        <w:tc>
          <w:tcPr>
            <w:tcW w:w="607" w:type="dxa"/>
            <w:tcBorders>
              <w:top w:val="nil"/>
              <w:left w:val="single" w:color="auto" w:sz="4" w:space="0"/>
              <w:bottom w:val="single" w:color="auto" w:sz="4" w:space="0"/>
              <w:right w:val="single" w:color="auto" w:sz="4" w:space="0"/>
            </w:tcBorders>
            <w:noWrap/>
            <w:vAlign w:val="center"/>
          </w:tcPr>
          <w:p w14:paraId="520A81FD">
            <w:pPr>
              <w:jc w:val="center"/>
              <w:rPr>
                <w:rFonts w:ascii="宋体" w:hAnsi="宋体" w:eastAsia="宋体" w:cs="宋体"/>
                <w:color w:val="auto"/>
                <w:sz w:val="24"/>
                <w:szCs w:val="24"/>
              </w:rPr>
            </w:pPr>
            <w:r>
              <w:rPr>
                <w:rFonts w:hint="eastAsia" w:ascii="宋体" w:hAnsi="宋体" w:eastAsia="宋体" w:cs="宋体"/>
                <w:color w:val="auto"/>
                <w:sz w:val="24"/>
                <w:szCs w:val="24"/>
              </w:rPr>
              <w:t>26</w:t>
            </w:r>
          </w:p>
        </w:tc>
        <w:tc>
          <w:tcPr>
            <w:tcW w:w="1275" w:type="dxa"/>
            <w:tcBorders>
              <w:top w:val="nil"/>
              <w:left w:val="single" w:color="auto" w:sz="4" w:space="0"/>
              <w:bottom w:val="single" w:color="auto" w:sz="4" w:space="0"/>
              <w:right w:val="single" w:color="auto" w:sz="4" w:space="0"/>
            </w:tcBorders>
            <w:noWrap/>
            <w:vAlign w:val="center"/>
          </w:tcPr>
          <w:p w14:paraId="640A0F3F">
            <w:pPr>
              <w:widowControl/>
              <w:jc w:val="left"/>
              <w:textAlignment w:val="center"/>
              <w:rPr>
                <w:rFonts w:ascii="宋体" w:hAnsi="宋体" w:eastAsia="宋体" w:cs="宋体"/>
                <w:color w:val="auto"/>
                <w:sz w:val="21"/>
                <w:szCs w:val="21"/>
                <w:lang w:bidi="ar"/>
              </w:rPr>
            </w:pPr>
            <w:r>
              <w:rPr>
                <w:rFonts w:hint="eastAsia"/>
                <w:color w:val="auto"/>
                <w:sz w:val="21"/>
                <w:szCs w:val="21"/>
              </w:rPr>
              <w:t>羽毛球</w:t>
            </w:r>
          </w:p>
        </w:tc>
        <w:tc>
          <w:tcPr>
            <w:tcW w:w="6315" w:type="dxa"/>
            <w:tcBorders>
              <w:top w:val="nil"/>
              <w:left w:val="nil"/>
              <w:bottom w:val="single" w:color="auto" w:sz="4" w:space="0"/>
              <w:right w:val="single" w:color="auto" w:sz="4" w:space="0"/>
            </w:tcBorders>
            <w:noWrap/>
            <w:vAlign w:val="center"/>
          </w:tcPr>
          <w:p w14:paraId="52780BF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▲1.规格：12只/桶</w:t>
            </w:r>
          </w:p>
          <w:p w14:paraId="71A0410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▲2.重量：4.7-5.5g/只</w:t>
            </w:r>
          </w:p>
          <w:p w14:paraId="73422E5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▲3.材质：精选鸭毛+复合软木</w:t>
            </w:r>
          </w:p>
          <w:p w14:paraId="71FD511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4.球体长度：羽毛长62mm-70mm</w:t>
            </w:r>
          </w:p>
          <w:p w14:paraId="377ACD0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5.球头直径：25mm-28mm</w:t>
            </w:r>
          </w:p>
        </w:tc>
        <w:tc>
          <w:tcPr>
            <w:tcW w:w="570" w:type="dxa"/>
            <w:tcBorders>
              <w:top w:val="nil"/>
              <w:left w:val="nil"/>
              <w:bottom w:val="single" w:color="auto" w:sz="4" w:space="0"/>
              <w:right w:val="single" w:color="auto" w:sz="4" w:space="0"/>
            </w:tcBorders>
            <w:vAlign w:val="center"/>
          </w:tcPr>
          <w:p w14:paraId="5CCE4B81">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桶</w:t>
            </w:r>
          </w:p>
        </w:tc>
        <w:tc>
          <w:tcPr>
            <w:tcW w:w="448" w:type="dxa"/>
            <w:tcBorders>
              <w:top w:val="nil"/>
              <w:left w:val="nil"/>
              <w:bottom w:val="single" w:color="auto" w:sz="4" w:space="0"/>
              <w:right w:val="single" w:color="auto" w:sz="4" w:space="0"/>
            </w:tcBorders>
            <w:vAlign w:val="center"/>
          </w:tcPr>
          <w:p w14:paraId="51F678E7">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100</w:t>
            </w:r>
          </w:p>
        </w:tc>
        <w:tc>
          <w:tcPr>
            <w:tcW w:w="731" w:type="dxa"/>
            <w:tcBorders>
              <w:top w:val="nil"/>
              <w:left w:val="nil"/>
              <w:bottom w:val="single" w:color="auto" w:sz="4" w:space="0"/>
              <w:right w:val="single" w:color="auto" w:sz="4" w:space="0"/>
            </w:tcBorders>
            <w:noWrap/>
            <w:vAlign w:val="center"/>
          </w:tcPr>
          <w:p w14:paraId="1632F92D">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08D166F4">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02973C20">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4583303C">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219F7183">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78FCF575">
            <w:pPr>
              <w:jc w:val="center"/>
              <w:rPr>
                <w:color w:val="auto"/>
              </w:rPr>
            </w:pPr>
          </w:p>
        </w:tc>
      </w:tr>
      <w:tr w14:paraId="4EDDFD39">
        <w:tblPrEx>
          <w:tblCellMar>
            <w:top w:w="0" w:type="dxa"/>
            <w:left w:w="28" w:type="dxa"/>
            <w:bottom w:w="0" w:type="dxa"/>
            <w:right w:w="28" w:type="dxa"/>
          </w:tblCellMar>
        </w:tblPrEx>
        <w:trPr>
          <w:trHeight w:val="1888" w:hRule="atLeast"/>
        </w:trPr>
        <w:tc>
          <w:tcPr>
            <w:tcW w:w="607" w:type="dxa"/>
            <w:tcBorders>
              <w:top w:val="nil"/>
              <w:left w:val="single" w:color="auto" w:sz="4" w:space="0"/>
              <w:bottom w:val="single" w:color="auto" w:sz="4" w:space="0"/>
              <w:right w:val="single" w:color="auto" w:sz="4" w:space="0"/>
            </w:tcBorders>
            <w:noWrap/>
            <w:vAlign w:val="center"/>
          </w:tcPr>
          <w:p w14:paraId="75580801">
            <w:pPr>
              <w:jc w:val="center"/>
              <w:rPr>
                <w:rFonts w:ascii="宋体" w:hAnsi="宋体" w:eastAsia="宋体" w:cs="宋体"/>
                <w:color w:val="auto"/>
                <w:sz w:val="24"/>
                <w:szCs w:val="24"/>
              </w:rPr>
            </w:pPr>
            <w:r>
              <w:rPr>
                <w:rFonts w:hint="eastAsia" w:ascii="宋体" w:hAnsi="宋体" w:eastAsia="宋体" w:cs="宋体"/>
                <w:color w:val="auto"/>
                <w:sz w:val="24"/>
                <w:szCs w:val="24"/>
              </w:rPr>
              <w:t>27</w:t>
            </w:r>
          </w:p>
        </w:tc>
        <w:tc>
          <w:tcPr>
            <w:tcW w:w="1275" w:type="dxa"/>
            <w:tcBorders>
              <w:top w:val="nil"/>
              <w:left w:val="single" w:color="auto" w:sz="4" w:space="0"/>
              <w:bottom w:val="single" w:color="auto" w:sz="4" w:space="0"/>
              <w:right w:val="single" w:color="auto" w:sz="4" w:space="0"/>
            </w:tcBorders>
            <w:noWrap/>
            <w:vAlign w:val="center"/>
          </w:tcPr>
          <w:p w14:paraId="101C0D33">
            <w:pPr>
              <w:widowControl/>
              <w:jc w:val="left"/>
              <w:textAlignment w:val="center"/>
              <w:rPr>
                <w:rFonts w:ascii="宋体" w:hAnsi="宋体" w:eastAsia="宋体" w:cs="宋体"/>
                <w:color w:val="auto"/>
                <w:sz w:val="21"/>
                <w:szCs w:val="21"/>
                <w:lang w:bidi="ar"/>
              </w:rPr>
            </w:pPr>
            <w:r>
              <w:rPr>
                <w:rFonts w:hint="eastAsia"/>
                <w:color w:val="auto"/>
                <w:sz w:val="21"/>
                <w:szCs w:val="21"/>
              </w:rPr>
              <w:t>软塑拼装运动地板</w:t>
            </w:r>
          </w:p>
        </w:tc>
        <w:tc>
          <w:tcPr>
            <w:tcW w:w="6315" w:type="dxa"/>
            <w:tcBorders>
              <w:top w:val="nil"/>
              <w:left w:val="nil"/>
              <w:bottom w:val="single" w:color="auto" w:sz="4" w:space="0"/>
              <w:right w:val="single" w:color="auto" w:sz="4" w:space="0"/>
            </w:tcBorders>
            <w:noWrap/>
            <w:vAlign w:val="center"/>
          </w:tcPr>
          <w:p w14:paraId="7BAD550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1，产品规格≥30cm*30cm，厚度：1.38cm，外观：表面无龟裂.起泡；</w:t>
            </w:r>
          </w:p>
          <w:p w14:paraId="28973A4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2，抗滑值（干测）80-110；</w:t>
            </w:r>
          </w:p>
          <w:p w14:paraId="2A40C3E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3，苯24h释放量为0；</w:t>
            </w:r>
          </w:p>
          <w:p w14:paraId="5776A0C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▲4，甲醛24h释放量≤1mg/m3；</w:t>
            </w:r>
          </w:p>
          <w:p w14:paraId="3F0A52C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5，总挥发性有机物（TVOC）24h释放量≤0.5mg/m3；</w:t>
            </w:r>
          </w:p>
          <w:p w14:paraId="6654B9A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6.防霉分析检测(黑曲霉.球毛壳霉等10种以上霉菌)，防霉等级达到0级；</w:t>
            </w:r>
          </w:p>
          <w:p w14:paraId="6E4B296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▲7.供检测时长≥10000h耐人工气候老化检测报告，外观不起泡，不剥落，老化前后球反弹率≥91%，老化前后摩擦系数0.4μ~0.7μ；</w:t>
            </w:r>
          </w:p>
          <w:p w14:paraId="76B6011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▲8.提供送样日期到签发日期的检测时长≥7000h雨水中浸泡检测报告，抗滑值（20℃）80-110 BPN，尺寸变化率（长.宽.厚）≤0.5%；</w:t>
            </w:r>
          </w:p>
          <w:p w14:paraId="434E04F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▲9.提供检测时长≥8000h循环测试（高温-低温-湿热-盐雾）报告，外观无龟裂.局部无粉化.无明显变色等，抗滑值80-110，拉伸强度≥20Mpa，甲醛≤0.4mg/(m</w:t>
            </w:r>
            <w:bookmarkStart w:id="0" w:name="_GoBack"/>
            <w:bookmarkEnd w:id="0"/>
            <w:r>
              <w:rPr>
                <w:rFonts w:hint="eastAsia" w:ascii="宋体" w:hAnsi="宋体" w:eastAsia="宋体" w:cs="宋体"/>
                <w:color w:val="auto"/>
                <w:sz w:val="21"/>
                <w:szCs w:val="21"/>
                <w:lang w:bidi="ar"/>
              </w:rPr>
              <w:t>2.h)。</w:t>
            </w:r>
          </w:p>
          <w:p w14:paraId="3A82C24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▲10.供货时</w:t>
            </w: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val="en-US" w:eastAsia="zh-CN" w:bidi="ar"/>
              </w:rPr>
              <w:t>9</w:t>
            </w:r>
            <w:r>
              <w:rPr>
                <w:rFonts w:hint="eastAsia" w:ascii="宋体" w:hAnsi="宋体" w:eastAsia="宋体" w:cs="宋体"/>
                <w:color w:val="auto"/>
                <w:sz w:val="21"/>
                <w:szCs w:val="21"/>
                <w:lang w:bidi="ar"/>
              </w:rPr>
              <w:t>项需提供带“CMA”标志的检测报告,并附带国家认证认可监督管理委员会官网（www.cnca.gov.cn）查询截图，加盖制造商鲜章进行佐证。</w:t>
            </w:r>
          </w:p>
        </w:tc>
        <w:tc>
          <w:tcPr>
            <w:tcW w:w="570" w:type="dxa"/>
            <w:tcBorders>
              <w:top w:val="nil"/>
              <w:left w:val="nil"/>
              <w:bottom w:val="single" w:color="auto" w:sz="4" w:space="0"/>
              <w:right w:val="single" w:color="auto" w:sz="4" w:space="0"/>
            </w:tcBorders>
            <w:vAlign w:val="center"/>
          </w:tcPr>
          <w:p w14:paraId="2EE2F596">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平方</w:t>
            </w:r>
          </w:p>
        </w:tc>
        <w:tc>
          <w:tcPr>
            <w:tcW w:w="448" w:type="dxa"/>
            <w:tcBorders>
              <w:top w:val="nil"/>
              <w:left w:val="nil"/>
              <w:bottom w:val="single" w:color="auto" w:sz="4" w:space="0"/>
              <w:right w:val="single" w:color="auto" w:sz="4" w:space="0"/>
            </w:tcBorders>
            <w:vAlign w:val="center"/>
          </w:tcPr>
          <w:p w14:paraId="0708A82C">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1620</w:t>
            </w:r>
          </w:p>
        </w:tc>
        <w:tc>
          <w:tcPr>
            <w:tcW w:w="731" w:type="dxa"/>
            <w:tcBorders>
              <w:top w:val="nil"/>
              <w:left w:val="nil"/>
              <w:bottom w:val="single" w:color="auto" w:sz="4" w:space="0"/>
              <w:right w:val="single" w:color="auto" w:sz="4" w:space="0"/>
            </w:tcBorders>
            <w:noWrap/>
            <w:vAlign w:val="center"/>
          </w:tcPr>
          <w:p w14:paraId="3D4084C5">
            <w:pPr>
              <w:jc w:val="center"/>
              <w:rPr>
                <w:rFonts w:ascii="宋体" w:hAnsi="宋体" w:eastAsia="宋体" w:cs="宋体"/>
                <w:color w:val="auto"/>
                <w:sz w:val="24"/>
                <w:szCs w:val="24"/>
              </w:rPr>
            </w:pPr>
          </w:p>
        </w:tc>
        <w:tc>
          <w:tcPr>
            <w:tcW w:w="677" w:type="dxa"/>
            <w:tcBorders>
              <w:top w:val="nil"/>
              <w:left w:val="nil"/>
              <w:bottom w:val="single" w:color="auto" w:sz="4" w:space="0"/>
              <w:right w:val="single" w:color="auto" w:sz="4" w:space="0"/>
            </w:tcBorders>
            <w:noWrap/>
            <w:vAlign w:val="center"/>
          </w:tcPr>
          <w:p w14:paraId="24CAE27F">
            <w:pPr>
              <w:jc w:val="center"/>
              <w:rPr>
                <w:rFonts w:ascii="宋体" w:hAnsi="宋体" w:eastAsia="宋体" w:cs="宋体"/>
                <w:color w:val="auto"/>
                <w:sz w:val="24"/>
                <w:szCs w:val="24"/>
              </w:rPr>
            </w:pPr>
          </w:p>
        </w:tc>
        <w:tc>
          <w:tcPr>
            <w:tcW w:w="1137" w:type="dxa"/>
            <w:tcBorders>
              <w:top w:val="single" w:color="auto" w:sz="4" w:space="0"/>
              <w:left w:val="nil"/>
              <w:bottom w:val="single" w:color="auto" w:sz="4" w:space="0"/>
              <w:right w:val="single" w:color="auto" w:sz="4" w:space="0"/>
            </w:tcBorders>
            <w:vAlign w:val="center"/>
          </w:tcPr>
          <w:p w14:paraId="24DFB557">
            <w:pPr>
              <w:jc w:val="center"/>
              <w:rPr>
                <w:color w:val="auto"/>
              </w:rPr>
            </w:pPr>
          </w:p>
        </w:tc>
        <w:tc>
          <w:tcPr>
            <w:tcW w:w="517" w:type="dxa"/>
            <w:tcBorders>
              <w:top w:val="single" w:color="auto" w:sz="4" w:space="0"/>
              <w:left w:val="nil"/>
              <w:bottom w:val="single" w:color="auto" w:sz="4" w:space="0"/>
              <w:right w:val="single" w:color="auto" w:sz="4" w:space="0"/>
            </w:tcBorders>
            <w:vAlign w:val="center"/>
          </w:tcPr>
          <w:p w14:paraId="5AFF204C">
            <w:pPr>
              <w:jc w:val="center"/>
              <w:rPr>
                <w:color w:val="auto"/>
              </w:rPr>
            </w:pPr>
          </w:p>
        </w:tc>
        <w:tc>
          <w:tcPr>
            <w:tcW w:w="1740" w:type="dxa"/>
            <w:tcBorders>
              <w:top w:val="single" w:color="auto" w:sz="4" w:space="0"/>
              <w:left w:val="nil"/>
              <w:bottom w:val="single" w:color="auto" w:sz="4" w:space="0"/>
              <w:right w:val="single" w:color="auto" w:sz="4" w:space="0"/>
            </w:tcBorders>
            <w:vAlign w:val="center"/>
          </w:tcPr>
          <w:p w14:paraId="5716065F">
            <w:pPr>
              <w:jc w:val="center"/>
              <w:rPr>
                <w:color w:val="auto"/>
              </w:rPr>
            </w:pPr>
          </w:p>
        </w:tc>
        <w:tc>
          <w:tcPr>
            <w:tcW w:w="1325" w:type="dxa"/>
            <w:tcBorders>
              <w:top w:val="single" w:color="auto" w:sz="4" w:space="0"/>
              <w:left w:val="nil"/>
              <w:bottom w:val="single" w:color="auto" w:sz="4" w:space="0"/>
              <w:right w:val="single" w:color="auto" w:sz="4" w:space="0"/>
            </w:tcBorders>
            <w:vAlign w:val="center"/>
          </w:tcPr>
          <w:p w14:paraId="55E52453">
            <w:pPr>
              <w:jc w:val="center"/>
              <w:rPr>
                <w:color w:val="auto"/>
              </w:rPr>
            </w:pPr>
          </w:p>
        </w:tc>
      </w:tr>
      <w:tr w14:paraId="107228A2">
        <w:tblPrEx>
          <w:tblCellMar>
            <w:top w:w="0" w:type="dxa"/>
            <w:left w:w="28" w:type="dxa"/>
            <w:bottom w:w="0" w:type="dxa"/>
            <w:right w:w="28" w:type="dxa"/>
          </w:tblCellMar>
        </w:tblPrEx>
        <w:trPr>
          <w:trHeight w:val="724" w:hRule="atLeast"/>
        </w:trPr>
        <w:tc>
          <w:tcPr>
            <w:tcW w:w="12277" w:type="dxa"/>
            <w:gridSpan w:val="9"/>
            <w:tcBorders>
              <w:top w:val="single" w:color="auto" w:sz="4" w:space="0"/>
              <w:left w:val="single" w:color="auto" w:sz="4" w:space="0"/>
              <w:bottom w:val="single" w:color="auto" w:sz="4" w:space="0"/>
              <w:right w:val="single" w:color="auto" w:sz="4" w:space="0"/>
            </w:tcBorders>
            <w:noWrap/>
            <w:vAlign w:val="center"/>
          </w:tcPr>
          <w:p w14:paraId="49FB742D">
            <w:pPr>
              <w:jc w:val="center"/>
              <w:rPr>
                <w:rFonts w:hint="eastAsia" w:ascii="宋体" w:hAnsi="宋体" w:eastAsia="宋体" w:cs="宋体"/>
                <w:color w:val="auto"/>
              </w:rPr>
            </w:pPr>
            <w:r>
              <w:rPr>
                <w:rFonts w:hint="eastAsia" w:ascii="宋体" w:hAnsi="宋体" w:eastAsia="宋体" w:cs="宋体"/>
                <w:color w:val="auto"/>
              </w:rPr>
              <w:t>合    计：（小写）</w:t>
            </w:r>
            <w:r>
              <w:rPr>
                <w:rFonts w:hint="eastAsia" w:ascii="宋体" w:hAnsi="宋体" w:eastAsia="宋体" w:cs="宋体"/>
                <w:color w:val="auto"/>
                <w:u w:val="single"/>
              </w:rPr>
              <w:t xml:space="preserve">               </w:t>
            </w:r>
            <w:r>
              <w:rPr>
                <w:rFonts w:hint="eastAsia" w:ascii="宋体" w:hAnsi="宋体" w:eastAsia="宋体" w:cs="宋体"/>
                <w:color w:val="auto"/>
              </w:rPr>
              <w:t>（大</w:t>
            </w:r>
            <w:r>
              <w:rPr>
                <w:rFonts w:ascii="宋体" w:hAnsi="宋体" w:eastAsia="宋体" w:cs="宋体"/>
                <w:color w:val="auto"/>
              </w:rPr>
              <w:t>写）</w:t>
            </w:r>
          </w:p>
        </w:tc>
        <w:tc>
          <w:tcPr>
            <w:tcW w:w="1740" w:type="dxa"/>
            <w:tcBorders>
              <w:top w:val="single" w:color="auto" w:sz="4" w:space="0"/>
              <w:left w:val="single" w:color="auto" w:sz="4" w:space="0"/>
              <w:bottom w:val="single" w:color="auto" w:sz="4" w:space="0"/>
              <w:right w:val="single" w:color="auto" w:sz="4" w:space="0"/>
            </w:tcBorders>
            <w:noWrap/>
            <w:vAlign w:val="center"/>
          </w:tcPr>
          <w:p w14:paraId="4455B2EB">
            <w:pPr>
              <w:jc w:val="center"/>
              <w:rPr>
                <w:rFonts w:hint="eastAsia" w:ascii="宋体" w:hAnsi="宋体" w:eastAsia="宋体" w:cs="宋体"/>
                <w:color w:val="auto"/>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2C9F653D">
            <w:pPr>
              <w:jc w:val="center"/>
              <w:rPr>
                <w:rFonts w:hint="eastAsia" w:ascii="宋体" w:hAnsi="宋体" w:eastAsia="宋体" w:cs="宋体"/>
                <w:color w:val="auto"/>
              </w:rPr>
            </w:pPr>
          </w:p>
        </w:tc>
      </w:tr>
      <w:tr w14:paraId="7245F636">
        <w:tblPrEx>
          <w:tblCellMar>
            <w:top w:w="0" w:type="dxa"/>
            <w:left w:w="28" w:type="dxa"/>
            <w:bottom w:w="0" w:type="dxa"/>
            <w:right w:w="28" w:type="dxa"/>
          </w:tblCellMar>
        </w:tblPrEx>
        <w:trPr>
          <w:trHeight w:val="2036" w:hRule="atLeast"/>
        </w:trPr>
        <w:tc>
          <w:tcPr>
            <w:tcW w:w="12277" w:type="dxa"/>
            <w:gridSpan w:val="9"/>
            <w:tcBorders>
              <w:top w:val="single" w:color="auto" w:sz="4" w:space="0"/>
              <w:left w:val="single" w:color="auto" w:sz="4" w:space="0"/>
              <w:bottom w:val="single" w:color="auto" w:sz="4" w:space="0"/>
              <w:right w:val="single" w:color="auto" w:sz="4" w:space="0"/>
            </w:tcBorders>
            <w:noWrap/>
            <w:vAlign w:val="center"/>
          </w:tcPr>
          <w:p w14:paraId="08106FA9">
            <w:pPr>
              <w:jc w:val="center"/>
              <w:rPr>
                <w:rFonts w:hint="eastAsia" w:ascii="宋体" w:hAnsi="宋体" w:eastAsia="宋体" w:cs="仿宋_GB2312"/>
                <w:b/>
                <w:color w:val="auto"/>
                <w:szCs w:val="23"/>
              </w:rPr>
            </w:pPr>
            <w:r>
              <w:rPr>
                <w:rFonts w:hint="eastAsia" w:ascii="宋体" w:hAnsi="宋体" w:eastAsia="宋体" w:cs="仿宋_GB2312"/>
                <w:b/>
                <w:color w:val="auto"/>
                <w:szCs w:val="23"/>
                <w:lang w:val="en-US" w:eastAsia="zh-CN"/>
              </w:rPr>
              <w:t>本项目</w:t>
            </w:r>
            <w:r>
              <w:rPr>
                <w:rFonts w:hint="eastAsia" w:ascii="宋体" w:hAnsi="宋体" w:eastAsia="宋体" w:cs="仿宋_GB2312"/>
                <w:b/>
                <w:color w:val="auto"/>
                <w:szCs w:val="23"/>
              </w:rPr>
              <w:t>商务要求</w:t>
            </w:r>
          </w:p>
        </w:tc>
        <w:tc>
          <w:tcPr>
            <w:tcW w:w="1740" w:type="dxa"/>
            <w:tcBorders>
              <w:top w:val="single" w:color="auto" w:sz="4" w:space="0"/>
              <w:left w:val="single" w:color="auto" w:sz="4" w:space="0"/>
              <w:bottom w:val="single" w:color="auto" w:sz="4" w:space="0"/>
              <w:right w:val="single" w:color="auto" w:sz="4" w:space="0"/>
            </w:tcBorders>
            <w:noWrap/>
            <w:vAlign w:val="center"/>
          </w:tcPr>
          <w:p w14:paraId="193B17E0">
            <w:pPr>
              <w:jc w:val="center"/>
              <w:rPr>
                <w:rFonts w:hint="eastAsia" w:ascii="宋体" w:hAnsi="宋体" w:eastAsia="宋体" w:cs="仿宋_GB2312"/>
                <w:b/>
                <w:color w:val="auto"/>
                <w:szCs w:val="23"/>
              </w:rPr>
            </w:pPr>
            <w:r>
              <w:rPr>
                <w:rFonts w:hint="eastAsia" w:ascii="宋体" w:hAnsi="宋体" w:eastAsia="宋体" w:cs="仿宋_GB2312"/>
                <w:b/>
                <w:color w:val="auto"/>
                <w:szCs w:val="23"/>
              </w:rPr>
              <w:t>供应商对</w:t>
            </w:r>
            <w:r>
              <w:rPr>
                <w:rFonts w:hint="eastAsia" w:ascii="宋体" w:hAnsi="宋体" w:eastAsia="宋体" w:cs="仿宋_GB2312"/>
                <w:b/>
                <w:color w:val="auto"/>
                <w:szCs w:val="23"/>
                <w:lang w:val="en-US" w:eastAsia="zh-CN"/>
              </w:rPr>
              <w:t>商务要求的具体</w:t>
            </w:r>
            <w:r>
              <w:rPr>
                <w:rFonts w:hint="eastAsia" w:ascii="宋体" w:hAnsi="宋体" w:eastAsia="宋体" w:cs="仿宋_GB2312"/>
                <w:b/>
                <w:color w:val="auto"/>
                <w:szCs w:val="23"/>
              </w:rPr>
              <w:t>响应内容</w:t>
            </w:r>
          </w:p>
        </w:tc>
        <w:tc>
          <w:tcPr>
            <w:tcW w:w="1325" w:type="dxa"/>
            <w:tcBorders>
              <w:top w:val="single" w:color="auto" w:sz="4" w:space="0"/>
              <w:left w:val="single" w:color="auto" w:sz="4" w:space="0"/>
              <w:bottom w:val="single" w:color="auto" w:sz="4" w:space="0"/>
              <w:right w:val="single" w:color="auto" w:sz="4" w:space="0"/>
            </w:tcBorders>
            <w:noWrap/>
            <w:vAlign w:val="center"/>
          </w:tcPr>
          <w:p w14:paraId="02A70AC6">
            <w:pPr>
              <w:jc w:val="center"/>
              <w:rPr>
                <w:rFonts w:hint="eastAsia" w:ascii="宋体" w:hAnsi="宋体" w:eastAsia="宋体" w:cs="仿宋_GB2312"/>
                <w:b/>
                <w:color w:val="auto"/>
                <w:szCs w:val="23"/>
              </w:rPr>
            </w:pPr>
            <w:r>
              <w:rPr>
                <w:rFonts w:hint="eastAsia" w:ascii="宋体" w:hAnsi="宋体" w:eastAsia="宋体" w:cs="仿宋_GB2312"/>
                <w:b/>
                <w:color w:val="auto"/>
                <w:szCs w:val="23"/>
              </w:rPr>
              <w:t>是否</w:t>
            </w:r>
          </w:p>
          <w:p w14:paraId="0A08D731">
            <w:pPr>
              <w:jc w:val="center"/>
              <w:rPr>
                <w:rFonts w:hint="eastAsia" w:ascii="宋体" w:hAnsi="宋体" w:eastAsia="宋体" w:cs="仿宋_GB2312"/>
                <w:b/>
                <w:color w:val="auto"/>
                <w:szCs w:val="23"/>
              </w:rPr>
            </w:pPr>
            <w:r>
              <w:rPr>
                <w:rFonts w:hint="eastAsia" w:ascii="宋体" w:hAnsi="宋体" w:eastAsia="宋体" w:cs="仿宋_GB2312"/>
                <w:b/>
                <w:color w:val="auto"/>
                <w:szCs w:val="23"/>
              </w:rPr>
              <w:t>响应</w:t>
            </w:r>
          </w:p>
        </w:tc>
      </w:tr>
      <w:tr w14:paraId="3B002A00">
        <w:tblPrEx>
          <w:tblCellMar>
            <w:top w:w="0" w:type="dxa"/>
            <w:left w:w="28" w:type="dxa"/>
            <w:bottom w:w="0" w:type="dxa"/>
            <w:right w:w="28" w:type="dxa"/>
          </w:tblCellMar>
        </w:tblPrEx>
        <w:trPr>
          <w:trHeight w:val="5318" w:hRule="atLeast"/>
        </w:trPr>
        <w:tc>
          <w:tcPr>
            <w:tcW w:w="12277" w:type="dxa"/>
            <w:gridSpan w:val="9"/>
            <w:tcBorders>
              <w:top w:val="single" w:color="auto" w:sz="4" w:space="0"/>
              <w:left w:val="single" w:color="auto" w:sz="4" w:space="0"/>
              <w:bottom w:val="single" w:color="auto" w:sz="4" w:space="0"/>
              <w:right w:val="single" w:color="auto" w:sz="4" w:space="0"/>
            </w:tcBorders>
            <w:noWrap/>
            <w:vAlign w:val="center"/>
          </w:tcPr>
          <w:p w14:paraId="2C1607E8">
            <w:pPr>
              <w:rPr>
                <w:rFonts w:ascii="宋体" w:hAnsi="宋体" w:eastAsia="宋体" w:cs="仿宋_GB2312"/>
                <w:color w:val="auto"/>
                <w:sz w:val="24"/>
                <w:szCs w:val="24"/>
              </w:rPr>
            </w:pPr>
            <w:r>
              <w:rPr>
                <w:rFonts w:hint="eastAsia" w:ascii="宋体" w:hAnsi="宋体" w:eastAsia="宋体" w:cs="仿宋_GB2312"/>
                <w:color w:val="auto"/>
                <w:sz w:val="24"/>
                <w:szCs w:val="24"/>
                <w:lang w:val="en-US" w:eastAsia="zh-CN"/>
              </w:rPr>
              <w:t>▲一、</w:t>
            </w:r>
            <w:r>
              <w:rPr>
                <w:rFonts w:hint="eastAsia" w:ascii="宋体" w:hAnsi="宋体" w:eastAsia="宋体" w:cs="仿宋_GB2312"/>
                <w:color w:val="auto"/>
                <w:sz w:val="24"/>
                <w:szCs w:val="24"/>
              </w:rPr>
              <w:t>报价含</w:t>
            </w:r>
            <w:r>
              <w:rPr>
                <w:rFonts w:hint="eastAsia" w:ascii="宋体" w:hAnsi="宋体" w:eastAsia="宋体" w:cs="仿宋_GB2312"/>
                <w:color w:val="auto"/>
                <w:sz w:val="24"/>
                <w:szCs w:val="24"/>
                <w:lang w:val="en-US" w:eastAsia="zh-CN"/>
              </w:rPr>
              <w:t>包装、装卸、</w:t>
            </w:r>
            <w:r>
              <w:rPr>
                <w:rFonts w:hint="eastAsia" w:ascii="宋体" w:hAnsi="宋体" w:eastAsia="宋体" w:cs="仿宋_GB2312"/>
                <w:color w:val="auto"/>
                <w:sz w:val="24"/>
                <w:szCs w:val="24"/>
              </w:rPr>
              <w:t>运输、</w:t>
            </w:r>
            <w:r>
              <w:rPr>
                <w:rFonts w:hint="eastAsia" w:ascii="宋体" w:hAnsi="宋体" w:eastAsia="宋体" w:cs="仿宋_GB2312"/>
                <w:color w:val="auto"/>
                <w:sz w:val="24"/>
                <w:szCs w:val="24"/>
                <w:lang w:val="en-US" w:eastAsia="zh-CN"/>
              </w:rPr>
              <w:t>调换、利润、税金、保险、协调、售后服务费、相关文件规定及合同包含的所有风险、责任等各项应有费用。</w:t>
            </w:r>
            <w:r>
              <w:rPr>
                <w:rFonts w:hint="eastAsia" w:ascii="宋体" w:hAnsi="宋体" w:eastAsia="宋体" w:cs="仿宋_GB2312"/>
                <w:color w:val="auto"/>
                <w:sz w:val="24"/>
                <w:szCs w:val="24"/>
              </w:rPr>
              <w:t>报价超过本项目预算价作无效报价处理。</w:t>
            </w:r>
            <w:r>
              <w:rPr>
                <w:rFonts w:ascii="宋体" w:hAnsi="宋体" w:eastAsia="宋体" w:cs="仿宋_GB2312"/>
                <w:color w:val="auto"/>
                <w:sz w:val="24"/>
                <w:szCs w:val="24"/>
              </w:rPr>
              <w:t xml:space="preserve"> </w:t>
            </w:r>
          </w:p>
          <w:p w14:paraId="5FF9707F">
            <w:pPr>
              <w:jc w:val="left"/>
              <w:rPr>
                <w:rFonts w:hint="eastAsia" w:ascii="宋体" w:hAnsi="宋体" w:eastAsia="宋体" w:cs="宋体"/>
                <w:color w:val="auto"/>
                <w:sz w:val="24"/>
                <w:szCs w:val="24"/>
                <w:highlight w:val="none"/>
              </w:rPr>
            </w:pPr>
            <w:r>
              <w:rPr>
                <w:rFonts w:hint="eastAsia" w:ascii="宋体" w:hAnsi="宋体" w:eastAsia="宋体" w:cs="仿宋_GB2312"/>
                <w:color w:val="auto"/>
                <w:sz w:val="24"/>
                <w:szCs w:val="24"/>
                <w:lang w:val="en-US" w:eastAsia="zh-CN"/>
              </w:rPr>
              <w:t>▲二、</w:t>
            </w:r>
            <w:r>
              <w:rPr>
                <w:rFonts w:hint="eastAsia" w:ascii="宋体" w:hAnsi="宋体" w:eastAsia="宋体" w:cs="仿宋_GB2312"/>
                <w:color w:val="auto"/>
                <w:sz w:val="24"/>
                <w:szCs w:val="24"/>
              </w:rPr>
              <w:t>供货</w:t>
            </w:r>
            <w:r>
              <w:rPr>
                <w:rFonts w:ascii="宋体" w:hAnsi="宋体" w:eastAsia="宋体" w:cs="仿宋_GB2312"/>
                <w:color w:val="auto"/>
                <w:sz w:val="24"/>
                <w:szCs w:val="24"/>
              </w:rPr>
              <w:t>时间：</w:t>
            </w:r>
            <w:r>
              <w:rPr>
                <w:rFonts w:hint="eastAsia" w:ascii="宋体" w:hAnsi="宋体" w:eastAsia="宋体" w:cs="宋体"/>
                <w:color w:val="auto"/>
                <w:sz w:val="24"/>
                <w:szCs w:val="24"/>
              </w:rPr>
              <w:t>自合同签订后，接到采购人通知之日起 10日内交付货物，设备安</w:t>
            </w:r>
            <w:r>
              <w:rPr>
                <w:rFonts w:hint="eastAsia" w:ascii="宋体" w:hAnsi="宋体" w:eastAsia="宋体" w:cs="宋体"/>
                <w:color w:val="auto"/>
                <w:sz w:val="24"/>
                <w:szCs w:val="24"/>
                <w:highlight w:val="none"/>
              </w:rPr>
              <w:t>装调试验收等依据采购人通知实施。</w:t>
            </w:r>
          </w:p>
          <w:p w14:paraId="4E33D211">
            <w:pPr>
              <w:jc w:val="left"/>
              <w:rPr>
                <w:rFonts w:hint="eastAsia" w:ascii="宋体" w:hAnsi="宋体" w:eastAsia="宋体" w:cs="宋体"/>
                <w:color w:val="auto"/>
                <w:kern w:val="0"/>
                <w:sz w:val="24"/>
                <w:szCs w:val="24"/>
                <w:highlight w:val="none"/>
                <w:lang w:val="en-US" w:eastAsia="zh-CN"/>
                <w14:ligatures w14:val="none"/>
              </w:rPr>
            </w:pPr>
            <w:r>
              <w:rPr>
                <w:rFonts w:hint="eastAsia" w:ascii="宋体" w:hAnsi="宋体" w:eastAsia="宋体" w:cs="宋体"/>
                <w:color w:val="auto"/>
                <w:kern w:val="0"/>
                <w:sz w:val="24"/>
                <w:szCs w:val="24"/>
                <w:highlight w:val="none"/>
                <w:lang w:val="en-US" w:eastAsia="zh-CN"/>
                <w14:ligatures w14:val="none"/>
              </w:rPr>
              <w:t>▲三、交货地点：具体地点由采购方指定（广西财经学院相思湖校区）。</w:t>
            </w:r>
          </w:p>
          <w:p w14:paraId="51F36361">
            <w:pPr>
              <w:jc w:val="left"/>
              <w:rPr>
                <w:rFonts w:hint="eastAsia" w:ascii="宋体" w:hAnsi="宋体" w:eastAsia="宋体" w:cs="宋体"/>
                <w:color w:val="auto"/>
                <w:kern w:val="0"/>
                <w:sz w:val="24"/>
                <w:szCs w:val="24"/>
                <w:highlight w:val="none"/>
                <w:lang w:val="en-US" w:eastAsia="zh-CN"/>
                <w14:ligatures w14:val="none"/>
              </w:rPr>
            </w:pPr>
            <w:r>
              <w:rPr>
                <w:rFonts w:hint="eastAsia" w:ascii="宋体" w:hAnsi="宋体" w:eastAsia="宋体" w:cs="宋体"/>
                <w:color w:val="auto"/>
                <w:kern w:val="0"/>
                <w:sz w:val="24"/>
                <w:szCs w:val="24"/>
                <w:highlight w:val="none"/>
                <w:lang w:val="en-US" w:eastAsia="zh-CN"/>
                <w14:ligatures w14:val="none"/>
              </w:rPr>
              <w:t>▲四、交货方式：现场交货（成交人必须当面交货）。</w:t>
            </w:r>
          </w:p>
          <w:p w14:paraId="4539A8DA">
            <w:pPr>
              <w:widowControl/>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val="en-US" w:eastAsia="zh-CN"/>
              </w:rPr>
              <w:t>▲五、</w:t>
            </w:r>
            <w:r>
              <w:rPr>
                <w:rFonts w:hint="eastAsia" w:ascii="宋体" w:hAnsi="宋体" w:eastAsia="宋体" w:cs="仿宋_GB2312"/>
                <w:color w:val="auto"/>
                <w:sz w:val="24"/>
                <w:szCs w:val="24"/>
                <w:highlight w:val="none"/>
              </w:rPr>
              <w:t>质量保证：</w:t>
            </w:r>
          </w:p>
          <w:p w14:paraId="5905F7DC">
            <w:pPr>
              <w:widowControl/>
              <w:jc w:val="left"/>
              <w:rPr>
                <w:rFonts w:hint="eastAsia" w:ascii="宋体" w:hAnsi="宋体" w:eastAsia="宋体" w:cs="仿宋_GB2312"/>
                <w:color w:val="auto"/>
                <w:sz w:val="24"/>
                <w:szCs w:val="24"/>
              </w:rPr>
            </w:pPr>
            <w:r>
              <w:rPr>
                <w:rFonts w:hint="eastAsia" w:ascii="宋体" w:hAnsi="宋体" w:eastAsia="宋体" w:cs="仿宋_GB2312"/>
                <w:color w:val="auto"/>
                <w:sz w:val="24"/>
                <w:szCs w:val="24"/>
              </w:rPr>
              <w:t>1.所供产品必须是已注册品牌制造商原装、全新的原厂整套或配套正品。</w:t>
            </w:r>
          </w:p>
          <w:p w14:paraId="2A076F3D">
            <w:pPr>
              <w:widowControl/>
              <w:jc w:val="left"/>
              <w:rPr>
                <w:rFonts w:hint="eastAsia" w:ascii="宋体" w:hAnsi="宋体" w:eastAsia="宋体" w:cs="仿宋_GB2312"/>
                <w:color w:val="auto"/>
                <w:sz w:val="24"/>
                <w:szCs w:val="24"/>
              </w:rPr>
            </w:pPr>
            <w:r>
              <w:rPr>
                <w:rFonts w:hint="eastAsia" w:ascii="宋体" w:hAnsi="宋体" w:eastAsia="宋体" w:cs="仿宋_GB2312"/>
                <w:color w:val="auto"/>
                <w:sz w:val="24"/>
                <w:szCs w:val="24"/>
              </w:rPr>
              <w:t>2.质保要求按国家有关产品“三包”规定执行“三包”政策，质保期以通过项目最终验收的验收报告签字日开始计算。</w:t>
            </w:r>
          </w:p>
          <w:p w14:paraId="1514443A">
            <w:pPr>
              <w:widowControl/>
              <w:jc w:val="left"/>
              <w:rPr>
                <w:rFonts w:hint="eastAsia" w:ascii="宋体" w:hAnsi="宋体" w:eastAsia="宋体" w:cs="仿宋_GB2312"/>
                <w:color w:val="auto"/>
                <w:sz w:val="24"/>
                <w:szCs w:val="24"/>
              </w:rPr>
            </w:pPr>
            <w:r>
              <w:rPr>
                <w:rFonts w:hint="eastAsia" w:ascii="宋体" w:hAnsi="宋体" w:eastAsia="宋体" w:cs="仿宋_GB2312"/>
                <w:color w:val="auto"/>
                <w:sz w:val="24"/>
                <w:szCs w:val="24"/>
              </w:rPr>
              <w:t>3.质保期内由于质量问题导致设备损坏的，成交供应商提供保修、人工及更换备件的上门服务，并提供终身维护。质保期内采购人不再支付任何费用。</w:t>
            </w:r>
          </w:p>
          <w:p w14:paraId="625D7F9C">
            <w:pPr>
              <w:widowControl/>
              <w:jc w:val="left"/>
              <w:rPr>
                <w:rFonts w:hint="eastAsia" w:ascii="宋体" w:hAnsi="宋体" w:eastAsia="宋体" w:cs="仿宋_GB2312"/>
                <w:b/>
                <w:bCs/>
                <w:color w:val="auto"/>
                <w:sz w:val="24"/>
                <w:szCs w:val="24"/>
              </w:rPr>
            </w:pPr>
            <w:r>
              <w:rPr>
                <w:rFonts w:hint="eastAsia" w:ascii="宋体" w:hAnsi="宋体" w:eastAsia="宋体" w:cs="仿宋_GB2312"/>
                <w:b/>
                <w:bCs/>
                <w:color w:val="auto"/>
                <w:sz w:val="24"/>
                <w:szCs w:val="24"/>
              </w:rPr>
              <w:t>4</w:t>
            </w:r>
            <w:r>
              <w:rPr>
                <w:rFonts w:hint="eastAsia" w:ascii="宋体" w:hAnsi="宋体" w:eastAsia="宋体" w:cs="仿宋_GB2312"/>
                <w:b/>
                <w:bCs/>
                <w:color w:val="auto"/>
                <w:sz w:val="24"/>
                <w:szCs w:val="24"/>
                <w:lang w:val="en-US" w:eastAsia="zh-CN"/>
              </w:rPr>
              <w:t>.</w:t>
            </w:r>
            <w:r>
              <w:rPr>
                <w:rFonts w:hint="eastAsia" w:ascii="宋体" w:hAnsi="宋体" w:eastAsia="宋体" w:cs="仿宋_GB2312"/>
                <w:b/>
                <w:bCs/>
                <w:color w:val="auto"/>
                <w:sz w:val="24"/>
                <w:szCs w:val="24"/>
              </w:rPr>
              <w:t>验收标准：</w:t>
            </w:r>
          </w:p>
          <w:p w14:paraId="6097381D">
            <w:pPr>
              <w:widowControl/>
              <w:jc w:val="left"/>
              <w:rPr>
                <w:rFonts w:hint="eastAsia" w:ascii="宋体" w:hAnsi="宋体" w:eastAsia="宋体" w:cs="仿宋_GB2312"/>
                <w:color w:val="auto"/>
                <w:sz w:val="24"/>
                <w:szCs w:val="24"/>
              </w:rPr>
            </w:pPr>
            <w:r>
              <w:rPr>
                <w:rFonts w:hint="eastAsia" w:ascii="宋体" w:hAnsi="宋体" w:eastAsia="宋体" w:cs="仿宋_GB2312"/>
                <w:color w:val="auto"/>
                <w:sz w:val="24"/>
                <w:szCs w:val="24"/>
              </w:rPr>
              <w:t>4.1由体育经济与管理学院按照报价响应表和商务条款对成交货物的产品外观、规格、基本参数等基本项目进行检验，收货检验时发现质量不合格的产品，</w:t>
            </w:r>
            <w:r>
              <w:rPr>
                <w:rFonts w:hint="eastAsia" w:ascii="宋体" w:hAnsi="宋体" w:eastAsia="宋体" w:cs="仿宋_GB2312"/>
                <w:color w:val="auto"/>
                <w:sz w:val="24"/>
                <w:szCs w:val="24"/>
                <w:highlight w:val="yellow"/>
              </w:rPr>
              <w:t>如发现产品存在假冒伪劣、贴牌、组装残次、自行焊接组装、性能不达标等情况</w:t>
            </w:r>
            <w:r>
              <w:rPr>
                <w:rFonts w:hint="eastAsia" w:ascii="宋体" w:hAnsi="宋体" w:eastAsia="宋体" w:cs="仿宋_GB2312"/>
                <w:color w:val="auto"/>
                <w:sz w:val="24"/>
                <w:szCs w:val="24"/>
              </w:rPr>
              <w:t>成交单位必须无条件免费更换。</w:t>
            </w:r>
          </w:p>
          <w:p w14:paraId="312FB773">
            <w:pPr>
              <w:widowControl/>
              <w:jc w:val="left"/>
              <w:rPr>
                <w:rFonts w:hint="eastAsia" w:ascii="宋体" w:hAnsi="宋体" w:eastAsia="宋体" w:cs="仿宋_GB2312"/>
                <w:color w:val="auto"/>
                <w:sz w:val="24"/>
                <w:szCs w:val="24"/>
              </w:rPr>
            </w:pPr>
            <w:r>
              <w:rPr>
                <w:rFonts w:hint="eastAsia" w:ascii="宋体" w:hAnsi="宋体" w:eastAsia="宋体" w:cs="仿宋_GB2312"/>
                <w:color w:val="auto"/>
                <w:sz w:val="24"/>
                <w:szCs w:val="24"/>
              </w:rPr>
              <w:t>4.2供应商提供的产品必须一次性验收合格率达到95%以上。验收不合格的产品，供应商需在接到通知后5个工作日内免费更换新品，重新验收，且验收费用由供应商承担；如因供应商原因导致超过2次验收不合格，采购人有权按违约或解除合同处理，并追究供应商违约责任。</w:t>
            </w:r>
          </w:p>
          <w:p w14:paraId="36D50760">
            <w:pPr>
              <w:widowControl/>
              <w:jc w:val="left"/>
              <w:rPr>
                <w:rFonts w:hint="eastAsia" w:ascii="宋体" w:hAnsi="宋体" w:eastAsia="宋体" w:cs="仿宋_GB2312"/>
                <w:color w:val="auto"/>
                <w:sz w:val="24"/>
                <w:szCs w:val="24"/>
              </w:rPr>
            </w:pPr>
            <w:r>
              <w:rPr>
                <w:rFonts w:hint="eastAsia" w:ascii="宋体" w:hAnsi="宋体" w:eastAsia="宋体" w:cs="仿宋_GB2312"/>
                <w:color w:val="auto"/>
                <w:sz w:val="24"/>
                <w:szCs w:val="24"/>
              </w:rPr>
              <w:t>4.3验收不合格或成交供应商未按响应内容（包括技术规格参数响应内容及商务要求响应内容）履行合同或技术参数无法达到相应技术要求的，按违约处理，采购人有权解除合同，由此造成采购人经济损失的由成交供应商负责承担全部赔偿责任。</w:t>
            </w:r>
          </w:p>
          <w:p w14:paraId="592CBCE0">
            <w:pPr>
              <w:jc w:val="left"/>
              <w:rPr>
                <w:rFonts w:hint="eastAsia"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4.4在验收过程中发现成交供应商有违约问题，将采取暂缓资金结算的措施，待违约问题解决后，方可办理资金结算事宜。</w:t>
            </w:r>
          </w:p>
          <w:p w14:paraId="62C3E7AA">
            <w:pPr>
              <w:jc w:val="left"/>
              <w:rPr>
                <w:rFonts w:hint="eastAsia"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▲六、</w:t>
            </w:r>
            <w:r>
              <w:rPr>
                <w:rFonts w:hint="eastAsia" w:ascii="宋体" w:hAnsi="宋体" w:eastAsia="宋体" w:cs="仿宋_GB2312"/>
                <w:color w:val="auto"/>
                <w:sz w:val="24"/>
                <w:szCs w:val="24"/>
              </w:rPr>
              <w:t>付款</w:t>
            </w:r>
            <w:r>
              <w:rPr>
                <w:rFonts w:hint="eastAsia" w:ascii="宋体" w:hAnsi="宋体" w:eastAsia="宋体" w:cs="仿宋_GB2312"/>
                <w:color w:val="auto"/>
                <w:sz w:val="24"/>
                <w:szCs w:val="24"/>
                <w:lang w:val="en-US" w:eastAsia="zh-CN"/>
              </w:rPr>
              <w:t>方式</w:t>
            </w:r>
            <w:r>
              <w:rPr>
                <w:rFonts w:hint="eastAsia" w:ascii="宋体" w:hAnsi="宋体" w:eastAsia="宋体" w:cs="仿宋_GB2312"/>
                <w:color w:val="auto"/>
                <w:sz w:val="24"/>
                <w:szCs w:val="24"/>
              </w:rPr>
              <w:t>：如货物存在质量问题或与采购规格不一致，供应商须在</w:t>
            </w:r>
            <w:ins w:id="0" w:author="admin" w:date="2025-06-07T17:54:20Z">
              <w:r>
                <w:rPr>
                  <w:rFonts w:hint="eastAsia" w:ascii="宋体" w:hAnsi="宋体" w:eastAsia="宋体" w:cs="仿宋_GB2312"/>
                  <w:color w:val="auto"/>
                  <w:sz w:val="24"/>
                  <w:szCs w:val="24"/>
                  <w:lang w:val="en-US" w:eastAsia="zh-CN"/>
                </w:rPr>
                <w:t>5</w:t>
              </w:r>
            </w:ins>
            <w:r>
              <w:rPr>
                <w:rFonts w:hint="eastAsia" w:ascii="宋体" w:hAnsi="宋体" w:eastAsia="宋体" w:cs="仿宋_GB2312"/>
                <w:color w:val="auto"/>
                <w:sz w:val="24"/>
                <w:szCs w:val="24"/>
              </w:rPr>
              <w:t>个工作日内完成更换。验收通过，采购人自收到成交人发票之日起二十个工作日内，由采购人一次性付清成交人合同总金额100%的款项（无预付款）。</w:t>
            </w:r>
          </w:p>
          <w:p w14:paraId="15A232DA">
            <w:pPr>
              <w:jc w:val="both"/>
              <w:rPr>
                <w:rFonts w:hint="eastAsia"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七、</w:t>
            </w:r>
            <w:r>
              <w:rPr>
                <w:rFonts w:hint="eastAsia" w:ascii="宋体" w:hAnsi="宋体" w:eastAsia="宋体" w:cs="宋体"/>
                <w:color w:val="auto"/>
                <w:kern w:val="0"/>
                <w:sz w:val="24"/>
                <w:szCs w:val="24"/>
                <w:shd w:val="clear" w:color="auto" w:fill="FFFFFF"/>
                <w:lang w:val="en-US" w:eastAsia="zh-CN"/>
                <w14:ligatures w14:val="none"/>
              </w:rPr>
              <w:t>标</w:t>
            </w:r>
            <w:r>
              <w:rPr>
                <w:rFonts w:hint="eastAsia" w:ascii="宋体" w:hAnsi="宋体" w:eastAsia="宋体" w:cs="宋体"/>
                <w:color w:val="auto"/>
                <w:kern w:val="0"/>
                <w:sz w:val="24"/>
                <w:szCs w:val="24"/>
                <w:shd w:val="clear" w:color="auto" w:fill="FFFFFF"/>
                <w:lang w:eastAsia="zh-CN"/>
                <w14:ligatures w14:val="none"/>
              </w:rPr>
              <w:t>“</w:t>
            </w:r>
            <w:r>
              <w:rPr>
                <w:rFonts w:hint="eastAsia" w:ascii="宋体" w:hAnsi="宋体" w:eastAsia="宋体" w:cs="宋体"/>
                <w:color w:val="auto"/>
                <w:kern w:val="0"/>
                <w:sz w:val="24"/>
                <w:szCs w:val="24"/>
                <w14:ligatures w14:val="none"/>
              </w:rPr>
              <w:t>▲</w:t>
            </w:r>
            <w:r>
              <w:rPr>
                <w:rFonts w:hint="eastAsia" w:ascii="宋体" w:hAnsi="宋体" w:eastAsia="宋体" w:cs="宋体"/>
                <w:color w:val="auto"/>
                <w:kern w:val="0"/>
                <w:sz w:val="24"/>
                <w:szCs w:val="24"/>
                <w:shd w:val="clear" w:color="auto" w:fill="FFFFFF"/>
                <w:lang w:eastAsia="zh-CN"/>
                <w14:ligatures w14:val="none"/>
              </w:rPr>
              <w:t>”的</w:t>
            </w:r>
            <w:r>
              <w:rPr>
                <w:rFonts w:hint="eastAsia" w:ascii="宋体" w:hAnsi="宋体" w:eastAsia="宋体" w:cs="宋体"/>
                <w:color w:val="auto"/>
                <w:kern w:val="0"/>
                <w:sz w:val="24"/>
                <w:szCs w:val="24"/>
                <w:shd w:val="clear" w:color="auto" w:fill="FFFFFF"/>
                <w:lang w:val="en-US" w:eastAsia="zh-CN"/>
                <w14:ligatures w14:val="none"/>
              </w:rPr>
              <w:t>参数</w:t>
            </w:r>
            <w:r>
              <w:rPr>
                <w:rFonts w:hint="eastAsia" w:ascii="宋体" w:hAnsi="宋体" w:eastAsia="宋体" w:cs="宋体"/>
                <w:color w:val="auto"/>
                <w:kern w:val="0"/>
                <w:sz w:val="24"/>
                <w:szCs w:val="24"/>
                <w14:ligatures w14:val="none"/>
              </w:rPr>
              <w:t>为必须满足的实质性参数，若不满足作无效报价处理。其</w:t>
            </w:r>
            <w:r>
              <w:rPr>
                <w:rFonts w:hint="eastAsia" w:ascii="宋体" w:hAnsi="宋体" w:eastAsia="宋体" w:cs="宋体"/>
                <w:color w:val="auto"/>
                <w:kern w:val="0"/>
                <w:sz w:val="24"/>
                <w:szCs w:val="24"/>
                <w:lang w:val="en-US" w:eastAsia="zh-CN"/>
                <w14:ligatures w14:val="none"/>
              </w:rPr>
              <w:t>它</w:t>
            </w:r>
            <w:r>
              <w:rPr>
                <w:rFonts w:hint="eastAsia" w:ascii="宋体" w:hAnsi="宋体" w:eastAsia="宋体" w:cs="宋体"/>
                <w:color w:val="auto"/>
                <w:kern w:val="0"/>
                <w:sz w:val="24"/>
                <w:szCs w:val="24"/>
                <w14:ligatures w14:val="none"/>
              </w:rPr>
              <w:t>参数负偏离累计不得超过五项。</w:t>
            </w:r>
          </w:p>
        </w:tc>
        <w:tc>
          <w:tcPr>
            <w:tcW w:w="1740" w:type="dxa"/>
            <w:tcBorders>
              <w:top w:val="single" w:color="auto" w:sz="4" w:space="0"/>
              <w:left w:val="single" w:color="auto" w:sz="4" w:space="0"/>
              <w:bottom w:val="single" w:color="auto" w:sz="4" w:space="0"/>
              <w:right w:val="single" w:color="auto" w:sz="4" w:space="0"/>
            </w:tcBorders>
            <w:noWrap/>
            <w:vAlign w:val="center"/>
          </w:tcPr>
          <w:p w14:paraId="4BB59BD0">
            <w:pPr>
              <w:jc w:val="center"/>
              <w:rPr>
                <w:rFonts w:hint="eastAsia" w:ascii="宋体" w:hAnsi="宋体" w:eastAsia="宋体" w:cs="仿宋_GB2312"/>
                <w:color w:val="auto"/>
                <w:sz w:val="24"/>
                <w:szCs w:val="24"/>
                <w:lang w:val="en-US" w:eastAsia="zh-CN"/>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328D1433">
            <w:pPr>
              <w:jc w:val="center"/>
              <w:rPr>
                <w:rFonts w:hint="eastAsia" w:ascii="宋体" w:hAnsi="宋体" w:eastAsia="宋体" w:cs="仿宋_GB2312"/>
                <w:color w:val="auto"/>
                <w:sz w:val="24"/>
                <w:szCs w:val="24"/>
                <w:lang w:val="en-US" w:eastAsia="zh-CN"/>
              </w:rPr>
            </w:pPr>
          </w:p>
        </w:tc>
      </w:tr>
    </w:tbl>
    <w:p w14:paraId="6602A210">
      <w:pPr>
        <w:spacing w:line="560" w:lineRule="exact"/>
        <w:rPr>
          <w:rFonts w:hint="eastAsia" w:ascii="仿宋_GB2312" w:hAnsi="宋体" w:cs="宋体"/>
        </w:rPr>
      </w:pPr>
      <w:r>
        <w:rPr>
          <w:rFonts w:hint="eastAsia" w:ascii="仿宋_GB2312" w:hAnsi="Calibri"/>
          <w:sz w:val="24"/>
          <w:szCs w:val="24"/>
        </w:rPr>
        <w:t xml:space="preserve"> </w:t>
      </w:r>
      <w:r>
        <w:rPr>
          <w:rFonts w:hint="eastAsia" w:ascii="仿宋_GB2312" w:hAnsi="宋体" w:cs="宋体"/>
        </w:rPr>
        <w:t>注：</w:t>
      </w:r>
    </w:p>
    <w:p w14:paraId="7F4BB758">
      <w:pPr>
        <w:spacing w:line="560" w:lineRule="exact"/>
        <w:rPr>
          <w:rFonts w:hint="eastAsia" w:ascii="仿宋_GB2312" w:hAnsi="宋体" w:eastAsia="仿宋_GB2312" w:cs="宋体"/>
          <w:lang w:eastAsia="zh-CN"/>
        </w:rPr>
      </w:pPr>
      <w:r>
        <w:rPr>
          <w:rFonts w:hint="eastAsia" w:ascii="仿宋_GB2312" w:hAnsi="宋体" w:cs="宋体"/>
        </w:rPr>
        <w:t>1.</w:t>
      </w:r>
      <w:r>
        <w:rPr>
          <w:rFonts w:hint="eastAsia" w:ascii="仿宋_GB2312" w:hAnsi="宋体" w:cs="宋体"/>
          <w:lang w:val="en-US" w:eastAsia="zh-CN"/>
        </w:rPr>
        <w:t>供应商必须按</w:t>
      </w:r>
      <w:r>
        <w:rPr>
          <w:rFonts w:hint="eastAsia" w:ascii="仿宋_GB2312" w:hAnsi="宋体" w:cs="宋体"/>
        </w:rPr>
        <w:t>报价表</w:t>
      </w:r>
      <w:r>
        <w:rPr>
          <w:rFonts w:hint="eastAsia" w:ascii="仿宋_GB2312" w:hAnsi="宋体" w:cs="宋体"/>
          <w:lang w:val="en-US" w:eastAsia="zh-CN"/>
        </w:rPr>
        <w:t>格式填写</w:t>
      </w:r>
      <w:r>
        <w:rPr>
          <w:rFonts w:hint="eastAsia" w:ascii="仿宋_GB2312" w:hAnsi="宋体" w:cs="宋体"/>
        </w:rPr>
        <w:t>“品牌</w:t>
      </w:r>
      <w:r>
        <w:rPr>
          <w:rFonts w:hint="eastAsia" w:ascii="仿宋_GB2312" w:hAnsi="宋体" w:cs="宋体"/>
          <w:lang w:val="en-US" w:eastAsia="zh-CN"/>
        </w:rPr>
        <w:t>及生产厂家”</w:t>
      </w:r>
      <w:r>
        <w:rPr>
          <w:rFonts w:hint="eastAsia" w:ascii="仿宋_GB2312" w:hAnsi="宋体" w:cs="宋体"/>
        </w:rPr>
        <w:t>、</w:t>
      </w:r>
      <w:r>
        <w:rPr>
          <w:rFonts w:hint="eastAsia" w:ascii="仿宋_GB2312" w:hAnsi="宋体" w:cs="宋体"/>
          <w:lang w:eastAsia="zh-CN"/>
        </w:rPr>
        <w:t>“型号规格”、“单位”“</w:t>
      </w:r>
      <w:r>
        <w:rPr>
          <w:rFonts w:hint="eastAsia" w:ascii="仿宋_GB2312" w:hAnsi="宋体" w:cs="宋体"/>
          <w:lang w:val="en-US" w:eastAsia="zh-CN"/>
        </w:rPr>
        <w:t>金额</w:t>
      </w:r>
      <w:r>
        <w:rPr>
          <w:rFonts w:hint="eastAsia" w:ascii="仿宋_GB2312" w:hAnsi="宋体" w:cs="宋体"/>
          <w:lang w:eastAsia="zh-CN"/>
        </w:rPr>
        <w:t>”</w:t>
      </w:r>
      <w:r>
        <w:rPr>
          <w:rFonts w:hint="eastAsia" w:ascii="仿宋_GB2312" w:hAnsi="宋体" w:cs="宋体"/>
        </w:rPr>
        <w:t>列必须填写</w:t>
      </w:r>
      <w:r>
        <w:rPr>
          <w:rFonts w:hint="eastAsia" w:ascii="仿宋_GB2312" w:hAnsi="宋体" w:cs="宋体"/>
          <w:highlight w:val="yellow"/>
        </w:rPr>
        <w:t>（定制产品和服务除外）</w:t>
      </w:r>
      <w:r>
        <w:rPr>
          <w:rFonts w:hint="eastAsia" w:ascii="仿宋_GB2312" w:hAnsi="宋体" w:cs="宋体"/>
          <w:lang w:eastAsia="zh-CN"/>
        </w:rPr>
        <w:t>，否则按</w:t>
      </w:r>
      <w:r>
        <w:rPr>
          <w:rFonts w:hint="eastAsia" w:ascii="仿宋_GB2312" w:hAnsi="宋体" w:cs="宋体"/>
          <w:lang w:val="en-US" w:eastAsia="zh-CN"/>
        </w:rPr>
        <w:t>报价</w:t>
      </w:r>
      <w:r>
        <w:rPr>
          <w:rFonts w:hint="eastAsia" w:ascii="仿宋_GB2312" w:hAnsi="宋体" w:cs="宋体"/>
          <w:lang w:eastAsia="zh-CN"/>
        </w:rPr>
        <w:t>无效处理。</w:t>
      </w:r>
    </w:p>
    <w:p w14:paraId="68C1ED88">
      <w:pPr>
        <w:spacing w:line="560" w:lineRule="exact"/>
        <w:rPr>
          <w:rFonts w:hint="default" w:ascii="仿宋_GB2312" w:hAnsi="宋体" w:eastAsia="仿宋_GB2312" w:cs="宋体"/>
          <w:lang w:val="en-US" w:eastAsia="zh-CN"/>
        </w:rPr>
      </w:pPr>
      <w:r>
        <w:rPr>
          <w:rFonts w:hint="eastAsia" w:ascii="仿宋_GB2312" w:hAnsi="宋体" w:cs="宋体"/>
          <w:lang w:val="en-US" w:eastAsia="zh-CN"/>
        </w:rPr>
        <w:t>2.</w:t>
      </w:r>
      <w:r>
        <w:rPr>
          <w:rFonts w:hint="eastAsia" w:ascii="仿宋_GB2312" w:hAnsi="宋体" w:cs="宋体"/>
        </w:rPr>
        <w:t>说明：</w:t>
      </w:r>
      <w:r>
        <w:rPr>
          <w:rFonts w:hint="eastAsia" w:ascii="仿宋_GB2312" w:hAnsi="宋体" w:cs="宋体"/>
          <w:lang w:val="en-US" w:eastAsia="zh-CN"/>
        </w:rPr>
        <w:t>供应商必</w:t>
      </w:r>
      <w:r>
        <w:rPr>
          <w:rFonts w:hint="eastAsia" w:ascii="仿宋_GB2312" w:hAnsi="宋体" w:cs="宋体"/>
          <w:highlight w:val="none"/>
          <w:lang w:val="en-US" w:eastAsia="zh-CN"/>
        </w:rPr>
        <w:t>须对</w:t>
      </w:r>
      <w:r>
        <w:rPr>
          <w:rFonts w:hint="eastAsia" w:ascii="仿宋_GB2312" w:hAnsi="宋体" w:cs="宋体"/>
          <w:highlight w:val="none"/>
        </w:rPr>
        <w:t>（详细）规格参数</w:t>
      </w:r>
      <w:r>
        <w:rPr>
          <w:rFonts w:hint="eastAsia" w:ascii="仿宋_GB2312" w:hAnsi="宋体" w:cs="宋体"/>
          <w:highlight w:val="none"/>
          <w:lang w:val="en-US" w:eastAsia="zh-CN"/>
        </w:rPr>
        <w:t>及商务要求如实</w:t>
      </w:r>
      <w:r>
        <w:rPr>
          <w:rFonts w:hint="eastAsia" w:ascii="仿宋_GB2312" w:hAnsi="宋体" w:cs="宋体"/>
          <w:highlight w:val="none"/>
        </w:rPr>
        <w:t>逐条作</w:t>
      </w:r>
      <w:r>
        <w:rPr>
          <w:rFonts w:hint="eastAsia" w:ascii="仿宋_GB2312" w:hAnsi="宋体" w:cs="宋体"/>
        </w:rPr>
        <w:t>出明确响应，</w:t>
      </w:r>
      <w:r>
        <w:rPr>
          <w:rFonts w:hint="eastAsia" w:ascii="仿宋_GB2312" w:hAnsi="宋体" w:cs="宋体"/>
          <w:lang w:val="en-US" w:eastAsia="zh-CN"/>
        </w:rPr>
        <w:t>未逐条作出明确响应的按报价无效处理。</w:t>
      </w:r>
    </w:p>
    <w:p w14:paraId="70B82969">
      <w:pPr>
        <w:spacing w:line="320" w:lineRule="exact"/>
        <w:ind w:firstLine="560" w:firstLineChars="200"/>
        <w:rPr>
          <w:rFonts w:ascii="仿宋_GB2312" w:hAnsi="Calibri"/>
          <w:sz w:val="24"/>
          <w:szCs w:val="24"/>
        </w:rPr>
      </w:pPr>
      <w:r>
        <w:rPr>
          <w:rFonts w:hint="eastAsia" w:ascii="仿宋_GB2312" w:hAnsi="宋体" w:cs="宋体"/>
          <w:lang w:val="en-US" w:eastAsia="zh-CN"/>
        </w:rPr>
        <w:t>3</w:t>
      </w:r>
      <w:r>
        <w:rPr>
          <w:rFonts w:hint="eastAsia" w:ascii="仿宋_GB2312" w:hAnsi="宋体" w:cs="宋体"/>
        </w:rPr>
        <w:t>.供应商必须</w:t>
      </w:r>
      <w:r>
        <w:rPr>
          <w:rFonts w:hint="eastAsia" w:ascii="仿宋_GB2312" w:hAnsi="宋体" w:cs="宋体"/>
          <w:lang w:val="en-US" w:eastAsia="zh-CN"/>
        </w:rPr>
        <w:t>如</w:t>
      </w:r>
      <w:r>
        <w:rPr>
          <w:rFonts w:hint="eastAsia" w:ascii="仿宋_GB2312" w:hAnsi="宋体" w:cs="宋体"/>
        </w:rPr>
        <w:t>实</w:t>
      </w:r>
      <w:r>
        <w:rPr>
          <w:rFonts w:hint="eastAsia" w:ascii="仿宋_GB2312" w:hAnsi="宋体" w:cs="宋体"/>
          <w:lang w:val="en-US" w:eastAsia="zh-CN"/>
        </w:rPr>
        <w:t>响应具体参数数值，不得虚假响应。</w:t>
      </w:r>
      <w:r>
        <w:rPr>
          <w:rFonts w:hint="eastAsia" w:ascii="仿宋_GB2312" w:hAnsi="宋体" w:cs="宋体"/>
        </w:rPr>
        <w:t>如果（详细）规格参数</w:t>
      </w:r>
      <w:r>
        <w:rPr>
          <w:rFonts w:hint="eastAsia" w:ascii="仿宋_GB2312" w:hAnsi="宋体" w:cs="宋体"/>
          <w:lang w:val="en-US" w:eastAsia="zh-CN"/>
        </w:rPr>
        <w:t>包含</w:t>
      </w:r>
      <w:r>
        <w:rPr>
          <w:rFonts w:hint="eastAsia" w:ascii="仿宋_GB2312" w:hAnsi="宋体" w:cs="宋体"/>
        </w:rPr>
        <w:t>小于、小于等于、大于或大于等于某个数值标准时，</w:t>
      </w:r>
      <w:r>
        <w:rPr>
          <w:rFonts w:hint="eastAsia" w:ascii="仿宋_GB2312" w:hAnsi="宋体" w:cs="宋体"/>
          <w:b/>
          <w:bCs/>
        </w:rPr>
        <w:t>响应文件</w:t>
      </w:r>
      <w:r>
        <w:rPr>
          <w:rFonts w:hint="eastAsia" w:ascii="仿宋_GB2312" w:hAnsi="宋体" w:cs="宋体"/>
          <w:b/>
          <w:bCs/>
          <w:lang w:val="en-US" w:eastAsia="zh-CN"/>
        </w:rPr>
        <w:t>内容</w:t>
      </w:r>
      <w:r>
        <w:rPr>
          <w:rFonts w:hint="eastAsia" w:ascii="仿宋_GB2312" w:hAnsi="宋体" w:cs="宋体"/>
          <w:b/>
          <w:bCs/>
        </w:rPr>
        <w:t>不得直接复制（详细）规格参数</w:t>
      </w:r>
      <w:r>
        <w:rPr>
          <w:rFonts w:hint="eastAsia" w:ascii="仿宋_GB2312" w:hAnsi="宋体" w:cs="宋体"/>
          <w:b/>
          <w:bCs/>
          <w:lang w:val="en-US" w:eastAsia="zh-CN"/>
        </w:rPr>
        <w:t>内容</w:t>
      </w:r>
      <w:r>
        <w:rPr>
          <w:rFonts w:hint="eastAsia" w:ascii="仿宋_GB2312" w:hAnsi="宋体" w:cs="宋体"/>
          <w:b/>
          <w:bCs/>
        </w:rPr>
        <w:t>，响应文件内容应当写明</w:t>
      </w:r>
      <w:r>
        <w:rPr>
          <w:rFonts w:hint="eastAsia" w:ascii="仿宋_GB2312" w:hAnsi="宋体" w:cs="宋体"/>
          <w:b/>
          <w:bCs/>
          <w:lang w:val="en-US" w:eastAsia="zh-CN"/>
        </w:rPr>
        <w:t>所</w:t>
      </w:r>
      <w:r>
        <w:rPr>
          <w:rFonts w:hint="eastAsia" w:ascii="仿宋_GB2312" w:hAnsi="宋体" w:cs="宋体"/>
          <w:b/>
          <w:bCs/>
        </w:rPr>
        <w:t>标货物具体参数或商务响应承诺的具体数值，否则按</w:t>
      </w:r>
      <w:r>
        <w:rPr>
          <w:rFonts w:hint="eastAsia" w:ascii="仿宋_GB2312" w:hAnsi="宋体" w:cs="宋体"/>
          <w:b/>
          <w:bCs/>
          <w:lang w:val="en-US" w:eastAsia="zh-CN"/>
        </w:rPr>
        <w:t>报价</w:t>
      </w:r>
      <w:r>
        <w:rPr>
          <w:rFonts w:hint="eastAsia" w:ascii="仿宋_GB2312" w:hAnsi="宋体" w:cs="宋体"/>
          <w:b/>
          <w:bCs/>
        </w:rPr>
        <w:t>无效处理。</w:t>
      </w:r>
    </w:p>
    <w:p w14:paraId="2C59A751">
      <w:pPr>
        <w:spacing w:line="560" w:lineRule="exact"/>
        <w:rPr>
          <w:rFonts w:ascii="仿宋_GB2312" w:hAnsi="宋体" w:cs="宋体"/>
        </w:rPr>
      </w:pPr>
      <w:r>
        <w:rPr>
          <w:rFonts w:hint="eastAsia" w:ascii="仿宋_GB2312" w:hAnsi="宋体" w:cs="宋体"/>
        </w:rPr>
        <w:t xml:space="preserve">报价公司（盖公章）：      </w:t>
      </w:r>
      <w:r>
        <w:rPr>
          <w:rFonts w:ascii="仿宋_GB2312" w:hAnsi="宋体" w:cs="宋体"/>
        </w:rPr>
        <w:t xml:space="preserve">     </w:t>
      </w:r>
      <w:r>
        <w:rPr>
          <w:rFonts w:hint="eastAsia" w:ascii="仿宋_GB2312" w:hAnsi="宋体" w:cs="宋体"/>
        </w:rPr>
        <w:t xml:space="preserve">法定代表人签字： </w:t>
      </w:r>
      <w:r>
        <w:rPr>
          <w:rFonts w:ascii="仿宋_GB2312" w:hAnsi="宋体" w:cs="宋体"/>
        </w:rPr>
        <w:t xml:space="preserve">  </w:t>
      </w:r>
      <w:r>
        <w:rPr>
          <w:rFonts w:hint="eastAsia" w:ascii="仿宋_GB2312" w:hAnsi="宋体" w:cs="宋体"/>
        </w:rPr>
        <w:t xml:space="preserve">    </w:t>
      </w:r>
    </w:p>
    <w:p w14:paraId="2D71D27A">
      <w:pPr>
        <w:spacing w:line="560" w:lineRule="exact"/>
      </w:pPr>
      <w:r>
        <w:rPr>
          <w:rFonts w:hint="eastAsia" w:ascii="仿宋_GB2312" w:hAnsi="宋体" w:cs="宋体"/>
        </w:rPr>
        <w:t xml:space="preserve">报价时间： </w:t>
      </w:r>
      <w:r>
        <w:rPr>
          <w:rFonts w:ascii="仿宋_GB2312" w:hAnsi="宋体" w:cs="宋体"/>
        </w:rPr>
        <w:t xml:space="preserve">    </w:t>
      </w:r>
      <w:r>
        <w:rPr>
          <w:rFonts w:hint="eastAsia" w:ascii="仿宋_GB2312" w:hAnsi="宋体" w:cs="宋体"/>
        </w:rPr>
        <w:t xml:space="preserve">年 </w:t>
      </w:r>
      <w:r>
        <w:rPr>
          <w:rFonts w:ascii="仿宋_GB2312" w:hAnsi="宋体" w:cs="宋体"/>
        </w:rPr>
        <w:t xml:space="preserve"> </w:t>
      </w:r>
      <w:r>
        <w:rPr>
          <w:rFonts w:hint="eastAsia" w:ascii="仿宋_GB2312" w:hAnsi="宋体" w:cs="宋体"/>
        </w:rPr>
        <w:t xml:space="preserve">月 </w:t>
      </w:r>
      <w:r>
        <w:rPr>
          <w:rFonts w:ascii="仿宋_GB2312" w:hAnsi="宋体" w:cs="宋体"/>
        </w:rPr>
        <w:t xml:space="preserve"> </w:t>
      </w:r>
      <w:r>
        <w:rPr>
          <w:rFonts w:hint="eastAsia" w:ascii="仿宋_GB2312" w:hAnsi="宋体" w:cs="宋体"/>
        </w:rPr>
        <w:t xml:space="preserve">日 </w:t>
      </w:r>
      <w:r>
        <w:rPr>
          <w:rFonts w:ascii="仿宋_GB2312" w:hAnsi="宋体" w:cs="宋体"/>
        </w:rPr>
        <w:t xml:space="preserve">     </w:t>
      </w:r>
      <w:r>
        <w:rPr>
          <w:rFonts w:hint="eastAsia" w:ascii="仿宋_GB2312" w:hAnsi="宋体" w:cs="宋体"/>
        </w:rPr>
        <w:t>联系人及电话：</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WPS Office" w15:userId="3430310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Yjk1NmY4MjQxY2ZkOWMzYzhkN2ZmMmFmOGIyNzQifQ=="/>
  </w:docVars>
  <w:rsids>
    <w:rsidRoot w:val="00B40F90"/>
    <w:rsid w:val="00092B53"/>
    <w:rsid w:val="000E54BE"/>
    <w:rsid w:val="000F10A7"/>
    <w:rsid w:val="0017555A"/>
    <w:rsid w:val="002F5650"/>
    <w:rsid w:val="002F7806"/>
    <w:rsid w:val="0030678C"/>
    <w:rsid w:val="003A3DDB"/>
    <w:rsid w:val="003F2409"/>
    <w:rsid w:val="005046ED"/>
    <w:rsid w:val="006204D2"/>
    <w:rsid w:val="006471AE"/>
    <w:rsid w:val="00656514"/>
    <w:rsid w:val="006B7755"/>
    <w:rsid w:val="00757867"/>
    <w:rsid w:val="0082166B"/>
    <w:rsid w:val="00821E32"/>
    <w:rsid w:val="00956483"/>
    <w:rsid w:val="00A30B2F"/>
    <w:rsid w:val="00B40F90"/>
    <w:rsid w:val="00B71D62"/>
    <w:rsid w:val="00B9197F"/>
    <w:rsid w:val="00CB7B3D"/>
    <w:rsid w:val="00E961B6"/>
    <w:rsid w:val="00EE6A99"/>
    <w:rsid w:val="058850B1"/>
    <w:rsid w:val="099D3B04"/>
    <w:rsid w:val="0A4F751C"/>
    <w:rsid w:val="0AB56155"/>
    <w:rsid w:val="0B3A1946"/>
    <w:rsid w:val="0C741FE5"/>
    <w:rsid w:val="0FF120DA"/>
    <w:rsid w:val="115959FE"/>
    <w:rsid w:val="15E50ECA"/>
    <w:rsid w:val="188505C3"/>
    <w:rsid w:val="19883228"/>
    <w:rsid w:val="1A5A2676"/>
    <w:rsid w:val="1BFD51C0"/>
    <w:rsid w:val="1CDA0930"/>
    <w:rsid w:val="1F29670C"/>
    <w:rsid w:val="2083774F"/>
    <w:rsid w:val="22AE4D6D"/>
    <w:rsid w:val="23C55167"/>
    <w:rsid w:val="26263974"/>
    <w:rsid w:val="26B840CC"/>
    <w:rsid w:val="2A1A5096"/>
    <w:rsid w:val="2EAB5ECB"/>
    <w:rsid w:val="302204C8"/>
    <w:rsid w:val="31640A7A"/>
    <w:rsid w:val="3182008E"/>
    <w:rsid w:val="33275C5A"/>
    <w:rsid w:val="37E42938"/>
    <w:rsid w:val="38F8063F"/>
    <w:rsid w:val="3B9D5C20"/>
    <w:rsid w:val="3E661F56"/>
    <w:rsid w:val="412C1E82"/>
    <w:rsid w:val="42170D27"/>
    <w:rsid w:val="48EA5B34"/>
    <w:rsid w:val="49F5087D"/>
    <w:rsid w:val="4B835939"/>
    <w:rsid w:val="4BCD7E5B"/>
    <w:rsid w:val="4C15608A"/>
    <w:rsid w:val="4EA3641A"/>
    <w:rsid w:val="4EB453B6"/>
    <w:rsid w:val="4F4606FA"/>
    <w:rsid w:val="4F9450BC"/>
    <w:rsid w:val="56C76EFD"/>
    <w:rsid w:val="5A0C1E28"/>
    <w:rsid w:val="5C3C393A"/>
    <w:rsid w:val="5F676980"/>
    <w:rsid w:val="5FBD5654"/>
    <w:rsid w:val="622B5E4B"/>
    <w:rsid w:val="6421003F"/>
    <w:rsid w:val="65A753BA"/>
    <w:rsid w:val="688D2886"/>
    <w:rsid w:val="6B8B5A6E"/>
    <w:rsid w:val="70C504E8"/>
    <w:rsid w:val="70D80585"/>
    <w:rsid w:val="70FD6116"/>
    <w:rsid w:val="71121B78"/>
    <w:rsid w:val="730E2BB4"/>
    <w:rsid w:val="739B7C05"/>
    <w:rsid w:val="73E30863"/>
    <w:rsid w:val="75046ED9"/>
    <w:rsid w:val="7CC85330"/>
    <w:rsid w:val="7CEF376C"/>
    <w:rsid w:val="7DDF7600"/>
    <w:rsid w:val="7E33504C"/>
    <w:rsid w:val="7ECF41D3"/>
    <w:rsid w:val="7F2F24AA"/>
    <w:rsid w:val="7FB06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sz w:val="28"/>
      <w:szCs w:val="28"/>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character" w:styleId="9">
    <w:name w:val="annotation reference"/>
    <w:basedOn w:val="8"/>
    <w:qFormat/>
    <w:uiPriority w:val="0"/>
    <w:rPr>
      <w:sz w:val="21"/>
      <w:szCs w:val="21"/>
    </w:rPr>
  </w:style>
  <w:style w:type="paragraph" w:customStyle="1" w:styleId="10">
    <w:name w:val="Default"/>
    <w:autoRedefine/>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 w:type="character" w:customStyle="1" w:styleId="11">
    <w:name w:val="页眉 字符"/>
    <w:basedOn w:val="8"/>
    <w:link w:val="5"/>
    <w:qFormat/>
    <w:uiPriority w:val="0"/>
    <w:rPr>
      <w:rFonts w:ascii="Times New Roman" w:hAnsi="Times New Roman" w:eastAsia="仿宋_GB2312" w:cs="Times New Roman"/>
      <w:sz w:val="18"/>
      <w:szCs w:val="18"/>
    </w:rPr>
  </w:style>
  <w:style w:type="character" w:customStyle="1" w:styleId="12">
    <w:name w:val="页脚 字符"/>
    <w:basedOn w:val="8"/>
    <w:link w:val="4"/>
    <w:qFormat/>
    <w:uiPriority w:val="0"/>
    <w:rPr>
      <w:rFonts w:ascii="Times New Roman" w:hAnsi="Times New Roman" w:eastAsia="仿宋_GB2312" w:cs="Times New Roman"/>
      <w:sz w:val="18"/>
      <w:szCs w:val="18"/>
    </w:rPr>
  </w:style>
  <w:style w:type="character" w:customStyle="1" w:styleId="13">
    <w:name w:val="font81"/>
    <w:basedOn w:val="8"/>
    <w:qFormat/>
    <w:uiPriority w:val="0"/>
    <w:rPr>
      <w:rFonts w:hint="eastAsia" w:ascii="宋体" w:hAnsi="宋体" w:eastAsia="宋体" w:cs="宋体"/>
      <w:color w:val="auto"/>
      <w:sz w:val="20"/>
      <w:szCs w:val="20"/>
      <w:u w:val="none"/>
    </w:rPr>
  </w:style>
  <w:style w:type="character" w:customStyle="1" w:styleId="14">
    <w:name w:val="font61"/>
    <w:basedOn w:val="8"/>
    <w:qFormat/>
    <w:uiPriority w:val="0"/>
    <w:rPr>
      <w:rFonts w:hint="eastAsia" w:ascii="宋体" w:hAnsi="宋体" w:eastAsia="宋体" w:cs="宋体"/>
      <w:color w:val="auto"/>
      <w:sz w:val="20"/>
      <w:szCs w:val="20"/>
      <w:u w:val="none"/>
    </w:rPr>
  </w:style>
  <w:style w:type="character" w:customStyle="1" w:styleId="15">
    <w:name w:val="批注文字 字符"/>
    <w:basedOn w:val="8"/>
    <w:link w:val="2"/>
    <w:qFormat/>
    <w:uiPriority w:val="0"/>
    <w:rPr>
      <w:rFonts w:eastAsia="仿宋_GB2312"/>
      <w:sz w:val="28"/>
      <w:szCs w:val="28"/>
    </w:rPr>
  </w:style>
  <w:style w:type="character" w:customStyle="1" w:styleId="16">
    <w:name w:val="批注主题 字符"/>
    <w:basedOn w:val="15"/>
    <w:link w:val="6"/>
    <w:qFormat/>
    <w:uiPriority w:val="0"/>
    <w:rPr>
      <w:rFonts w:eastAsia="仿宋_GB2312"/>
      <w:b/>
      <w:bCs/>
      <w:sz w:val="28"/>
      <w:szCs w:val="28"/>
    </w:rPr>
  </w:style>
  <w:style w:type="character" w:customStyle="1" w:styleId="17">
    <w:name w:val="批注框文本 字符"/>
    <w:basedOn w:val="8"/>
    <w:link w:val="3"/>
    <w:qFormat/>
    <w:uiPriority w:val="0"/>
    <w:rPr>
      <w:rFonts w:eastAsia="仿宋_GB231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6019</Words>
  <Characters>7818</Characters>
  <Lines>56</Lines>
  <Paragraphs>15</Paragraphs>
  <TotalTime>17</TotalTime>
  <ScaleCrop>false</ScaleCrop>
  <LinksUpToDate>false</LinksUpToDate>
  <CharactersWithSpaces>8551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东喜</cp:lastModifiedBy>
  <cp:lastPrinted>2025-06-09T02:00:00Z</cp:lastPrinted>
  <dcterms:modified xsi:type="dcterms:W3CDTF">2025-06-09T03:05:50Z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4597C1C6625F47BFA65E61C502380D99_13</vt:lpwstr>
  </property>
  <property fmtid="{D5CDD505-2E9C-101B-9397-08002B2CF9AE}" pid="4" name="KSOTemplateDocerSaveRecord">
    <vt:lpwstr>eyJoZGlkIjoiZmEzNDA4YzVhZWUxMzkxYWY4ZTg2Y2FmY2ZiYjUwZjEiLCJ1c2VySWQiOiI5NTUzMzc3NzkifQ==</vt:lpwstr>
  </property>
</Properties>
</file>