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广西财经学院中国-东盟统计学院二期项目宿舍楼工程规划放线</w:t>
      </w:r>
      <w:r>
        <w:rPr>
          <w:rFonts w:hint="eastAsia" w:ascii="宋体" w:hAnsi="宋体"/>
          <w:b/>
          <w:sz w:val="36"/>
          <w:szCs w:val="36"/>
          <w:lang w:eastAsia="zh-CN"/>
        </w:rPr>
        <w:t>（</w:t>
      </w:r>
      <w:r>
        <w:rPr>
          <w:rFonts w:hint="eastAsia" w:ascii="宋体" w:hAnsi="宋体"/>
          <w:b/>
          <w:sz w:val="36"/>
          <w:szCs w:val="36"/>
          <w:lang w:val="en-US" w:eastAsia="zh-CN"/>
        </w:rPr>
        <w:t>重）</w:t>
      </w:r>
      <w:r>
        <w:rPr>
          <w:rFonts w:hint="eastAsia" w:ascii="宋体" w:hAnsi="宋体"/>
          <w:b/>
          <w:sz w:val="36"/>
          <w:szCs w:val="36"/>
        </w:rPr>
        <w:t>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广西财经学院中国-东盟统计学院二期项目宿舍楼工程规划放线</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重）</w:t>
            </w:r>
            <w:bookmarkStart w:id="4" w:name="_GoBack"/>
            <w:bookmarkEnd w:id="4"/>
            <w:r>
              <w:rPr>
                <w:rFonts w:hint="eastAsia" w:ascii="仿宋_GB2312" w:hAnsi="仿宋_GB2312" w:eastAsia="仿宋_GB2312" w:cs="仿宋_GB2312"/>
                <w:sz w:val="24"/>
              </w:rPr>
              <w:t>项目</w:t>
            </w:r>
          </w:p>
        </w:tc>
        <w:tc>
          <w:tcPr>
            <w:tcW w:w="4055" w:type="pct"/>
            <w:vAlign w:val="center"/>
          </w:tcPr>
          <w:p w14:paraId="56620F6B">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92F48E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南宁市大学西路189号，广西财经学院相思湖校区。</w:t>
            </w:r>
          </w:p>
          <w:p w14:paraId="4840028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60C8C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广西财经学院中国—东盟统计学院二期项目学生宿舍楼工程位于南宁市西乡塘区大学西路189号（广西财经学院相思湖校区校园内），项目规划总用地面积15669.55㎡（23.50亩），总建筑面积12034.33㎡，拟新建一栋学生宿舍楼及一个门卫室。</w:t>
            </w:r>
          </w:p>
          <w:p w14:paraId="228ABB2F">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5584258E">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广西财经学院中国-东盟统计学院二期项目宿舍楼工程规划放线服务。服务内容需符合《工程测量标准》（GB50026-2020）《城市测量规范》（CJJ/T8-2011）等国家强制性标准。具体工作内容包括但不限于：按建设工程规划许可证及设计图纸完成建筑定位放线、高程引测；形成放线成果报告（含坐标、高程数据及现场记录）；配合规划主管部门验线工作。</w:t>
            </w:r>
          </w:p>
          <w:bookmarkEnd w:id="0"/>
          <w:p w14:paraId="77904615">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3CBE6EA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人民币(大写)贰仟陆佰元整，（小写）</w:t>
            </w:r>
            <w:r>
              <w:rPr>
                <w:rFonts w:ascii="Calibri" w:hAnsi="Calibri" w:eastAsia="仿宋" w:cs="Calibri"/>
                <w:bCs/>
                <w:kern w:val="2"/>
              </w:rPr>
              <w:t>¥</w:t>
            </w:r>
            <w:r>
              <w:rPr>
                <w:rFonts w:hint="eastAsia" w:ascii="仿宋" w:hAnsi="仿宋" w:eastAsia="仿宋" w:cs="仿宋"/>
                <w:bCs/>
                <w:kern w:val="2"/>
              </w:rPr>
              <w:t>2600.00元。</w:t>
            </w:r>
          </w:p>
          <w:p w14:paraId="2B0408BB">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FD6EDE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自收到业主中标通知之日起至广西财经学院中国-东盟统计学院二期项目宿舍楼工程规划放线工作完成并提交完整资料之日止。不超过7日历天。</w:t>
            </w:r>
          </w:p>
          <w:p w14:paraId="637689A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（六）成果要求：</w:t>
            </w:r>
          </w:p>
          <w:p w14:paraId="6433F25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成果资料需符合《建设工程规划放线技术规程》要求，包含放线记录、坐标成果表、高程成果表、现场照片等。所有图文资料，电子版提供光盘或U盘一份（含可编辑的电子文档及盖章扫描件），纸质版提供一式四份。</w:t>
            </w:r>
          </w:p>
          <w:p w14:paraId="1B6F5B12">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款项支付方式</w:t>
            </w:r>
            <w:r>
              <w:rPr>
                <w:rFonts w:ascii="仿宋" w:hAnsi="仿宋" w:eastAsia="仿宋" w:cs="仿宋"/>
                <w:b/>
                <w:sz w:val="24"/>
              </w:rPr>
              <w:t>：</w:t>
            </w:r>
          </w:p>
          <w:p w14:paraId="159641BB">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完成广西财经学院中国-东盟统计学院二期项目宿舍楼工程规划放线工作并提交完整资料后方可请款，请款申请经业主审核同意后，自收到成交供应商合格发票（增值税专用发票）之日起14个工作日内一次性支付成交金额的100%。</w:t>
            </w:r>
          </w:p>
          <w:p w14:paraId="420E3DCF">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2F95FFC8">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总价包干（报价包括但不限于完成本项目所需的各项成本、管理费、开办费、成果资料编制费、税金及场地费、利润等所有费用，采购人不再另行支付其他费用）。</w:t>
            </w:r>
          </w:p>
          <w:p w14:paraId="779EADA7">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质量要求及保修</w:t>
            </w:r>
            <w:r>
              <w:rPr>
                <w:rFonts w:ascii="仿宋" w:hAnsi="仿宋" w:eastAsia="仿宋" w:cs="仿宋"/>
                <w:b/>
                <w:sz w:val="24"/>
              </w:rPr>
              <w:t>：</w:t>
            </w:r>
          </w:p>
          <w:p w14:paraId="43495473">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放线成果需确保准确性，若因成果错误导致后续施工偏差，供应商应在 24 小时内免费返工，并承担由此造成的直接损失</w:t>
            </w:r>
          </w:p>
          <w:p w14:paraId="131D150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十、报价要求</w:t>
            </w:r>
          </w:p>
          <w:p w14:paraId="21D3E26A">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报价不能超过本项目上限控制价。</w:t>
            </w:r>
          </w:p>
          <w:p w14:paraId="67F9DAFD">
            <w:pPr>
              <w:widowControl/>
              <w:spacing w:line="560" w:lineRule="exact"/>
              <w:ind w:firstLine="482" w:firstLineChars="200"/>
              <w:jc w:val="left"/>
              <w:rPr>
                <w:rFonts w:hint="eastAsia" w:ascii="仿宋" w:hAnsi="仿宋" w:eastAsia="仿宋" w:cs="仿宋"/>
                <w:bCs/>
                <w:sz w:val="24"/>
              </w:rPr>
            </w:pPr>
            <w:r>
              <w:rPr>
                <w:rFonts w:hint="eastAsia" w:ascii="仿宋" w:hAnsi="仿宋" w:eastAsia="仿宋" w:cs="仿宋"/>
                <w:b/>
                <w:sz w:val="24"/>
              </w:rPr>
              <w:t>十</w:t>
            </w:r>
            <w:r>
              <w:rPr>
                <w:rFonts w:hint="eastAsia" w:ascii="仿宋" w:hAnsi="仿宋" w:eastAsia="仿宋" w:cs="仿宋"/>
                <w:b/>
                <w:sz w:val="24"/>
                <w:lang w:eastAsia="zh-CN"/>
              </w:rPr>
              <w:t>一</w:t>
            </w:r>
            <w:r>
              <w:rPr>
                <w:rFonts w:hint="eastAsia" w:ascii="仿宋" w:hAnsi="仿宋" w:eastAsia="仿宋" w:cs="仿宋"/>
                <w:b/>
                <w:sz w:val="24"/>
              </w:rPr>
              <w:t>、供应商资格</w:t>
            </w:r>
          </w:p>
          <w:p w14:paraId="23B4714C">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供应商资格：供应商须具备省级及以上测绘行政主管部门颁发的乙级及以上测绘资质（专业类别包含 “工程测量”），并符合《政府采购法》第二十二条规定的基本资格条件。</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1FCDE801">
            <w:pPr>
              <w:rPr>
                <w:rFonts w:hint="eastAsia" w:ascii="宋体" w:hAnsi="宋体"/>
                <w:b/>
                <w:sz w:val="24"/>
                <w:szCs w:val="32"/>
              </w:rPr>
            </w:pPr>
            <w:r>
              <w:rPr>
                <w:rFonts w:hint="eastAsia" w:ascii="宋体" w:hAnsi="宋体"/>
                <w:b/>
                <w:sz w:val="24"/>
                <w:szCs w:val="32"/>
              </w:rPr>
              <w:t>包干价：</w:t>
            </w:r>
          </w:p>
          <w:p w14:paraId="7AC7CEEC">
            <w:pPr>
              <w:rPr>
                <w:rFonts w:hint="eastAsia" w:ascii="宋体" w:hAnsi="宋体"/>
                <w:b/>
                <w:sz w:val="24"/>
                <w:szCs w:val="32"/>
                <w:u w:val="single"/>
              </w:rPr>
            </w:pPr>
            <w:r>
              <w:rPr>
                <w:rFonts w:hint="eastAsia" w:ascii="宋体" w:hAnsi="宋体"/>
                <w:b/>
                <w:sz w:val="24"/>
                <w:szCs w:val="32"/>
              </w:rPr>
              <w:t>鉴定服务费：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1" w:name="_Toc254970732"/>
      <w:bookmarkEnd w:id="1"/>
      <w:bookmarkStart w:id="2" w:name="_Toc173211904"/>
      <w:bookmarkEnd w:id="2"/>
      <w:bookmarkStart w:id="3" w:name="_Toc254970729"/>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AC10F38"/>
    <w:rsid w:val="0FDA6D75"/>
    <w:rsid w:val="135C2A18"/>
    <w:rsid w:val="17657E11"/>
    <w:rsid w:val="184243B2"/>
    <w:rsid w:val="191C401F"/>
    <w:rsid w:val="1C0C56BC"/>
    <w:rsid w:val="1CEF742A"/>
    <w:rsid w:val="1EBB6528"/>
    <w:rsid w:val="1EE46634"/>
    <w:rsid w:val="222C71A7"/>
    <w:rsid w:val="25C119DF"/>
    <w:rsid w:val="25C36217"/>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CC91C79"/>
    <w:rsid w:val="5D5C7F59"/>
    <w:rsid w:val="5E153A5E"/>
    <w:rsid w:val="5E1E4AEE"/>
    <w:rsid w:val="5FC20152"/>
    <w:rsid w:val="5FFF268C"/>
    <w:rsid w:val="61B56FEA"/>
    <w:rsid w:val="644B6723"/>
    <w:rsid w:val="65231C0C"/>
    <w:rsid w:val="65744A4C"/>
    <w:rsid w:val="6B5576A6"/>
    <w:rsid w:val="6E5056F0"/>
    <w:rsid w:val="6FC75B1F"/>
    <w:rsid w:val="718906D9"/>
    <w:rsid w:val="71F02BFB"/>
    <w:rsid w:val="77112A42"/>
    <w:rsid w:val="777F5BFE"/>
    <w:rsid w:val="7A5A39E8"/>
    <w:rsid w:val="7C2914F4"/>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1099</Words>
  <Characters>1154</Characters>
  <Lines>37</Lines>
  <Paragraphs>40</Paragraphs>
  <TotalTime>1</TotalTime>
  <ScaleCrop>false</ScaleCrop>
  <LinksUpToDate>false</LinksUpToDate>
  <CharactersWithSpaces>1193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王吉翠</cp:lastModifiedBy>
  <dcterms:modified xsi:type="dcterms:W3CDTF">2026-02-24T03:14:54Z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eyJoZGlkIjoiNzRhYzMzYWFlM2RmZDY3YzQ1ZjQ1N2E5M2MzNjA4ZmIiLCJ1c2VySWQiOiIxNTI0MTM3NjQ0In0=</vt:lpwstr>
  </property>
  <property fmtid="{D5CDD505-2E9C-101B-9397-08002B2CF9AE}" pid="4" name="ICV">
    <vt:lpwstr>CE5A9FC7FC6F4322BACC099DDE9B290B_13</vt:lpwstr>
  </property>
</Properties>
</file>