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C7002">
      <w:pPr>
        <w:jc w:val="left"/>
        <w:rPr>
          <w:rFonts w:hint="eastAsia" w:ascii="宋体" w:hAnsi="宋体"/>
          <w:sz w:val="28"/>
          <w:szCs w:val="28"/>
        </w:rPr>
      </w:pPr>
      <w:r>
        <w:rPr>
          <w:rFonts w:hint="eastAsia" w:ascii="宋体" w:hAnsi="宋体"/>
          <w:sz w:val="28"/>
          <w:szCs w:val="28"/>
        </w:rPr>
        <w:t>附件</w:t>
      </w:r>
      <w:r>
        <w:rPr>
          <w:rFonts w:ascii="宋体" w:hAnsi="宋体"/>
          <w:sz w:val="28"/>
          <w:szCs w:val="28"/>
        </w:rPr>
        <w:t>1</w:t>
      </w:r>
      <w:r>
        <w:rPr>
          <w:rFonts w:hint="eastAsia" w:ascii="宋体" w:hAnsi="宋体"/>
          <w:sz w:val="28"/>
          <w:szCs w:val="28"/>
        </w:rPr>
        <w:t>：</w:t>
      </w:r>
    </w:p>
    <w:p w14:paraId="0C88CB21">
      <w:pPr>
        <w:pStyle w:val="3"/>
        <w:widowControl/>
        <w:wordWrap w:val="0"/>
        <w:spacing w:beforeAutospacing="0" w:afterAutospacing="0" w:line="560" w:lineRule="exact"/>
        <w:jc w:val="center"/>
        <w:rPr>
          <w:rFonts w:hint="eastAsia" w:ascii="宋体" w:hAnsi="宋体"/>
          <w:b/>
          <w:sz w:val="36"/>
          <w:szCs w:val="36"/>
        </w:rPr>
      </w:pPr>
      <w:r>
        <w:rPr>
          <w:rFonts w:hint="eastAsia" w:ascii="宋体" w:hAnsi="宋体"/>
          <w:b/>
          <w:sz w:val="36"/>
          <w:szCs w:val="36"/>
        </w:rPr>
        <w:t>广西财经学院相思湖校区南宁市石埠河段环境综合整治工程项目建议书、可行性研究报告及地形测量项目询价采购报价单</w:t>
      </w:r>
    </w:p>
    <w:tbl>
      <w:tblPr>
        <w:tblStyle w:val="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0"/>
        <w:gridCol w:w="8268"/>
      </w:tblGrid>
      <w:tr w14:paraId="5B0D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02" w:type="pct"/>
            <w:vAlign w:val="center"/>
          </w:tcPr>
          <w:p w14:paraId="29827049">
            <w:pPr>
              <w:jc w:val="center"/>
              <w:rPr>
                <w:rFonts w:hint="eastAsia" w:ascii="宋体" w:hAnsi="宋体"/>
                <w:sz w:val="28"/>
                <w:szCs w:val="36"/>
              </w:rPr>
            </w:pPr>
            <w:r>
              <w:rPr>
                <w:rFonts w:ascii="宋体" w:hAnsi="宋体"/>
                <w:b/>
                <w:sz w:val="28"/>
                <w:szCs w:val="36"/>
              </w:rPr>
              <w:t>项目名称</w:t>
            </w:r>
          </w:p>
        </w:tc>
        <w:tc>
          <w:tcPr>
            <w:tcW w:w="4197" w:type="pct"/>
            <w:vAlign w:val="center"/>
          </w:tcPr>
          <w:p w14:paraId="6020074A">
            <w:pPr>
              <w:jc w:val="center"/>
              <w:rPr>
                <w:rFonts w:hint="eastAsia" w:ascii="宋体" w:hAnsi="宋体"/>
                <w:b/>
                <w:sz w:val="28"/>
                <w:szCs w:val="36"/>
              </w:rPr>
            </w:pPr>
            <w:r>
              <w:rPr>
                <w:rFonts w:ascii="宋体" w:hAnsi="宋体"/>
                <w:b/>
                <w:sz w:val="28"/>
                <w:szCs w:val="36"/>
              </w:rPr>
              <w:t>项目规模及服务内容</w:t>
            </w:r>
          </w:p>
        </w:tc>
      </w:tr>
      <w:tr w14:paraId="3678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802" w:type="pct"/>
            <w:vAlign w:val="center"/>
          </w:tcPr>
          <w:p w14:paraId="64AA5A51">
            <w:pPr>
              <w:spacing w:line="560" w:lineRule="exact"/>
              <w:rPr>
                <w:rFonts w:hint="eastAsia" w:ascii="宋体" w:hAnsi="宋体"/>
                <w:b/>
                <w:sz w:val="28"/>
                <w:szCs w:val="36"/>
              </w:rPr>
            </w:pPr>
            <w:r>
              <w:rPr>
                <w:rFonts w:hint="eastAsia" w:ascii="宋体" w:hAnsi="宋体"/>
                <w:b/>
                <w:sz w:val="28"/>
                <w:szCs w:val="36"/>
              </w:rPr>
              <w:t>广西财经学院相思湖校区南宁市石埠河段环境综合整治工程项目建议书、可行性研究报告及地形测量项目</w:t>
            </w:r>
          </w:p>
        </w:tc>
        <w:tc>
          <w:tcPr>
            <w:tcW w:w="4197" w:type="pct"/>
            <w:vAlign w:val="center"/>
          </w:tcPr>
          <w:p w14:paraId="41401487">
            <w:pPr>
              <w:keepNext w:val="0"/>
              <w:keepLines w:val="0"/>
              <w:pageBreakBefore w:val="0"/>
              <w:kinsoku/>
              <w:overflowPunct/>
              <w:topLinePunct w:val="0"/>
              <w:autoSpaceDE/>
              <w:autoSpaceDN/>
              <w:bidi w:val="0"/>
              <w:adjustRightInd/>
              <w:snapToGrid/>
              <w:spacing w:line="240" w:lineRule="exact"/>
              <w:ind w:firstLine="482" w:firstLineChars="200"/>
              <w:textAlignment w:val="auto"/>
              <w:rPr>
                <w:rFonts w:hint="eastAsia" w:ascii="仿宋" w:hAnsi="仿宋" w:eastAsia="仿宋" w:cs="仿宋"/>
                <w:b/>
                <w:sz w:val="24"/>
              </w:rPr>
            </w:pPr>
            <w:r>
              <w:rPr>
                <w:rFonts w:hint="eastAsia" w:ascii="仿宋" w:hAnsi="仿宋" w:eastAsia="仿宋" w:cs="仿宋"/>
                <w:b/>
                <w:sz w:val="24"/>
              </w:rPr>
              <w:t>（一）建设地点：</w:t>
            </w:r>
          </w:p>
          <w:p w14:paraId="6A195DA9">
            <w:pPr>
              <w:keepNext w:val="0"/>
              <w:keepLines w:val="0"/>
              <w:pageBreakBefore w:val="0"/>
              <w:kinsoku/>
              <w:overflowPunct/>
              <w:topLinePunct w:val="0"/>
              <w:autoSpaceDE/>
              <w:autoSpaceDN/>
              <w:bidi w:val="0"/>
              <w:adjustRightInd/>
              <w:snapToGrid/>
              <w:spacing w:line="240" w:lineRule="exact"/>
              <w:ind w:firstLine="480" w:firstLineChars="200"/>
              <w:textAlignment w:val="auto"/>
              <w:rPr>
                <w:rFonts w:hint="eastAsia" w:ascii="仿宋" w:hAnsi="仿宋" w:eastAsia="仿宋" w:cs="仿宋"/>
                <w:bCs/>
                <w:sz w:val="24"/>
              </w:rPr>
            </w:pPr>
            <w:r>
              <w:rPr>
                <w:rFonts w:hint="eastAsia" w:ascii="仿宋" w:hAnsi="仿宋" w:eastAsia="仿宋" w:cs="仿宋"/>
                <w:bCs/>
                <w:sz w:val="24"/>
                <w:lang w:val="en-US" w:eastAsia="zh-CN"/>
              </w:rPr>
              <w:t>南宁市</w:t>
            </w:r>
            <w:r>
              <w:rPr>
                <w:rFonts w:hint="eastAsia" w:ascii="仿宋" w:hAnsi="仿宋" w:eastAsia="仿宋" w:cs="仿宋"/>
                <w:bCs/>
                <w:sz w:val="24"/>
              </w:rPr>
              <w:t>石埠河。</w:t>
            </w:r>
          </w:p>
          <w:p w14:paraId="3974894C">
            <w:pPr>
              <w:keepNext w:val="0"/>
              <w:keepLines w:val="0"/>
              <w:pageBreakBefore w:val="0"/>
              <w:kinsoku/>
              <w:overflowPunct/>
              <w:topLinePunct w:val="0"/>
              <w:autoSpaceDE/>
              <w:autoSpaceDN/>
              <w:bidi w:val="0"/>
              <w:adjustRightInd/>
              <w:snapToGrid/>
              <w:spacing w:line="240" w:lineRule="exact"/>
              <w:ind w:firstLine="482" w:firstLineChars="200"/>
              <w:textAlignment w:val="auto"/>
              <w:rPr>
                <w:rFonts w:hint="eastAsia" w:ascii="仿宋" w:hAnsi="仿宋" w:eastAsia="仿宋" w:cs="仿宋"/>
                <w:b/>
                <w:sz w:val="24"/>
              </w:rPr>
            </w:pPr>
            <w:r>
              <w:rPr>
                <w:rFonts w:hint="eastAsia" w:ascii="仿宋" w:hAnsi="仿宋" w:eastAsia="仿宋" w:cs="仿宋"/>
                <w:b/>
                <w:sz w:val="24"/>
              </w:rPr>
              <w:t>（二）建设规模：</w:t>
            </w:r>
          </w:p>
          <w:p w14:paraId="5FE9B847">
            <w:pPr>
              <w:keepNext w:val="0"/>
              <w:keepLines w:val="0"/>
              <w:pageBreakBefore w:val="0"/>
              <w:widowControl/>
              <w:kinsoku/>
              <w:overflowPunct/>
              <w:topLinePunct w:val="0"/>
              <w:autoSpaceDE/>
              <w:autoSpaceDN/>
              <w:bidi w:val="0"/>
              <w:adjustRightInd/>
              <w:snapToGrid/>
              <w:spacing w:line="240" w:lineRule="exact"/>
              <w:ind w:firstLine="480" w:firstLineChars="200"/>
              <w:jc w:val="left"/>
              <w:textAlignment w:val="auto"/>
              <w:rPr>
                <w:rFonts w:hint="eastAsia" w:ascii="仿宋" w:hAnsi="仿宋" w:eastAsia="仿宋" w:cs="仿宋"/>
                <w:bCs/>
                <w:sz w:val="24"/>
                <w:lang w:eastAsia="zh-CN"/>
              </w:rPr>
            </w:pPr>
            <w:r>
              <w:rPr>
                <w:rFonts w:hint="eastAsia" w:ascii="仿宋" w:hAnsi="仿宋" w:eastAsia="仿宋" w:cs="仿宋"/>
                <w:bCs/>
                <w:sz w:val="24"/>
                <w:lang w:eastAsia="zh-CN"/>
              </w:rPr>
              <w:t>南宁市石埠河广西财经学院相思湖校区段及学校至邕江出口段进行治理。主要建设内容为河道整治、泵房建设等，从而达到河道防洪治涝标准，使流域内不受内涝洪水的困扰。</w:t>
            </w:r>
          </w:p>
          <w:p w14:paraId="3B0612F4">
            <w:pPr>
              <w:keepNext w:val="0"/>
              <w:keepLines w:val="0"/>
              <w:pageBreakBefore w:val="0"/>
              <w:widowControl/>
              <w:kinsoku/>
              <w:overflowPunct/>
              <w:topLinePunct w:val="0"/>
              <w:autoSpaceDE/>
              <w:autoSpaceDN/>
              <w:bidi w:val="0"/>
              <w:adjustRightInd/>
              <w:snapToGrid/>
              <w:spacing w:line="240" w:lineRule="exact"/>
              <w:ind w:firstLine="482" w:firstLineChars="200"/>
              <w:jc w:val="left"/>
              <w:textAlignment w:val="auto"/>
              <w:rPr>
                <w:rFonts w:hint="eastAsia" w:ascii="仿宋" w:hAnsi="仿宋" w:eastAsia="仿宋" w:cs="仿宋"/>
                <w:b/>
                <w:sz w:val="24"/>
              </w:rPr>
            </w:pPr>
            <w:r>
              <w:rPr>
                <w:rFonts w:hint="eastAsia" w:ascii="仿宋" w:hAnsi="仿宋" w:eastAsia="仿宋" w:cs="仿宋"/>
                <w:b/>
                <w:sz w:val="24"/>
              </w:rPr>
              <w:t>（三）采购内容：</w:t>
            </w:r>
          </w:p>
          <w:p w14:paraId="0D388224">
            <w:pPr>
              <w:keepNext w:val="0"/>
              <w:keepLines w:val="0"/>
              <w:pageBreakBefore w:val="0"/>
              <w:widowControl/>
              <w:kinsoku/>
              <w:overflowPunct/>
              <w:topLinePunct w:val="0"/>
              <w:autoSpaceDE/>
              <w:autoSpaceDN/>
              <w:bidi w:val="0"/>
              <w:adjustRightInd/>
              <w:snapToGrid/>
              <w:spacing w:line="240" w:lineRule="exact"/>
              <w:ind w:firstLine="480" w:firstLineChars="200"/>
              <w:jc w:val="left"/>
              <w:textAlignment w:val="auto"/>
              <w:rPr>
                <w:rFonts w:hint="eastAsia" w:ascii="仿宋" w:hAnsi="仿宋" w:eastAsia="仿宋" w:cs="仿宋"/>
                <w:bCs/>
                <w:sz w:val="24"/>
              </w:rPr>
            </w:pPr>
            <w:r>
              <w:rPr>
                <w:rFonts w:hint="eastAsia" w:ascii="仿宋" w:hAnsi="仿宋" w:eastAsia="仿宋" w:cs="仿宋"/>
                <w:bCs/>
                <w:sz w:val="24"/>
              </w:rPr>
              <w:t>广西财经学院相思湖校区段及学校至邕江出口段综合整治工程项目建议书、可行性研究报告及地形测量。</w:t>
            </w:r>
          </w:p>
          <w:p w14:paraId="23490E29">
            <w:pPr>
              <w:keepNext w:val="0"/>
              <w:keepLines w:val="0"/>
              <w:pageBreakBefore w:val="0"/>
              <w:widowControl/>
              <w:kinsoku/>
              <w:overflowPunct/>
              <w:topLinePunct w:val="0"/>
              <w:autoSpaceDE/>
              <w:autoSpaceDN/>
              <w:bidi w:val="0"/>
              <w:adjustRightInd/>
              <w:snapToGrid/>
              <w:spacing w:line="240" w:lineRule="exact"/>
              <w:ind w:firstLine="482" w:firstLineChars="200"/>
              <w:jc w:val="left"/>
              <w:textAlignment w:val="auto"/>
              <w:rPr>
                <w:rFonts w:hint="eastAsia" w:ascii="仿宋" w:hAnsi="仿宋" w:eastAsia="仿宋" w:cs="仿宋"/>
                <w:b/>
                <w:sz w:val="24"/>
              </w:rPr>
            </w:pPr>
            <w:r>
              <w:rPr>
                <w:rFonts w:hint="eastAsia" w:ascii="仿宋" w:hAnsi="仿宋" w:eastAsia="仿宋" w:cs="仿宋"/>
                <w:b/>
                <w:sz w:val="24"/>
              </w:rPr>
              <w:t>（四）上限控制价：</w:t>
            </w:r>
          </w:p>
          <w:p w14:paraId="29687786">
            <w:pPr>
              <w:keepNext w:val="0"/>
              <w:keepLines w:val="0"/>
              <w:pageBreakBefore w:val="0"/>
              <w:widowControl/>
              <w:kinsoku/>
              <w:overflowPunct/>
              <w:topLinePunct w:val="0"/>
              <w:autoSpaceDE/>
              <w:autoSpaceDN/>
              <w:bidi w:val="0"/>
              <w:adjustRightInd/>
              <w:snapToGrid/>
              <w:spacing w:line="240" w:lineRule="exact"/>
              <w:ind w:firstLine="420" w:firstLineChars="200"/>
              <w:jc w:val="left"/>
              <w:textAlignment w:val="auto"/>
              <w:rPr>
                <w:rFonts w:hint="eastAsia" w:ascii="仿宋" w:hAnsi="仿宋" w:eastAsia="仿宋" w:cs="仿宋"/>
                <w:bCs/>
                <w:kern w:val="2"/>
              </w:rPr>
            </w:pPr>
            <w:r>
              <w:rPr>
                <w:rFonts w:hint="eastAsia" w:ascii="仿宋" w:hAnsi="仿宋" w:eastAsia="仿宋" w:cs="仿宋"/>
                <w:bCs/>
                <w:kern w:val="2"/>
              </w:rPr>
              <w:t>项目建议书：人民币（大写）捌万玖仟陆佰元整（小写）¥8.96万元。</w:t>
            </w:r>
          </w:p>
          <w:p w14:paraId="477F415C">
            <w:pPr>
              <w:keepNext w:val="0"/>
              <w:keepLines w:val="0"/>
              <w:pageBreakBefore w:val="0"/>
              <w:widowControl/>
              <w:kinsoku/>
              <w:overflowPunct/>
              <w:topLinePunct w:val="0"/>
              <w:autoSpaceDE/>
              <w:autoSpaceDN/>
              <w:bidi w:val="0"/>
              <w:adjustRightInd/>
              <w:snapToGrid/>
              <w:spacing w:line="240" w:lineRule="exact"/>
              <w:ind w:firstLine="420" w:firstLineChars="200"/>
              <w:jc w:val="left"/>
              <w:textAlignment w:val="auto"/>
              <w:rPr>
                <w:rFonts w:hint="eastAsia" w:ascii="仿宋" w:hAnsi="仿宋" w:eastAsia="仿宋" w:cs="仿宋"/>
                <w:bCs/>
                <w:kern w:val="2"/>
              </w:rPr>
            </w:pPr>
            <w:r>
              <w:rPr>
                <w:rFonts w:hint="eastAsia" w:ascii="仿宋" w:hAnsi="仿宋" w:eastAsia="仿宋" w:cs="仿宋"/>
                <w:bCs/>
                <w:kern w:val="2"/>
              </w:rPr>
              <w:t>可行性研究报告：人民币（大写）壹拾柒万玖仟贰佰元整（小写）¥17.92万元。</w:t>
            </w:r>
          </w:p>
          <w:p w14:paraId="29692A29">
            <w:pPr>
              <w:keepNext w:val="0"/>
              <w:keepLines w:val="0"/>
              <w:pageBreakBefore w:val="0"/>
              <w:widowControl/>
              <w:kinsoku/>
              <w:overflowPunct/>
              <w:topLinePunct w:val="0"/>
              <w:autoSpaceDE/>
              <w:autoSpaceDN/>
              <w:bidi w:val="0"/>
              <w:adjustRightInd/>
              <w:snapToGrid/>
              <w:spacing w:line="240" w:lineRule="exact"/>
              <w:ind w:firstLine="420" w:firstLineChars="200"/>
              <w:jc w:val="left"/>
              <w:textAlignment w:val="auto"/>
              <w:rPr>
                <w:rFonts w:hint="eastAsia" w:ascii="仿宋" w:hAnsi="仿宋" w:eastAsia="仿宋" w:cs="仿宋"/>
                <w:bCs/>
                <w:kern w:val="2"/>
              </w:rPr>
            </w:pPr>
            <w:r>
              <w:rPr>
                <w:rFonts w:hint="eastAsia" w:ascii="仿宋" w:hAnsi="仿宋" w:eastAsia="仿宋" w:cs="仿宋"/>
                <w:bCs/>
                <w:kern w:val="2"/>
              </w:rPr>
              <w:t>地形测量：人民币（大写）叁万壹仟贰佰元整（小写）¥3.12万元。</w:t>
            </w:r>
          </w:p>
          <w:p w14:paraId="48AB68AB">
            <w:pPr>
              <w:keepNext w:val="0"/>
              <w:keepLines w:val="0"/>
              <w:pageBreakBefore w:val="0"/>
              <w:widowControl/>
              <w:kinsoku/>
              <w:overflowPunct/>
              <w:topLinePunct w:val="0"/>
              <w:autoSpaceDE/>
              <w:autoSpaceDN/>
              <w:bidi w:val="0"/>
              <w:adjustRightInd/>
              <w:snapToGrid/>
              <w:spacing w:line="240" w:lineRule="exact"/>
              <w:ind w:firstLine="420" w:firstLineChars="200"/>
              <w:jc w:val="left"/>
              <w:textAlignment w:val="auto"/>
              <w:rPr>
                <w:rFonts w:hint="eastAsia" w:ascii="仿宋" w:hAnsi="仿宋" w:eastAsia="仿宋" w:cs="仿宋"/>
                <w:bCs/>
                <w:kern w:val="2"/>
              </w:rPr>
            </w:pPr>
            <w:r>
              <w:rPr>
                <w:rFonts w:hint="eastAsia" w:ascii="仿宋" w:hAnsi="仿宋" w:eastAsia="仿宋" w:cs="仿宋"/>
                <w:bCs/>
                <w:kern w:val="2"/>
              </w:rPr>
              <w:t>共计：人民币（大写）叁拾万元整（小写）¥30万元。</w:t>
            </w:r>
          </w:p>
          <w:p w14:paraId="2CFD20DA">
            <w:pPr>
              <w:keepNext w:val="0"/>
              <w:keepLines w:val="0"/>
              <w:pageBreakBefore w:val="0"/>
              <w:widowControl/>
              <w:kinsoku/>
              <w:overflowPunct/>
              <w:topLinePunct w:val="0"/>
              <w:autoSpaceDE/>
              <w:autoSpaceDN/>
              <w:bidi w:val="0"/>
              <w:adjustRightInd/>
              <w:snapToGrid/>
              <w:spacing w:line="240" w:lineRule="exact"/>
              <w:ind w:firstLine="482" w:firstLineChars="200"/>
              <w:jc w:val="left"/>
              <w:textAlignment w:val="auto"/>
              <w:rPr>
                <w:rFonts w:hint="eastAsia" w:ascii="仿宋" w:hAnsi="仿宋" w:eastAsia="仿宋" w:cs="仿宋"/>
                <w:b/>
                <w:sz w:val="24"/>
              </w:rPr>
            </w:pPr>
            <w:r>
              <w:rPr>
                <w:rFonts w:hint="eastAsia" w:ascii="仿宋" w:hAnsi="仿宋" w:eastAsia="仿宋" w:cs="仿宋"/>
                <w:b/>
                <w:sz w:val="24"/>
              </w:rPr>
              <w:t>（五）服务周期：</w:t>
            </w:r>
          </w:p>
          <w:p w14:paraId="5B204955">
            <w:pPr>
              <w:pStyle w:val="3"/>
              <w:keepNext w:val="0"/>
              <w:keepLines w:val="0"/>
              <w:pageBreakBefore w:val="0"/>
              <w:widowControl/>
              <w:kinsoku/>
              <w:wordWrap w:val="0"/>
              <w:overflowPunct/>
              <w:topLinePunct w:val="0"/>
              <w:autoSpaceDE/>
              <w:autoSpaceDN/>
              <w:bidi w:val="0"/>
              <w:adjustRightInd/>
              <w:snapToGrid/>
              <w:spacing w:beforeAutospacing="0" w:afterAutospacing="0" w:line="240" w:lineRule="exact"/>
              <w:ind w:firstLine="480" w:firstLineChars="200"/>
              <w:jc w:val="both"/>
              <w:textAlignment w:val="auto"/>
              <w:rPr>
                <w:rFonts w:hint="eastAsia" w:ascii="仿宋" w:hAnsi="仿宋" w:eastAsia="仿宋" w:cs="仿宋"/>
                <w:bCs/>
                <w:kern w:val="2"/>
              </w:rPr>
            </w:pPr>
            <w:r>
              <w:rPr>
                <w:rFonts w:hint="eastAsia" w:ascii="仿宋" w:hAnsi="仿宋" w:eastAsia="仿宋" w:cs="仿宋"/>
                <w:bCs/>
                <w:kern w:val="2"/>
              </w:rPr>
              <w:t>自成交通知书发出之日起至本工程竣工验收合格之日止。</w:t>
            </w:r>
          </w:p>
          <w:p w14:paraId="0891D78E">
            <w:pPr>
              <w:pStyle w:val="3"/>
              <w:keepNext w:val="0"/>
              <w:keepLines w:val="0"/>
              <w:pageBreakBefore w:val="0"/>
              <w:widowControl/>
              <w:kinsoku/>
              <w:wordWrap w:val="0"/>
              <w:overflowPunct/>
              <w:topLinePunct w:val="0"/>
              <w:autoSpaceDE/>
              <w:autoSpaceDN/>
              <w:bidi w:val="0"/>
              <w:adjustRightInd/>
              <w:snapToGrid/>
              <w:spacing w:beforeAutospacing="0" w:afterAutospacing="0" w:line="240" w:lineRule="exact"/>
              <w:ind w:firstLine="482" w:firstLineChars="200"/>
              <w:jc w:val="both"/>
              <w:textAlignment w:val="auto"/>
              <w:rPr>
                <w:rFonts w:hint="eastAsia" w:ascii="仿宋" w:hAnsi="仿宋" w:eastAsia="仿宋" w:cs="仿宋"/>
                <w:b/>
                <w:kern w:val="2"/>
                <w:sz w:val="24"/>
                <w:szCs w:val="24"/>
                <w:lang w:val="en-US" w:eastAsia="zh-CN" w:bidi="ar-SA"/>
              </w:rPr>
            </w:pPr>
            <w:r>
              <w:rPr>
                <w:rFonts w:hint="eastAsia" w:ascii="仿宋" w:hAnsi="仿宋" w:eastAsia="仿宋" w:cs="仿宋"/>
                <w:b/>
                <w:kern w:val="2"/>
                <w:sz w:val="24"/>
                <w:szCs w:val="24"/>
                <w:lang w:val="en-US" w:eastAsia="zh-CN" w:bidi="ar-SA"/>
              </w:rPr>
              <w:t>（六）成果编制周期：</w:t>
            </w:r>
          </w:p>
          <w:p w14:paraId="7BEE4889">
            <w:pPr>
              <w:keepNext w:val="0"/>
              <w:keepLines w:val="0"/>
              <w:pageBreakBefore w:val="0"/>
              <w:widowControl/>
              <w:kinsoku/>
              <w:overflowPunct/>
              <w:topLinePunct w:val="0"/>
              <w:autoSpaceDE/>
              <w:autoSpaceDN/>
              <w:bidi w:val="0"/>
              <w:adjustRightInd/>
              <w:snapToGrid/>
              <w:spacing w:line="240" w:lineRule="exact"/>
              <w:ind w:firstLine="420" w:firstLineChars="200"/>
              <w:jc w:val="left"/>
              <w:textAlignment w:val="auto"/>
              <w:rPr>
                <w:rFonts w:hint="eastAsia" w:ascii="仿宋" w:hAnsi="仿宋" w:eastAsia="仿宋" w:cs="仿宋"/>
                <w:bCs/>
                <w:kern w:val="2"/>
              </w:rPr>
            </w:pPr>
            <w:r>
              <w:rPr>
                <w:rFonts w:hint="eastAsia" w:ascii="仿宋" w:hAnsi="仿宋" w:eastAsia="仿宋" w:cs="仿宋"/>
                <w:bCs/>
                <w:kern w:val="2"/>
              </w:rPr>
              <w:t>1.自收到开始编制通知之日起，15日历天内完成项目建议书编制；2.完成本工程项目建议书编制后，20日历天内完成可行性研究报告编制。3.地形测量在收到开始勘察测量通知之日起30日历天内完成地形测量内容。</w:t>
            </w:r>
          </w:p>
          <w:p w14:paraId="78D0C414">
            <w:pPr>
              <w:keepNext w:val="0"/>
              <w:keepLines w:val="0"/>
              <w:pageBreakBefore w:val="0"/>
              <w:widowControl/>
              <w:kinsoku/>
              <w:overflowPunct/>
              <w:topLinePunct w:val="0"/>
              <w:autoSpaceDE/>
              <w:autoSpaceDN/>
              <w:bidi w:val="0"/>
              <w:adjustRightInd/>
              <w:snapToGrid/>
              <w:spacing w:line="240" w:lineRule="exact"/>
              <w:ind w:firstLine="482" w:firstLineChars="200"/>
              <w:jc w:val="left"/>
              <w:textAlignment w:val="auto"/>
              <w:rPr>
                <w:rFonts w:hint="eastAsia" w:ascii="仿宋" w:hAnsi="仿宋" w:eastAsia="仿宋" w:cs="仿宋"/>
                <w:b/>
                <w:sz w:val="24"/>
              </w:rPr>
            </w:pPr>
            <w:r>
              <w:rPr>
                <w:rFonts w:hint="eastAsia" w:ascii="仿宋" w:hAnsi="仿宋" w:eastAsia="仿宋" w:cs="仿宋"/>
                <w:b/>
                <w:sz w:val="24"/>
              </w:rPr>
              <w:t>（</w:t>
            </w:r>
            <w:r>
              <w:rPr>
                <w:rFonts w:hint="eastAsia" w:ascii="仿宋" w:hAnsi="仿宋" w:eastAsia="仿宋" w:cs="仿宋"/>
                <w:b/>
                <w:sz w:val="24"/>
                <w:lang w:val="en-US" w:eastAsia="zh-CN"/>
              </w:rPr>
              <w:t>七</w:t>
            </w:r>
            <w:r>
              <w:rPr>
                <w:rFonts w:hint="eastAsia" w:ascii="仿宋" w:hAnsi="仿宋" w:eastAsia="仿宋" w:cs="仿宋"/>
                <w:b/>
                <w:sz w:val="24"/>
              </w:rPr>
              <w:t>）成果要求：</w:t>
            </w:r>
          </w:p>
          <w:p w14:paraId="20A6FCAA">
            <w:pPr>
              <w:keepNext w:val="0"/>
              <w:keepLines w:val="0"/>
              <w:pageBreakBefore w:val="0"/>
              <w:widowControl/>
              <w:kinsoku/>
              <w:overflowPunct/>
              <w:topLinePunct w:val="0"/>
              <w:autoSpaceDE/>
              <w:autoSpaceDN/>
              <w:bidi w:val="0"/>
              <w:adjustRightInd/>
              <w:snapToGrid/>
              <w:spacing w:line="240" w:lineRule="exact"/>
              <w:ind w:firstLine="480" w:firstLineChars="200"/>
              <w:jc w:val="left"/>
              <w:textAlignment w:val="auto"/>
              <w:rPr>
                <w:rFonts w:hint="eastAsia" w:ascii="仿宋" w:hAnsi="仿宋" w:eastAsia="仿宋" w:cs="仿宋"/>
                <w:bCs/>
                <w:sz w:val="24"/>
              </w:rPr>
            </w:pPr>
            <w:r>
              <w:rPr>
                <w:rFonts w:hint="eastAsia" w:ascii="仿宋" w:hAnsi="仿宋" w:eastAsia="仿宋" w:cs="仿宋"/>
                <w:bCs/>
                <w:sz w:val="24"/>
              </w:rPr>
              <w:t>1.满足国家及地方有关法律法规、政策及规划，行业现行规范、规程及标准等要求。2.满足发改部门、评审单位、业主的相关规定。3.所有材料，纸质一式捌份，图纸（图片要求pdf格式、cad要求dwg格式）等电子文档刻成光盘一式贰份。</w:t>
            </w:r>
          </w:p>
          <w:p w14:paraId="61F2188C">
            <w:pPr>
              <w:keepNext w:val="0"/>
              <w:keepLines w:val="0"/>
              <w:pageBreakBefore w:val="0"/>
              <w:widowControl/>
              <w:kinsoku/>
              <w:overflowPunct/>
              <w:topLinePunct w:val="0"/>
              <w:autoSpaceDE/>
              <w:autoSpaceDN/>
              <w:bidi w:val="0"/>
              <w:adjustRightInd/>
              <w:snapToGrid/>
              <w:spacing w:line="240" w:lineRule="exact"/>
              <w:ind w:firstLine="482" w:firstLineChars="200"/>
              <w:jc w:val="left"/>
              <w:textAlignment w:val="auto"/>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lang w:val="en-US" w:eastAsia="zh-CN"/>
              </w:rPr>
              <w:t>八</w:t>
            </w:r>
            <w:r>
              <w:rPr>
                <w:rFonts w:ascii="仿宋" w:hAnsi="仿宋" w:eastAsia="仿宋" w:cs="仿宋"/>
                <w:b/>
                <w:sz w:val="24"/>
              </w:rPr>
              <w:t>）</w:t>
            </w:r>
            <w:r>
              <w:rPr>
                <w:rFonts w:hint="eastAsia" w:ascii="仿宋" w:hAnsi="仿宋" w:eastAsia="仿宋" w:cs="仿宋"/>
                <w:b/>
                <w:sz w:val="24"/>
              </w:rPr>
              <w:t>支付方式</w:t>
            </w:r>
            <w:r>
              <w:rPr>
                <w:rFonts w:ascii="仿宋" w:hAnsi="仿宋" w:eastAsia="仿宋" w:cs="仿宋"/>
                <w:b/>
                <w:sz w:val="24"/>
              </w:rPr>
              <w:t>：</w:t>
            </w:r>
            <w:r>
              <w:rPr>
                <w:rFonts w:hint="eastAsia" w:ascii="仿宋" w:hAnsi="仿宋" w:eastAsia="仿宋" w:cs="仿宋"/>
                <w:b/>
                <w:sz w:val="24"/>
              </w:rPr>
              <w:t>供应商资格要求</w:t>
            </w:r>
          </w:p>
          <w:p w14:paraId="70E2ACC2">
            <w:pPr>
              <w:keepNext w:val="0"/>
              <w:keepLines w:val="0"/>
              <w:pageBreakBefore w:val="0"/>
              <w:widowControl/>
              <w:kinsoku/>
              <w:overflowPunct/>
              <w:topLinePunct w:val="0"/>
              <w:autoSpaceDE/>
              <w:autoSpaceDN/>
              <w:bidi w:val="0"/>
              <w:adjustRightInd/>
              <w:snapToGrid/>
              <w:spacing w:line="240" w:lineRule="exact"/>
              <w:ind w:firstLine="420" w:firstLineChars="200"/>
              <w:jc w:val="left"/>
              <w:textAlignment w:val="auto"/>
              <w:rPr>
                <w:rFonts w:hint="eastAsia" w:ascii="仿宋" w:hAnsi="仿宋" w:eastAsia="仿宋" w:cs="仿宋"/>
                <w:bCs/>
                <w:kern w:val="2"/>
              </w:rPr>
            </w:pPr>
            <w:r>
              <w:rPr>
                <w:rFonts w:hint="eastAsia" w:ascii="仿宋" w:hAnsi="仿宋" w:eastAsia="仿宋" w:cs="仿宋"/>
                <w:bCs/>
                <w:kern w:val="2"/>
              </w:rPr>
              <w:t>（一）国内注册（指按国家有关规定要求注册的）经营本次采购服务的供应商。</w:t>
            </w:r>
          </w:p>
          <w:p w14:paraId="1E080747">
            <w:pPr>
              <w:keepNext w:val="0"/>
              <w:keepLines w:val="0"/>
              <w:pageBreakBefore w:val="0"/>
              <w:widowControl/>
              <w:kinsoku/>
              <w:overflowPunct/>
              <w:topLinePunct w:val="0"/>
              <w:autoSpaceDE/>
              <w:autoSpaceDN/>
              <w:bidi w:val="0"/>
              <w:adjustRightInd/>
              <w:snapToGrid/>
              <w:spacing w:line="240" w:lineRule="exact"/>
              <w:ind w:firstLine="420" w:firstLineChars="200"/>
              <w:jc w:val="left"/>
              <w:textAlignment w:val="auto"/>
              <w:rPr>
                <w:rFonts w:hint="eastAsia" w:ascii="仿宋" w:hAnsi="仿宋" w:eastAsia="仿宋" w:cs="仿宋"/>
                <w:bCs/>
                <w:kern w:val="2"/>
              </w:rPr>
            </w:pPr>
            <w:r>
              <w:rPr>
                <w:rFonts w:hint="eastAsia" w:ascii="仿宋" w:hAnsi="仿宋" w:eastAsia="仿宋" w:cs="仿宋"/>
                <w:bCs/>
                <w:kern w:val="2"/>
              </w:rPr>
              <w:t>（二）供应商负责人为同一人或者存在直接控股、管理关系的不同供应商，不得参加同一合同项下的采购活动。</w:t>
            </w:r>
          </w:p>
          <w:p w14:paraId="1C38AE6B">
            <w:pPr>
              <w:keepNext w:val="0"/>
              <w:keepLines w:val="0"/>
              <w:pageBreakBefore w:val="0"/>
              <w:widowControl/>
              <w:kinsoku/>
              <w:overflowPunct/>
              <w:topLinePunct w:val="0"/>
              <w:autoSpaceDE/>
              <w:autoSpaceDN/>
              <w:bidi w:val="0"/>
              <w:adjustRightInd/>
              <w:snapToGrid/>
              <w:spacing w:line="240" w:lineRule="exact"/>
              <w:ind w:firstLine="420" w:firstLineChars="200"/>
              <w:jc w:val="left"/>
              <w:textAlignment w:val="auto"/>
              <w:rPr>
                <w:rFonts w:hint="eastAsia" w:ascii="仿宋" w:hAnsi="仿宋" w:eastAsia="仿宋" w:cs="仿宋"/>
                <w:bCs/>
                <w:kern w:val="2"/>
              </w:rPr>
            </w:pPr>
            <w:r>
              <w:rPr>
                <w:rFonts w:hint="eastAsia" w:ascii="仿宋" w:hAnsi="仿宋" w:eastAsia="仿宋" w:cs="仿宋"/>
                <w:bCs/>
                <w:kern w:val="2"/>
              </w:rPr>
              <w:t>（三）供应商须具备如下资质之一：</w:t>
            </w:r>
          </w:p>
          <w:p w14:paraId="0214BCD0">
            <w:pPr>
              <w:keepNext w:val="0"/>
              <w:keepLines w:val="0"/>
              <w:pageBreakBefore w:val="0"/>
              <w:widowControl/>
              <w:kinsoku/>
              <w:overflowPunct/>
              <w:topLinePunct w:val="0"/>
              <w:autoSpaceDE/>
              <w:autoSpaceDN/>
              <w:bidi w:val="0"/>
              <w:adjustRightInd/>
              <w:snapToGrid/>
              <w:spacing w:line="240" w:lineRule="exact"/>
              <w:ind w:firstLine="420" w:firstLineChars="200"/>
              <w:jc w:val="left"/>
              <w:textAlignment w:val="auto"/>
              <w:rPr>
                <w:rFonts w:hint="eastAsia" w:ascii="仿宋" w:hAnsi="仿宋" w:eastAsia="仿宋" w:cs="仿宋"/>
                <w:bCs/>
                <w:kern w:val="2"/>
              </w:rPr>
            </w:pPr>
            <w:r>
              <w:rPr>
                <w:rFonts w:hint="eastAsia" w:ascii="仿宋" w:hAnsi="仿宋" w:eastAsia="仿宋" w:cs="仿宋"/>
                <w:bCs/>
                <w:kern w:val="2"/>
              </w:rPr>
              <w:t>1.具有工程勘察乙级及以上资质；</w:t>
            </w:r>
          </w:p>
          <w:p w14:paraId="2F200E8E">
            <w:pPr>
              <w:keepNext w:val="0"/>
              <w:keepLines w:val="0"/>
              <w:pageBreakBefore w:val="0"/>
              <w:widowControl/>
              <w:kinsoku/>
              <w:overflowPunct/>
              <w:topLinePunct w:val="0"/>
              <w:autoSpaceDE/>
              <w:autoSpaceDN/>
              <w:bidi w:val="0"/>
              <w:adjustRightInd/>
              <w:snapToGrid/>
              <w:spacing w:line="240" w:lineRule="exact"/>
              <w:ind w:firstLine="420" w:firstLineChars="200"/>
              <w:jc w:val="left"/>
              <w:textAlignment w:val="auto"/>
              <w:rPr>
                <w:rFonts w:hint="eastAsia" w:ascii="仿宋" w:hAnsi="仿宋" w:eastAsia="仿宋" w:cs="仿宋"/>
                <w:bCs/>
                <w:kern w:val="2"/>
              </w:rPr>
            </w:pPr>
            <w:r>
              <w:rPr>
                <w:rFonts w:hint="eastAsia" w:ascii="仿宋" w:hAnsi="仿宋" w:eastAsia="仿宋" w:cs="仿宋"/>
                <w:bCs/>
                <w:kern w:val="2"/>
              </w:rPr>
              <w:t>2.水利行业乙级，水利行业（城市防洪）专业甲级。</w:t>
            </w:r>
          </w:p>
          <w:p w14:paraId="67C87986">
            <w:pPr>
              <w:keepNext w:val="0"/>
              <w:keepLines w:val="0"/>
              <w:pageBreakBefore w:val="0"/>
              <w:widowControl/>
              <w:kinsoku/>
              <w:overflowPunct/>
              <w:topLinePunct w:val="0"/>
              <w:autoSpaceDE/>
              <w:autoSpaceDN/>
              <w:bidi w:val="0"/>
              <w:adjustRightInd/>
              <w:snapToGrid/>
              <w:spacing w:line="240" w:lineRule="exact"/>
              <w:ind w:firstLine="420" w:firstLineChars="200"/>
              <w:jc w:val="left"/>
              <w:textAlignment w:val="auto"/>
              <w:rPr>
                <w:rFonts w:hint="eastAsia" w:ascii="仿宋" w:hAnsi="仿宋" w:eastAsia="仿宋" w:cs="仿宋"/>
                <w:bCs/>
                <w:kern w:val="2"/>
              </w:rPr>
            </w:pPr>
            <w:r>
              <w:rPr>
                <w:rFonts w:hint="eastAsia" w:ascii="仿宋" w:hAnsi="仿宋" w:eastAsia="仿宋" w:cs="仿宋"/>
                <w:bCs/>
                <w:kern w:val="2"/>
              </w:rPr>
              <w:t>（四）供应商需在全国投资项目在线审批监管平台备案通过，且所从事的工程咨询专业和服务范围与本次招标相符。</w:t>
            </w:r>
          </w:p>
          <w:p w14:paraId="2BC7D732">
            <w:pPr>
              <w:keepNext w:val="0"/>
              <w:keepLines w:val="0"/>
              <w:pageBreakBefore w:val="0"/>
              <w:widowControl/>
              <w:kinsoku/>
              <w:overflowPunct/>
              <w:topLinePunct w:val="0"/>
              <w:autoSpaceDE/>
              <w:autoSpaceDN/>
              <w:bidi w:val="0"/>
              <w:adjustRightInd/>
              <w:snapToGrid/>
              <w:spacing w:line="240" w:lineRule="exact"/>
              <w:ind w:firstLine="420" w:firstLineChars="200"/>
              <w:jc w:val="left"/>
              <w:textAlignment w:val="auto"/>
              <w:rPr>
                <w:rFonts w:hint="eastAsia" w:ascii="仿宋" w:hAnsi="仿宋" w:eastAsia="仿宋" w:cs="仿宋"/>
                <w:bCs/>
                <w:kern w:val="2"/>
              </w:rPr>
            </w:pPr>
            <w:r>
              <w:rPr>
                <w:rFonts w:hint="eastAsia" w:ascii="仿宋" w:hAnsi="仿宋" w:eastAsia="仿宋" w:cs="仿宋"/>
                <w:bCs/>
                <w:kern w:val="2"/>
              </w:rPr>
              <w:t>（五）2020年9月至今，供应商承担过水利工程的项目建议书、可行性研究报告、地形测量各一项及以上。</w:t>
            </w:r>
          </w:p>
          <w:p w14:paraId="20B0A39E">
            <w:pPr>
              <w:keepNext w:val="0"/>
              <w:keepLines w:val="0"/>
              <w:pageBreakBefore w:val="0"/>
              <w:widowControl/>
              <w:kinsoku/>
              <w:overflowPunct/>
              <w:topLinePunct w:val="0"/>
              <w:autoSpaceDE/>
              <w:autoSpaceDN/>
              <w:bidi w:val="0"/>
              <w:adjustRightInd/>
              <w:snapToGrid/>
              <w:spacing w:line="240" w:lineRule="exact"/>
              <w:ind w:firstLine="420" w:firstLineChars="200"/>
              <w:jc w:val="left"/>
              <w:textAlignment w:val="auto"/>
              <w:rPr>
                <w:rFonts w:hint="eastAsia" w:ascii="仿宋" w:hAnsi="仿宋" w:eastAsia="仿宋" w:cs="仿宋"/>
                <w:bCs/>
                <w:kern w:val="2"/>
              </w:rPr>
            </w:pPr>
            <w:r>
              <w:rPr>
                <w:rFonts w:hint="eastAsia" w:ascii="仿宋" w:hAnsi="仿宋" w:eastAsia="仿宋" w:cs="仿宋"/>
                <w:bCs/>
                <w:kern w:val="2"/>
              </w:rPr>
              <w:t>（六）参加本次采购活动前三年内在经营活动中没有重大违法记录和不良信用记录。</w:t>
            </w:r>
          </w:p>
          <w:p w14:paraId="1138C75C">
            <w:pPr>
              <w:keepNext w:val="0"/>
              <w:keepLines w:val="0"/>
              <w:pageBreakBefore w:val="0"/>
              <w:widowControl/>
              <w:kinsoku/>
              <w:overflowPunct/>
              <w:topLinePunct w:val="0"/>
              <w:autoSpaceDE/>
              <w:autoSpaceDN/>
              <w:bidi w:val="0"/>
              <w:adjustRightInd/>
              <w:snapToGrid/>
              <w:spacing w:line="240" w:lineRule="exact"/>
              <w:ind w:firstLine="420" w:firstLineChars="200"/>
              <w:jc w:val="left"/>
              <w:textAlignment w:val="auto"/>
              <w:rPr>
                <w:rFonts w:hint="eastAsia" w:ascii="仿宋" w:hAnsi="仿宋" w:eastAsia="仿宋" w:cs="仿宋"/>
                <w:bCs/>
                <w:kern w:val="2"/>
              </w:rPr>
            </w:pPr>
            <w:r>
              <w:rPr>
                <w:rFonts w:hint="eastAsia" w:ascii="仿宋" w:hAnsi="仿宋" w:eastAsia="仿宋" w:cs="仿宋"/>
                <w:bCs/>
                <w:kern w:val="2"/>
              </w:rPr>
              <w:t>（七）本项目不接受联合体报价。</w:t>
            </w:r>
          </w:p>
          <w:p w14:paraId="4B88C2EA">
            <w:pPr>
              <w:keepNext w:val="0"/>
              <w:keepLines w:val="0"/>
              <w:pageBreakBefore w:val="0"/>
              <w:widowControl/>
              <w:kinsoku/>
              <w:overflowPunct/>
              <w:topLinePunct w:val="0"/>
              <w:autoSpaceDE/>
              <w:autoSpaceDN/>
              <w:bidi w:val="0"/>
              <w:adjustRightInd/>
              <w:snapToGrid/>
              <w:spacing w:line="240" w:lineRule="exact"/>
              <w:ind w:firstLine="420" w:firstLineChars="200"/>
              <w:jc w:val="left"/>
              <w:textAlignment w:val="auto"/>
              <w:rPr>
                <w:rFonts w:hint="eastAsia" w:ascii="仿宋" w:hAnsi="仿宋" w:eastAsia="仿宋" w:cs="仿宋"/>
                <w:bCs/>
                <w:kern w:val="2"/>
              </w:rPr>
            </w:pPr>
            <w:r>
              <w:rPr>
                <w:rFonts w:hint="eastAsia" w:ascii="仿宋" w:hAnsi="仿宋" w:eastAsia="仿宋" w:cs="仿宋"/>
                <w:bCs/>
                <w:kern w:val="2"/>
              </w:rPr>
              <w:t>（八）若供应商在本校有三个以上（含三个）在建工程或未完成竣工验收项目的，不得参与本次采购活动。</w:t>
            </w:r>
          </w:p>
          <w:p w14:paraId="312859C0">
            <w:pPr>
              <w:keepNext w:val="0"/>
              <w:keepLines w:val="0"/>
              <w:pageBreakBefore w:val="0"/>
              <w:widowControl/>
              <w:kinsoku/>
              <w:overflowPunct/>
              <w:topLinePunct w:val="0"/>
              <w:autoSpaceDE/>
              <w:autoSpaceDN/>
              <w:bidi w:val="0"/>
              <w:adjustRightInd/>
              <w:snapToGrid/>
              <w:spacing w:line="240" w:lineRule="exact"/>
              <w:ind w:firstLine="420" w:firstLineChars="200"/>
              <w:jc w:val="left"/>
              <w:textAlignment w:val="auto"/>
              <w:rPr>
                <w:rFonts w:hint="eastAsia" w:ascii="仿宋" w:hAnsi="仿宋" w:eastAsia="仿宋" w:cs="仿宋"/>
                <w:bCs/>
                <w:kern w:val="2"/>
              </w:rPr>
            </w:pPr>
            <w:r>
              <w:rPr>
                <w:rFonts w:hint="eastAsia" w:ascii="仿宋" w:hAnsi="仿宋" w:eastAsia="仿宋" w:cs="仿宋"/>
                <w:bCs/>
                <w:kern w:val="2"/>
              </w:rPr>
              <w:t>（九）供应商与广西财经学院没有发生过经济纠纷或违约记录。</w:t>
            </w:r>
          </w:p>
          <w:p w14:paraId="74BE785B">
            <w:pPr>
              <w:keepNext w:val="0"/>
              <w:keepLines w:val="0"/>
              <w:pageBreakBefore w:val="0"/>
              <w:widowControl/>
              <w:kinsoku/>
              <w:overflowPunct/>
              <w:topLinePunct w:val="0"/>
              <w:autoSpaceDE/>
              <w:autoSpaceDN/>
              <w:bidi w:val="0"/>
              <w:adjustRightInd/>
              <w:snapToGrid/>
              <w:spacing w:line="240" w:lineRule="exact"/>
              <w:ind w:firstLine="420" w:firstLineChars="200"/>
              <w:jc w:val="left"/>
              <w:textAlignment w:val="auto"/>
              <w:rPr>
                <w:rFonts w:hint="eastAsia" w:ascii="仿宋" w:hAnsi="仿宋" w:eastAsia="仿宋" w:cs="仿宋"/>
                <w:bCs/>
                <w:kern w:val="2"/>
              </w:rPr>
            </w:pPr>
            <w:r>
              <w:rPr>
                <w:rFonts w:hint="eastAsia" w:ascii="仿宋" w:hAnsi="仿宋" w:eastAsia="仿宋" w:cs="仿宋"/>
                <w:bCs/>
                <w:kern w:val="2"/>
              </w:rPr>
              <w:t>（十）凡近三年存在司法诉讼败诉或近三年内有司法纠纷且尚未解决的，均不具备竞标资格。</w:t>
            </w:r>
          </w:p>
          <w:p w14:paraId="3667A0BD">
            <w:pPr>
              <w:keepNext w:val="0"/>
              <w:keepLines w:val="0"/>
              <w:pageBreakBefore w:val="0"/>
              <w:kinsoku/>
              <w:overflowPunct/>
              <w:topLinePunct w:val="0"/>
              <w:autoSpaceDE/>
              <w:autoSpaceDN/>
              <w:bidi w:val="0"/>
              <w:adjustRightInd/>
              <w:snapToGrid/>
              <w:spacing w:line="240" w:lineRule="exact"/>
              <w:ind w:firstLine="482" w:firstLineChars="200"/>
              <w:textAlignment w:val="auto"/>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lang w:val="en-US" w:eastAsia="zh-CN"/>
              </w:rPr>
              <w:t>九</w:t>
            </w:r>
            <w:r>
              <w:rPr>
                <w:rFonts w:ascii="仿宋" w:hAnsi="仿宋" w:eastAsia="仿宋" w:cs="仿宋"/>
                <w:b/>
                <w:sz w:val="24"/>
              </w:rPr>
              <w:t>）</w:t>
            </w:r>
            <w:r>
              <w:rPr>
                <w:rFonts w:hint="eastAsia" w:ascii="仿宋" w:hAnsi="仿宋" w:eastAsia="仿宋" w:cs="仿宋"/>
                <w:b/>
                <w:sz w:val="24"/>
              </w:rPr>
              <w:t>支付方式</w:t>
            </w:r>
            <w:r>
              <w:rPr>
                <w:rFonts w:ascii="仿宋" w:hAnsi="仿宋" w:eastAsia="仿宋" w:cs="仿宋"/>
                <w:b/>
                <w:sz w:val="24"/>
              </w:rPr>
              <w:t>：</w:t>
            </w:r>
          </w:p>
          <w:p w14:paraId="3126A789">
            <w:pPr>
              <w:keepNext w:val="0"/>
              <w:keepLines w:val="0"/>
              <w:pageBreakBefore w:val="0"/>
              <w:widowControl/>
              <w:kinsoku/>
              <w:overflowPunct/>
              <w:topLinePunct w:val="0"/>
              <w:autoSpaceDE/>
              <w:autoSpaceDN/>
              <w:bidi w:val="0"/>
              <w:adjustRightInd/>
              <w:snapToGrid/>
              <w:spacing w:line="240" w:lineRule="exact"/>
              <w:ind w:firstLine="420" w:firstLineChars="200"/>
              <w:jc w:val="left"/>
              <w:textAlignment w:val="auto"/>
              <w:rPr>
                <w:rFonts w:hint="eastAsia" w:ascii="仿宋" w:hAnsi="仿宋" w:eastAsia="仿宋" w:cs="仿宋"/>
                <w:bCs/>
                <w:kern w:val="2"/>
              </w:rPr>
            </w:pPr>
            <w:r>
              <w:rPr>
                <w:rFonts w:hint="eastAsia" w:ascii="仿宋" w:hAnsi="仿宋" w:eastAsia="仿宋" w:cs="仿宋"/>
                <w:bCs/>
                <w:kern w:val="2"/>
              </w:rPr>
              <w:t>（一）本项目不设预付款。</w:t>
            </w:r>
          </w:p>
          <w:p w14:paraId="74E8FDBF">
            <w:pPr>
              <w:keepNext w:val="0"/>
              <w:keepLines w:val="0"/>
              <w:pageBreakBefore w:val="0"/>
              <w:widowControl/>
              <w:kinsoku/>
              <w:overflowPunct/>
              <w:topLinePunct w:val="0"/>
              <w:autoSpaceDE/>
              <w:autoSpaceDN/>
              <w:bidi w:val="0"/>
              <w:adjustRightInd/>
              <w:snapToGrid/>
              <w:spacing w:line="240" w:lineRule="exact"/>
              <w:ind w:firstLine="420" w:firstLineChars="200"/>
              <w:jc w:val="left"/>
              <w:textAlignment w:val="auto"/>
              <w:rPr>
                <w:rFonts w:hint="eastAsia" w:ascii="仿宋" w:hAnsi="仿宋" w:eastAsia="仿宋" w:cs="仿宋"/>
                <w:bCs/>
                <w:kern w:val="2"/>
              </w:rPr>
            </w:pPr>
            <w:r>
              <w:rPr>
                <w:rFonts w:hint="eastAsia" w:ascii="仿宋" w:hAnsi="仿宋" w:eastAsia="仿宋" w:cs="仿宋"/>
                <w:bCs/>
                <w:kern w:val="2"/>
              </w:rPr>
              <w:t>（二）项目建议书经业主及相关部门审核合格后，自收到成交供应商合格发票之日起10个工作日内一次性支付项目建议书编制服务费成交金额的100%。</w:t>
            </w:r>
          </w:p>
          <w:p w14:paraId="431A3330">
            <w:pPr>
              <w:keepNext w:val="0"/>
              <w:keepLines w:val="0"/>
              <w:pageBreakBefore w:val="0"/>
              <w:widowControl/>
              <w:kinsoku/>
              <w:overflowPunct/>
              <w:topLinePunct w:val="0"/>
              <w:autoSpaceDE/>
              <w:autoSpaceDN/>
              <w:bidi w:val="0"/>
              <w:adjustRightInd/>
              <w:snapToGrid/>
              <w:spacing w:line="240" w:lineRule="exact"/>
              <w:ind w:firstLine="420" w:firstLineChars="200"/>
              <w:jc w:val="left"/>
              <w:textAlignment w:val="auto"/>
              <w:rPr>
                <w:rFonts w:hint="eastAsia" w:ascii="仿宋" w:hAnsi="仿宋" w:eastAsia="仿宋" w:cs="仿宋"/>
                <w:bCs/>
                <w:kern w:val="2"/>
              </w:rPr>
            </w:pPr>
            <w:r>
              <w:rPr>
                <w:rFonts w:hint="eastAsia" w:ascii="仿宋" w:hAnsi="仿宋" w:eastAsia="仿宋" w:cs="仿宋"/>
                <w:bCs/>
                <w:kern w:val="2"/>
              </w:rPr>
              <w:t>（三）可行性研究报告经业主及相关部门审核合格后，自收到成交供应商合格发票之日起10个工作日内一次性支付可行性研究报告编制服务费成交金额的90%。</w:t>
            </w:r>
          </w:p>
          <w:p w14:paraId="10EA673F">
            <w:pPr>
              <w:keepNext w:val="0"/>
              <w:keepLines w:val="0"/>
              <w:pageBreakBefore w:val="0"/>
              <w:widowControl/>
              <w:kinsoku/>
              <w:overflowPunct/>
              <w:topLinePunct w:val="0"/>
              <w:autoSpaceDE/>
              <w:autoSpaceDN/>
              <w:bidi w:val="0"/>
              <w:adjustRightInd/>
              <w:snapToGrid/>
              <w:spacing w:line="240" w:lineRule="exact"/>
              <w:ind w:firstLine="420" w:firstLineChars="200"/>
              <w:jc w:val="left"/>
              <w:textAlignment w:val="auto"/>
              <w:rPr>
                <w:rFonts w:hint="eastAsia" w:ascii="仿宋" w:hAnsi="仿宋" w:eastAsia="仿宋" w:cs="仿宋"/>
                <w:bCs/>
                <w:kern w:val="2"/>
              </w:rPr>
            </w:pPr>
            <w:r>
              <w:rPr>
                <w:rFonts w:hint="eastAsia" w:ascii="仿宋" w:hAnsi="仿宋" w:eastAsia="仿宋" w:cs="仿宋"/>
                <w:bCs/>
                <w:kern w:val="2"/>
              </w:rPr>
              <w:t>（四）地形测量经业主及相关部门审核合格之后，自收到成交供应商合格发票之日起10个工作日内一次性支付地形测量服务费成交金额的70%。</w:t>
            </w:r>
          </w:p>
          <w:p w14:paraId="2A317048">
            <w:pPr>
              <w:keepNext w:val="0"/>
              <w:keepLines w:val="0"/>
              <w:pageBreakBefore w:val="0"/>
              <w:widowControl/>
              <w:kinsoku/>
              <w:overflowPunct/>
              <w:topLinePunct w:val="0"/>
              <w:autoSpaceDE/>
              <w:autoSpaceDN/>
              <w:bidi w:val="0"/>
              <w:adjustRightInd/>
              <w:snapToGrid/>
              <w:spacing w:line="240" w:lineRule="exact"/>
              <w:ind w:firstLine="420" w:firstLineChars="200"/>
              <w:jc w:val="left"/>
              <w:textAlignment w:val="auto"/>
              <w:rPr>
                <w:rFonts w:hint="eastAsia" w:ascii="仿宋" w:hAnsi="仿宋" w:eastAsia="仿宋" w:cs="仿宋"/>
                <w:bCs/>
                <w:kern w:val="2"/>
              </w:rPr>
            </w:pPr>
            <w:r>
              <w:rPr>
                <w:rFonts w:hint="eastAsia" w:ascii="仿宋" w:hAnsi="仿宋" w:eastAsia="仿宋" w:cs="仿宋"/>
                <w:bCs/>
                <w:kern w:val="2"/>
              </w:rPr>
              <w:t>（五）竣工验收结束，自收到成交供应商合格发票之日起10个工作日内一次性支付可行性研究报告编制、地形测量服务费至成交金额的100%（含已支付部分）。</w:t>
            </w:r>
          </w:p>
          <w:p w14:paraId="53318AA2">
            <w:pPr>
              <w:keepNext w:val="0"/>
              <w:keepLines w:val="0"/>
              <w:pageBreakBefore w:val="0"/>
              <w:widowControl/>
              <w:kinsoku/>
              <w:overflowPunct/>
              <w:topLinePunct w:val="0"/>
              <w:autoSpaceDE/>
              <w:autoSpaceDN/>
              <w:bidi w:val="0"/>
              <w:adjustRightInd/>
              <w:snapToGrid/>
              <w:spacing w:line="240" w:lineRule="exact"/>
              <w:ind w:firstLine="420" w:firstLineChars="200"/>
              <w:jc w:val="left"/>
              <w:textAlignment w:val="auto"/>
              <w:rPr>
                <w:rFonts w:hint="eastAsia" w:ascii="仿宋" w:hAnsi="仿宋" w:eastAsia="仿宋" w:cs="仿宋"/>
                <w:bCs/>
                <w:kern w:val="2"/>
              </w:rPr>
            </w:pPr>
            <w:r>
              <w:rPr>
                <w:rFonts w:hint="eastAsia" w:ascii="仿宋" w:hAnsi="仿宋" w:eastAsia="仿宋" w:cs="仿宋"/>
                <w:bCs/>
                <w:kern w:val="2"/>
              </w:rPr>
              <w:t>（六）若无法进行下一阶段工作，可行性研究报告编制、地形测量经报相关部门及业主审核合格两年后，自收到成交供应商合格发票之日起14个工作日内一次性支付可行性研究报告编制、地形测量服务费至成交金额的100%（含已支付的）。</w:t>
            </w:r>
          </w:p>
          <w:p w14:paraId="2A990252">
            <w:pPr>
              <w:keepNext w:val="0"/>
              <w:keepLines w:val="0"/>
              <w:pageBreakBefore w:val="0"/>
              <w:widowControl/>
              <w:kinsoku/>
              <w:overflowPunct/>
              <w:topLinePunct w:val="0"/>
              <w:autoSpaceDE/>
              <w:autoSpaceDN/>
              <w:bidi w:val="0"/>
              <w:adjustRightInd/>
              <w:snapToGrid/>
              <w:spacing w:line="240" w:lineRule="exact"/>
              <w:ind w:firstLine="482" w:firstLineChars="200"/>
              <w:jc w:val="left"/>
              <w:textAlignment w:val="auto"/>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lang w:eastAsia="zh-CN"/>
              </w:rPr>
              <w:t>十</w:t>
            </w:r>
            <w:r>
              <w:rPr>
                <w:rFonts w:ascii="仿宋" w:hAnsi="仿宋" w:eastAsia="仿宋" w:cs="仿宋"/>
                <w:b/>
                <w:sz w:val="24"/>
              </w:rPr>
              <w:t>）</w:t>
            </w:r>
            <w:r>
              <w:rPr>
                <w:rFonts w:hint="eastAsia" w:ascii="仿宋" w:hAnsi="仿宋" w:eastAsia="仿宋" w:cs="仿宋"/>
                <w:b/>
                <w:sz w:val="24"/>
              </w:rPr>
              <w:t>承包方式</w:t>
            </w:r>
            <w:r>
              <w:rPr>
                <w:rFonts w:ascii="仿宋" w:hAnsi="仿宋" w:eastAsia="仿宋" w:cs="仿宋"/>
                <w:b/>
                <w:sz w:val="24"/>
              </w:rPr>
              <w:t>：</w:t>
            </w:r>
          </w:p>
          <w:p w14:paraId="0DFA6D23">
            <w:pPr>
              <w:pStyle w:val="3"/>
              <w:keepNext w:val="0"/>
              <w:keepLines w:val="0"/>
              <w:pageBreakBefore w:val="0"/>
              <w:widowControl/>
              <w:kinsoku/>
              <w:wordWrap w:val="0"/>
              <w:overflowPunct/>
              <w:topLinePunct w:val="0"/>
              <w:autoSpaceDE/>
              <w:autoSpaceDN/>
              <w:bidi w:val="0"/>
              <w:adjustRightInd/>
              <w:snapToGrid/>
              <w:spacing w:beforeAutospacing="0" w:afterAutospacing="0" w:line="240" w:lineRule="exact"/>
              <w:ind w:firstLine="480" w:firstLineChars="200"/>
              <w:jc w:val="both"/>
              <w:textAlignment w:val="auto"/>
              <w:rPr>
                <w:rFonts w:hint="eastAsia" w:ascii="仿宋" w:hAnsi="仿宋" w:eastAsia="仿宋" w:cs="仿宋"/>
                <w:bCs/>
                <w:kern w:val="2"/>
              </w:rPr>
            </w:pPr>
            <w:r>
              <w:rPr>
                <w:rFonts w:hint="eastAsia" w:ascii="仿宋" w:hAnsi="仿宋" w:eastAsia="仿宋" w:cs="仿宋"/>
                <w:bCs/>
                <w:kern w:val="2"/>
              </w:rPr>
              <w:t>总价包干（报价包括但不限于完成本项目所需的各项成本、人工费、材料费、管理费、专家评审费、开办费、税金</w:t>
            </w:r>
            <w:r>
              <w:rPr>
                <w:rFonts w:hint="eastAsia" w:ascii="仿宋" w:hAnsi="仿宋" w:eastAsia="仿宋" w:cs="仿宋"/>
                <w:bCs/>
                <w:kern w:val="2"/>
                <w:lang w:eastAsia="zh-CN"/>
              </w:rPr>
              <w:t>、</w:t>
            </w:r>
            <w:r>
              <w:rPr>
                <w:rFonts w:hint="eastAsia" w:ascii="仿宋" w:hAnsi="仿宋" w:eastAsia="仿宋" w:cs="仿宋"/>
                <w:bCs/>
                <w:kern w:val="2"/>
                <w:lang w:val="en-US" w:eastAsia="zh-CN"/>
              </w:rPr>
              <w:t>青赔</w:t>
            </w:r>
            <w:r>
              <w:rPr>
                <w:rFonts w:hint="eastAsia" w:ascii="仿宋" w:hAnsi="仿宋" w:eastAsia="仿宋" w:cs="仿宋"/>
                <w:bCs/>
                <w:kern w:val="2"/>
              </w:rPr>
              <w:t>及场地费、利润等所有费用）。</w:t>
            </w:r>
          </w:p>
          <w:p w14:paraId="538BCD74">
            <w:pPr>
              <w:keepNext w:val="0"/>
              <w:keepLines w:val="0"/>
              <w:pageBreakBefore w:val="0"/>
              <w:kinsoku/>
              <w:overflowPunct/>
              <w:topLinePunct w:val="0"/>
              <w:autoSpaceDE/>
              <w:autoSpaceDN/>
              <w:bidi w:val="0"/>
              <w:adjustRightInd/>
              <w:snapToGrid/>
              <w:spacing w:line="240" w:lineRule="exact"/>
              <w:ind w:firstLine="482" w:firstLineChars="200"/>
              <w:textAlignment w:val="auto"/>
              <w:rPr>
                <w:rFonts w:hint="eastAsia" w:ascii="仿宋" w:hAnsi="仿宋" w:eastAsia="仿宋" w:cs="仿宋"/>
                <w:b/>
                <w:sz w:val="24"/>
              </w:rPr>
            </w:pPr>
            <w:r>
              <w:rPr>
                <w:rFonts w:ascii="仿宋" w:hAnsi="仿宋" w:eastAsia="仿宋" w:cs="仿宋"/>
                <w:b/>
                <w:sz w:val="24"/>
              </w:rPr>
              <w:t>（</w:t>
            </w:r>
            <w:r>
              <w:rPr>
                <w:rFonts w:hint="eastAsia" w:ascii="仿宋" w:hAnsi="仿宋" w:eastAsia="仿宋" w:cs="仿宋"/>
                <w:b/>
                <w:sz w:val="24"/>
              </w:rPr>
              <w:t>十</w:t>
            </w:r>
            <w:r>
              <w:rPr>
                <w:rFonts w:hint="eastAsia" w:ascii="仿宋" w:hAnsi="仿宋" w:eastAsia="仿宋" w:cs="仿宋"/>
                <w:b/>
                <w:sz w:val="24"/>
                <w:lang w:eastAsia="zh-CN"/>
              </w:rPr>
              <w:t>一</w:t>
            </w:r>
            <w:r>
              <w:rPr>
                <w:rFonts w:ascii="仿宋" w:hAnsi="仿宋" w:eastAsia="仿宋" w:cs="仿宋"/>
                <w:b/>
                <w:sz w:val="24"/>
              </w:rPr>
              <w:t>）履约保证金：</w:t>
            </w:r>
          </w:p>
          <w:p w14:paraId="407F4080">
            <w:pPr>
              <w:keepNext w:val="0"/>
              <w:keepLines w:val="0"/>
              <w:pageBreakBefore w:val="0"/>
              <w:widowControl/>
              <w:kinsoku/>
              <w:overflowPunct/>
              <w:topLinePunct w:val="0"/>
              <w:autoSpaceDE/>
              <w:autoSpaceDN/>
              <w:bidi w:val="0"/>
              <w:adjustRightInd/>
              <w:snapToGrid/>
              <w:spacing w:line="240" w:lineRule="exact"/>
              <w:ind w:firstLine="480" w:firstLineChars="200"/>
              <w:jc w:val="left"/>
              <w:textAlignment w:val="auto"/>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（一）成交供应商自收到成交通知书之日起7日历天内按成交金额的5%缴纳履约保证金（如为中小企业，则履约保证金比例为2%），否则将取消其成交资格。</w:t>
            </w:r>
          </w:p>
          <w:p w14:paraId="556AEB2E">
            <w:pPr>
              <w:keepNext w:val="0"/>
              <w:keepLines w:val="0"/>
              <w:pageBreakBefore w:val="0"/>
              <w:widowControl/>
              <w:kinsoku/>
              <w:overflowPunct/>
              <w:topLinePunct w:val="0"/>
              <w:autoSpaceDE/>
              <w:autoSpaceDN/>
              <w:bidi w:val="0"/>
              <w:adjustRightInd/>
              <w:snapToGrid/>
              <w:spacing w:line="240" w:lineRule="exact"/>
              <w:ind w:firstLine="480" w:firstLineChars="200"/>
              <w:jc w:val="left"/>
              <w:textAlignment w:val="auto"/>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（二）履约保证金的形式：银行转账等。</w:t>
            </w:r>
          </w:p>
          <w:p w14:paraId="07616984">
            <w:pPr>
              <w:keepNext w:val="0"/>
              <w:keepLines w:val="0"/>
              <w:pageBreakBefore w:val="0"/>
              <w:widowControl/>
              <w:kinsoku/>
              <w:overflowPunct/>
              <w:topLinePunct w:val="0"/>
              <w:autoSpaceDE/>
              <w:autoSpaceDN/>
              <w:bidi w:val="0"/>
              <w:adjustRightInd/>
              <w:snapToGrid/>
              <w:spacing w:line="240" w:lineRule="exact"/>
              <w:ind w:firstLine="480" w:firstLineChars="200"/>
              <w:jc w:val="left"/>
              <w:textAlignment w:val="auto"/>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（三）履约保证金的有效期必须涵盖本工程竣工验收合格的时间段。</w:t>
            </w:r>
          </w:p>
          <w:p w14:paraId="263E0A0C">
            <w:pPr>
              <w:keepNext w:val="0"/>
              <w:keepLines w:val="0"/>
              <w:pageBreakBefore w:val="0"/>
              <w:widowControl/>
              <w:kinsoku/>
              <w:overflowPunct/>
              <w:topLinePunct w:val="0"/>
              <w:autoSpaceDE/>
              <w:autoSpaceDN/>
              <w:bidi w:val="0"/>
              <w:adjustRightInd/>
              <w:snapToGrid/>
              <w:spacing w:line="240" w:lineRule="exact"/>
              <w:ind w:firstLine="480" w:firstLineChars="200"/>
              <w:jc w:val="left"/>
              <w:textAlignment w:val="auto"/>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（四）本工程通过竣工验收后，自成交供应商提交返还申请材料之日起14个工作日内一次性返还履约保证金（无息）。</w:t>
            </w:r>
          </w:p>
          <w:p w14:paraId="57E05800">
            <w:pPr>
              <w:keepNext w:val="0"/>
              <w:keepLines w:val="0"/>
              <w:pageBreakBefore w:val="0"/>
              <w:widowControl/>
              <w:kinsoku/>
              <w:overflowPunct/>
              <w:topLinePunct w:val="0"/>
              <w:autoSpaceDE/>
              <w:autoSpaceDN/>
              <w:bidi w:val="0"/>
              <w:adjustRightInd/>
              <w:snapToGrid/>
              <w:spacing w:line="240" w:lineRule="exact"/>
              <w:ind w:firstLine="480" w:firstLineChars="200"/>
              <w:jc w:val="left"/>
              <w:textAlignment w:val="auto"/>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（五）本工程若无法进行下一阶段工作或者无法竣工验收，在完成阶段的成果满足要求满两年后，自成交供应商提交返还申请材料之日起14个工作日内一次性返还履约保证金（无息）。</w:t>
            </w:r>
          </w:p>
          <w:p w14:paraId="43FD6F61">
            <w:pPr>
              <w:keepNext w:val="0"/>
              <w:keepLines w:val="0"/>
              <w:pageBreakBefore w:val="0"/>
              <w:widowControl/>
              <w:kinsoku/>
              <w:overflowPunct/>
              <w:topLinePunct w:val="0"/>
              <w:autoSpaceDE/>
              <w:autoSpaceDN/>
              <w:bidi w:val="0"/>
              <w:adjustRightInd/>
              <w:snapToGrid/>
              <w:spacing w:line="240" w:lineRule="exact"/>
              <w:ind w:firstLine="480" w:firstLineChars="200"/>
              <w:jc w:val="left"/>
              <w:textAlignment w:val="auto"/>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（六）成交供应商在合同期限内不能履行合同义务或违约的，履约保证金不予退还。</w:t>
            </w:r>
          </w:p>
          <w:p w14:paraId="1E8F525D">
            <w:pPr>
              <w:keepNext w:val="0"/>
              <w:keepLines w:val="0"/>
              <w:pageBreakBefore w:val="0"/>
              <w:widowControl/>
              <w:kinsoku/>
              <w:overflowPunct/>
              <w:topLinePunct w:val="0"/>
              <w:autoSpaceDE/>
              <w:autoSpaceDN/>
              <w:bidi w:val="0"/>
              <w:adjustRightInd/>
              <w:snapToGrid/>
              <w:spacing w:line="240" w:lineRule="exact"/>
              <w:ind w:firstLine="480" w:firstLineChars="200"/>
              <w:jc w:val="left"/>
              <w:textAlignment w:val="auto"/>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（七）履约保证金指定账户：</w:t>
            </w:r>
          </w:p>
          <w:p w14:paraId="40FF5B9B">
            <w:pPr>
              <w:keepNext w:val="0"/>
              <w:keepLines w:val="0"/>
              <w:pageBreakBefore w:val="0"/>
              <w:widowControl/>
              <w:kinsoku/>
              <w:overflowPunct/>
              <w:topLinePunct w:val="0"/>
              <w:autoSpaceDE/>
              <w:autoSpaceDN/>
              <w:bidi w:val="0"/>
              <w:adjustRightInd/>
              <w:snapToGrid/>
              <w:spacing w:line="240" w:lineRule="exact"/>
              <w:ind w:firstLine="480" w:firstLineChars="200"/>
              <w:jc w:val="left"/>
              <w:textAlignment w:val="auto"/>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开户名称：广西财经学院</w:t>
            </w:r>
          </w:p>
          <w:p w14:paraId="167C428B">
            <w:pPr>
              <w:keepNext w:val="0"/>
              <w:keepLines w:val="0"/>
              <w:pageBreakBefore w:val="0"/>
              <w:widowControl/>
              <w:kinsoku/>
              <w:overflowPunct/>
              <w:topLinePunct w:val="0"/>
              <w:autoSpaceDE/>
              <w:autoSpaceDN/>
              <w:bidi w:val="0"/>
              <w:adjustRightInd/>
              <w:snapToGrid/>
              <w:spacing w:line="240" w:lineRule="exact"/>
              <w:ind w:firstLine="480" w:firstLineChars="200"/>
              <w:jc w:val="left"/>
              <w:textAlignment w:val="auto"/>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开户银行：中国银行南宁明秀西路支行</w:t>
            </w:r>
          </w:p>
          <w:p w14:paraId="5726D185">
            <w:pPr>
              <w:keepNext w:val="0"/>
              <w:keepLines w:val="0"/>
              <w:pageBreakBefore w:val="0"/>
              <w:widowControl/>
              <w:kinsoku/>
              <w:overflowPunct/>
              <w:topLinePunct w:val="0"/>
              <w:autoSpaceDE/>
              <w:autoSpaceDN/>
              <w:bidi w:val="0"/>
              <w:adjustRightInd/>
              <w:snapToGrid/>
              <w:spacing w:line="240" w:lineRule="exact"/>
              <w:ind w:firstLine="480" w:firstLineChars="200"/>
              <w:jc w:val="left"/>
              <w:textAlignment w:val="auto"/>
              <w:rPr>
                <w:rFonts w:hint="eastAsia"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bidi="ar-SA"/>
              </w:rPr>
              <w:t>银行账号：611957485481</w:t>
            </w:r>
          </w:p>
          <w:p w14:paraId="254156BA">
            <w:pPr>
              <w:keepNext w:val="0"/>
              <w:keepLines w:val="0"/>
              <w:pageBreakBefore w:val="0"/>
              <w:widowControl/>
              <w:kinsoku/>
              <w:overflowPunct/>
              <w:topLinePunct w:val="0"/>
              <w:autoSpaceDE/>
              <w:autoSpaceDN/>
              <w:bidi w:val="0"/>
              <w:adjustRightInd/>
              <w:snapToGrid/>
              <w:spacing w:line="240" w:lineRule="exact"/>
              <w:ind w:firstLine="482" w:firstLineChars="200"/>
              <w:jc w:val="left"/>
              <w:textAlignment w:val="auto"/>
              <w:rPr>
                <w:rFonts w:hint="eastAsia" w:ascii="仿宋" w:hAnsi="仿宋" w:eastAsia="仿宋" w:cs="仿宋"/>
                <w:b/>
                <w:sz w:val="24"/>
              </w:rPr>
            </w:pPr>
            <w:r>
              <w:rPr>
                <w:rFonts w:hint="eastAsia" w:ascii="仿宋" w:hAnsi="仿宋" w:eastAsia="仿宋" w:cs="仿宋"/>
                <w:b/>
                <w:sz w:val="24"/>
                <w:lang w:eastAsia="zh-CN"/>
              </w:rPr>
              <w:t>（</w:t>
            </w:r>
            <w:r>
              <w:rPr>
                <w:rFonts w:hint="eastAsia" w:ascii="仿宋" w:hAnsi="仿宋" w:eastAsia="仿宋" w:cs="仿宋"/>
                <w:b/>
                <w:sz w:val="24"/>
              </w:rPr>
              <w:t>十</w:t>
            </w:r>
            <w:r>
              <w:rPr>
                <w:rFonts w:hint="eastAsia" w:ascii="仿宋" w:hAnsi="仿宋" w:eastAsia="仿宋" w:cs="仿宋"/>
                <w:b/>
                <w:sz w:val="24"/>
                <w:lang w:val="en-US" w:eastAsia="zh-CN"/>
              </w:rPr>
              <w:t>二</w:t>
            </w:r>
            <w:r>
              <w:rPr>
                <w:rFonts w:hint="eastAsia" w:ascii="仿宋" w:hAnsi="仿宋" w:eastAsia="仿宋" w:cs="仿宋"/>
                <w:b/>
                <w:sz w:val="24"/>
                <w:lang w:eastAsia="zh-CN"/>
              </w:rPr>
              <w:t>）</w:t>
            </w:r>
            <w:r>
              <w:rPr>
                <w:rFonts w:hint="eastAsia" w:ascii="仿宋" w:hAnsi="仿宋" w:eastAsia="仿宋" w:cs="仿宋"/>
                <w:b/>
                <w:sz w:val="24"/>
              </w:rPr>
              <w:t>、责任与义务</w:t>
            </w:r>
          </w:p>
          <w:p w14:paraId="63637C7F">
            <w:pPr>
              <w:keepNext w:val="0"/>
              <w:keepLines w:val="0"/>
              <w:pageBreakBefore w:val="0"/>
              <w:numPr>
                <w:ilvl w:val="255"/>
                <w:numId w:val="0"/>
              </w:numPr>
              <w:kinsoku/>
              <w:overflowPunct/>
              <w:topLinePunct w:val="0"/>
              <w:autoSpaceDE/>
              <w:autoSpaceDN/>
              <w:bidi w:val="0"/>
              <w:adjustRightInd/>
              <w:snapToGrid/>
              <w:spacing w:line="240" w:lineRule="exact"/>
              <w:ind w:firstLine="480" w:firstLineChars="200"/>
              <w:textAlignment w:val="auto"/>
              <w:rPr>
                <w:rFonts w:hint="eastAsia" w:ascii="仿宋" w:hAnsi="仿宋" w:eastAsia="仿宋" w:cs="仿宋"/>
                <w:bCs/>
                <w:sz w:val="24"/>
              </w:rPr>
            </w:pPr>
            <w:r>
              <w:rPr>
                <w:rFonts w:hint="eastAsia" w:ascii="仿宋" w:hAnsi="仿宋" w:eastAsia="仿宋" w:cs="仿宋"/>
                <w:bCs/>
                <w:sz w:val="24"/>
              </w:rPr>
              <w:t>（一）因成交供应商原因，未在规定期限内提交项目建议书、可行性研究报告及地形测量成果的，从应完成日期的次日起计算，超过5日历天，业主有权解除合同，不退还成交供应商履约保证金。因业主原因，成交供应商未在规定期限内提交的，编制周期顺延，不增加费用。</w:t>
            </w:r>
          </w:p>
          <w:p w14:paraId="361F6A02">
            <w:pPr>
              <w:keepNext w:val="0"/>
              <w:keepLines w:val="0"/>
              <w:pageBreakBefore w:val="0"/>
              <w:numPr>
                <w:ilvl w:val="255"/>
                <w:numId w:val="0"/>
              </w:numPr>
              <w:kinsoku/>
              <w:overflowPunct/>
              <w:topLinePunct w:val="0"/>
              <w:autoSpaceDE/>
              <w:autoSpaceDN/>
              <w:bidi w:val="0"/>
              <w:adjustRightInd/>
              <w:snapToGrid/>
              <w:spacing w:line="240" w:lineRule="exact"/>
              <w:ind w:firstLine="480" w:firstLineChars="200"/>
              <w:textAlignment w:val="auto"/>
              <w:rPr>
                <w:rFonts w:hint="eastAsia" w:ascii="仿宋" w:hAnsi="仿宋" w:eastAsia="仿宋" w:cs="仿宋"/>
                <w:bCs/>
                <w:sz w:val="24"/>
              </w:rPr>
            </w:pPr>
            <w:r>
              <w:rPr>
                <w:rFonts w:hint="eastAsia" w:ascii="仿宋" w:hAnsi="仿宋" w:eastAsia="仿宋" w:cs="仿宋"/>
                <w:bCs/>
                <w:sz w:val="24"/>
              </w:rPr>
              <w:t>（二）因成交供应商原因，逾期完成项目建议书、可行性研究报告及地形测量成果的，视为违约，成交供应商每日按成交金额的千分之二支付违约金，违约金的上限不超过成交金额的百分之五。</w:t>
            </w:r>
          </w:p>
          <w:p w14:paraId="3BB2A103">
            <w:pPr>
              <w:keepNext w:val="0"/>
              <w:keepLines w:val="0"/>
              <w:pageBreakBefore w:val="0"/>
              <w:numPr>
                <w:ilvl w:val="255"/>
                <w:numId w:val="0"/>
              </w:numPr>
              <w:kinsoku/>
              <w:overflowPunct/>
              <w:topLinePunct w:val="0"/>
              <w:autoSpaceDE/>
              <w:autoSpaceDN/>
              <w:bidi w:val="0"/>
              <w:adjustRightInd/>
              <w:snapToGrid/>
              <w:spacing w:line="240" w:lineRule="exact"/>
              <w:ind w:firstLine="480" w:firstLineChars="200"/>
              <w:textAlignment w:val="auto"/>
              <w:rPr>
                <w:rFonts w:hint="eastAsia" w:ascii="仿宋" w:hAnsi="仿宋" w:eastAsia="仿宋" w:cs="仿宋"/>
                <w:bCs/>
                <w:sz w:val="24"/>
              </w:rPr>
            </w:pPr>
            <w:r>
              <w:rPr>
                <w:rFonts w:hint="eastAsia" w:ascii="仿宋" w:hAnsi="仿宋" w:eastAsia="仿宋" w:cs="仿宋"/>
                <w:bCs/>
                <w:sz w:val="24"/>
              </w:rPr>
              <w:t>（三）因成交供应商原因，成交供应商提交的项目建议书、可行性研究报告及地形测量成果经反复修改仍无法满足业主要求的，业主有权解除合同，已完成的成果归业主所有，业主不退还成交供应商履约保证金。</w:t>
            </w:r>
          </w:p>
        </w:tc>
      </w:tr>
      <w:tr w14:paraId="624A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5000" w:type="pct"/>
            <w:gridSpan w:val="2"/>
          </w:tcPr>
          <w:p w14:paraId="4C6FF2FE">
            <w:pPr>
              <w:rPr>
                <w:rFonts w:hint="eastAsia" w:ascii="宋体" w:hAnsi="宋体"/>
                <w:b/>
                <w:sz w:val="24"/>
                <w:szCs w:val="32"/>
              </w:rPr>
            </w:pPr>
            <w:bookmarkStart w:id="3" w:name="_GoBack"/>
            <w:bookmarkEnd w:id="3"/>
          </w:p>
          <w:p w14:paraId="26F02F87">
            <w:pPr>
              <w:rPr>
                <w:rFonts w:hint="eastAsia" w:ascii="宋体" w:hAnsi="宋体"/>
                <w:b/>
                <w:sz w:val="24"/>
                <w:szCs w:val="32"/>
                <w:lang w:val="en-US" w:eastAsia="zh-CN"/>
              </w:rPr>
            </w:pPr>
            <w:r>
              <w:rPr>
                <w:rFonts w:hint="eastAsia" w:ascii="宋体" w:hAnsi="宋体"/>
                <w:b/>
                <w:sz w:val="24"/>
                <w:szCs w:val="32"/>
                <w:lang w:val="en-US" w:eastAsia="zh-CN"/>
              </w:rPr>
              <w:t>包干价：</w:t>
            </w:r>
          </w:p>
          <w:p w14:paraId="1547FF60">
            <w:pPr>
              <w:rPr>
                <w:rFonts w:hint="eastAsia" w:ascii="宋体" w:hAnsi="宋体"/>
                <w:b/>
                <w:sz w:val="24"/>
                <w:szCs w:val="32"/>
                <w:lang w:val="en-US" w:eastAsia="zh-CN"/>
              </w:rPr>
            </w:pPr>
            <w:r>
              <w:rPr>
                <w:rFonts w:hint="eastAsia" w:ascii="宋体" w:hAnsi="宋体"/>
                <w:b/>
                <w:sz w:val="24"/>
                <w:szCs w:val="32"/>
                <w:lang w:val="en-US" w:eastAsia="zh-CN"/>
              </w:rPr>
              <w:t>项目建议书：</w:t>
            </w:r>
            <w:r>
              <w:rPr>
                <w:rFonts w:ascii="宋体" w:hAnsi="宋体"/>
                <w:b/>
                <w:sz w:val="24"/>
                <w:szCs w:val="32"/>
              </w:rPr>
              <w:t>人民币（大写）</w:t>
            </w:r>
            <w:r>
              <w:rPr>
                <w:rFonts w:hint="eastAsia" w:ascii="宋体" w:hAnsi="宋体"/>
                <w:b/>
                <w:sz w:val="24"/>
                <w:szCs w:val="32"/>
              </w:rPr>
              <w:t>：</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r>
              <w:rPr>
                <w:rFonts w:hint="eastAsia" w:ascii="宋体" w:hAnsi="宋体"/>
                <w:b/>
                <w:sz w:val="24"/>
                <w:szCs w:val="32"/>
              </w:rPr>
              <w:t>（小写）:</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p>
          <w:p w14:paraId="574A21A6">
            <w:pPr>
              <w:rPr>
                <w:rFonts w:hint="eastAsia" w:ascii="宋体" w:hAnsi="宋体"/>
                <w:b/>
                <w:sz w:val="24"/>
                <w:szCs w:val="32"/>
                <w:lang w:val="en-US" w:eastAsia="zh-CN"/>
              </w:rPr>
            </w:pPr>
            <w:r>
              <w:rPr>
                <w:rFonts w:hint="eastAsia" w:ascii="宋体" w:hAnsi="宋体"/>
                <w:b/>
                <w:sz w:val="24"/>
                <w:szCs w:val="32"/>
                <w:lang w:val="en-US" w:eastAsia="zh-CN"/>
              </w:rPr>
              <w:t>可行性研究报告：</w:t>
            </w:r>
            <w:r>
              <w:rPr>
                <w:rFonts w:ascii="宋体" w:hAnsi="宋体"/>
                <w:b/>
                <w:sz w:val="24"/>
                <w:szCs w:val="32"/>
              </w:rPr>
              <w:t>人民币（大写）</w:t>
            </w:r>
            <w:r>
              <w:rPr>
                <w:rFonts w:hint="eastAsia" w:ascii="宋体" w:hAnsi="宋体"/>
                <w:b/>
                <w:sz w:val="24"/>
                <w:szCs w:val="32"/>
              </w:rPr>
              <w:t>：</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r>
              <w:rPr>
                <w:rFonts w:hint="eastAsia" w:ascii="宋体" w:hAnsi="宋体"/>
                <w:b/>
                <w:sz w:val="24"/>
                <w:szCs w:val="32"/>
              </w:rPr>
              <w:t>（小写）:</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p>
          <w:p w14:paraId="6F6B9187">
            <w:pPr>
              <w:rPr>
                <w:rFonts w:hint="eastAsia" w:ascii="宋体" w:hAnsi="宋体"/>
                <w:b/>
                <w:sz w:val="24"/>
                <w:szCs w:val="32"/>
                <w:lang w:val="en-US" w:eastAsia="zh-CN"/>
              </w:rPr>
            </w:pPr>
            <w:r>
              <w:rPr>
                <w:rFonts w:hint="eastAsia" w:ascii="宋体" w:hAnsi="宋体"/>
                <w:b/>
                <w:sz w:val="24"/>
                <w:szCs w:val="32"/>
                <w:lang w:val="en-US" w:eastAsia="zh-CN"/>
              </w:rPr>
              <w:t>地形测量：</w:t>
            </w:r>
            <w:r>
              <w:rPr>
                <w:rFonts w:ascii="宋体" w:hAnsi="宋体"/>
                <w:b/>
                <w:sz w:val="24"/>
                <w:szCs w:val="32"/>
              </w:rPr>
              <w:t>人民币（大写）</w:t>
            </w:r>
            <w:r>
              <w:rPr>
                <w:rFonts w:hint="eastAsia" w:ascii="宋体" w:hAnsi="宋体"/>
                <w:b/>
                <w:sz w:val="24"/>
                <w:szCs w:val="32"/>
              </w:rPr>
              <w:t>：</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r>
              <w:rPr>
                <w:rFonts w:hint="eastAsia" w:ascii="宋体" w:hAnsi="宋体"/>
                <w:b/>
                <w:sz w:val="24"/>
                <w:szCs w:val="32"/>
              </w:rPr>
              <w:t>（小写）:</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p>
          <w:p w14:paraId="7ADC4D2A">
            <w:pPr>
              <w:rPr>
                <w:rFonts w:hint="eastAsia" w:ascii="宋体" w:hAnsi="宋体" w:eastAsiaTheme="minorEastAsia"/>
                <w:b/>
                <w:sz w:val="24"/>
                <w:szCs w:val="32"/>
                <w:u w:val="single"/>
                <w:lang w:eastAsia="zh-CN"/>
              </w:rPr>
            </w:pPr>
            <w:r>
              <w:rPr>
                <w:rFonts w:hint="eastAsia" w:ascii="宋体" w:hAnsi="宋体"/>
                <w:b/>
                <w:sz w:val="24"/>
                <w:szCs w:val="32"/>
                <w:u w:val="single"/>
                <w:lang w:eastAsia="zh-CN"/>
              </w:rPr>
              <w:t>共计：</w:t>
            </w:r>
            <w:r>
              <w:rPr>
                <w:rFonts w:ascii="宋体" w:hAnsi="宋体"/>
                <w:b/>
                <w:sz w:val="24"/>
                <w:szCs w:val="32"/>
              </w:rPr>
              <w:t>人民币（大写）</w:t>
            </w:r>
            <w:r>
              <w:rPr>
                <w:rFonts w:hint="eastAsia" w:ascii="宋体" w:hAnsi="宋体"/>
                <w:b/>
                <w:sz w:val="24"/>
                <w:szCs w:val="32"/>
              </w:rPr>
              <w:t>：</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r>
              <w:rPr>
                <w:rFonts w:hint="eastAsia" w:ascii="宋体" w:hAnsi="宋体"/>
                <w:b/>
                <w:sz w:val="24"/>
                <w:szCs w:val="32"/>
              </w:rPr>
              <w:t>（小写）:</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p>
        </w:tc>
      </w:tr>
      <w:tr w14:paraId="33A1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5000" w:type="pct"/>
            <w:gridSpan w:val="2"/>
          </w:tcPr>
          <w:p w14:paraId="3678E3BD">
            <w:pPr>
              <w:numPr>
                <w:ilvl w:val="255"/>
                <w:numId w:val="0"/>
              </w:numPr>
              <w:rPr>
                <w:rFonts w:hint="eastAsia" w:ascii="宋体" w:hAnsi="宋体"/>
                <w:bCs/>
                <w:sz w:val="24"/>
              </w:rPr>
            </w:pPr>
            <w:r>
              <w:rPr>
                <w:rFonts w:hint="eastAsia" w:ascii="宋体" w:hAnsi="宋体"/>
                <w:bCs/>
                <w:sz w:val="24"/>
              </w:rPr>
              <w:t>备注：</w:t>
            </w:r>
          </w:p>
          <w:p w14:paraId="603885FE">
            <w:pPr>
              <w:numPr>
                <w:ilvl w:val="0"/>
                <w:numId w:val="1"/>
              </w:numPr>
              <w:rPr>
                <w:rFonts w:hint="eastAsia" w:ascii="宋体" w:hAnsi="宋体"/>
                <w:bCs/>
                <w:sz w:val="24"/>
              </w:rPr>
            </w:pPr>
            <w:r>
              <w:rPr>
                <w:rFonts w:hint="eastAsia" w:ascii="宋体" w:hAnsi="宋体"/>
                <w:bCs/>
                <w:sz w:val="24"/>
              </w:rPr>
              <w:t>报价人对服务内容已经完全知晓，本次报价包括但不限于完成本项目所需的各项成本、人工费、材料费、管理费、专家评审费、开办费、税金</w:t>
            </w:r>
            <w:r>
              <w:rPr>
                <w:rFonts w:hint="eastAsia" w:ascii="宋体" w:hAnsi="宋体"/>
                <w:bCs/>
                <w:sz w:val="24"/>
                <w:lang w:eastAsia="zh-CN"/>
              </w:rPr>
              <w:t>、</w:t>
            </w:r>
            <w:r>
              <w:rPr>
                <w:rFonts w:hint="eastAsia" w:ascii="宋体" w:hAnsi="宋体"/>
                <w:bCs/>
                <w:sz w:val="24"/>
                <w:lang w:val="en-US" w:eastAsia="zh-CN"/>
              </w:rPr>
              <w:t>青赔</w:t>
            </w:r>
            <w:r>
              <w:rPr>
                <w:rFonts w:hint="eastAsia" w:ascii="宋体" w:hAnsi="宋体"/>
                <w:bCs/>
                <w:sz w:val="24"/>
              </w:rPr>
              <w:t>及场地费、利润等所有费用</w:t>
            </w:r>
            <w:r>
              <w:rPr>
                <w:rFonts w:hint="eastAsia" w:ascii="宋体" w:hAnsi="宋体"/>
                <w:bCs/>
                <w:sz w:val="24"/>
                <w:lang w:eastAsia="zh-CN"/>
              </w:rPr>
              <w:t>。</w:t>
            </w:r>
          </w:p>
          <w:p w14:paraId="1C0AEEBE">
            <w:pPr>
              <w:numPr>
                <w:ilvl w:val="0"/>
                <w:numId w:val="1"/>
              </w:numPr>
              <w:rPr>
                <w:rFonts w:hint="eastAsia" w:ascii="宋体" w:hAnsi="宋体"/>
                <w:bCs/>
                <w:sz w:val="24"/>
              </w:rPr>
            </w:pPr>
            <w:r>
              <w:rPr>
                <w:rFonts w:hint="eastAsia" w:ascii="宋体" w:hAnsi="宋体"/>
                <w:bCs/>
                <w:sz w:val="24"/>
              </w:rPr>
              <w:t>本次报价为包干报价，期间不做任何价格调整。</w:t>
            </w:r>
          </w:p>
        </w:tc>
      </w:tr>
    </w:tbl>
    <w:p w14:paraId="7ABD0EC6">
      <w:pPr>
        <w:rPr>
          <w:rFonts w:hint="eastAsia" w:ascii="宋体" w:hAnsi="宋体"/>
          <w:b/>
          <w:sz w:val="28"/>
          <w:szCs w:val="36"/>
        </w:rPr>
      </w:pPr>
      <w:r>
        <w:rPr>
          <w:rFonts w:hint="eastAsia" w:ascii="宋体" w:hAnsi="宋体"/>
          <w:b/>
          <w:sz w:val="28"/>
          <w:szCs w:val="36"/>
        </w:rPr>
        <w:t xml:space="preserve">法定代表人（或委托代理人）签字：            </w:t>
      </w:r>
    </w:p>
    <w:p w14:paraId="15DE86F5">
      <w:pPr>
        <w:rPr>
          <w:rFonts w:hint="eastAsia" w:ascii="宋体" w:hAnsi="宋体"/>
          <w:b/>
          <w:sz w:val="28"/>
          <w:szCs w:val="36"/>
        </w:rPr>
      </w:pPr>
    </w:p>
    <w:p w14:paraId="305ACEE4">
      <w:pPr>
        <w:rPr>
          <w:rFonts w:hint="eastAsia" w:ascii="宋体" w:hAnsi="宋体"/>
          <w:b/>
          <w:sz w:val="28"/>
          <w:szCs w:val="36"/>
        </w:rPr>
      </w:pPr>
      <w:r>
        <w:rPr>
          <w:rFonts w:hint="eastAsia" w:ascii="宋体" w:hAnsi="宋体"/>
          <w:b/>
          <w:sz w:val="28"/>
          <w:szCs w:val="36"/>
        </w:rPr>
        <w:t>单位名称（</w:t>
      </w:r>
      <w:r>
        <w:rPr>
          <w:rFonts w:ascii="宋体" w:hAnsi="宋体"/>
          <w:b/>
          <w:sz w:val="28"/>
          <w:szCs w:val="36"/>
        </w:rPr>
        <w:t>盖</w:t>
      </w:r>
      <w:r>
        <w:rPr>
          <w:rFonts w:hint="eastAsia" w:ascii="宋体" w:hAnsi="宋体"/>
          <w:b/>
          <w:sz w:val="28"/>
          <w:szCs w:val="36"/>
        </w:rPr>
        <w:t>章）：</w:t>
      </w:r>
    </w:p>
    <w:p w14:paraId="1E789B82">
      <w:pPr>
        <w:rPr>
          <w:rFonts w:hint="eastAsia" w:ascii="宋体" w:hAnsi="宋体"/>
          <w:b/>
          <w:sz w:val="28"/>
          <w:szCs w:val="36"/>
        </w:rPr>
      </w:pPr>
    </w:p>
    <w:p w14:paraId="0762DB0A">
      <w:pPr>
        <w:jc w:val="left"/>
        <w:rPr>
          <w:rFonts w:hint="eastAsia" w:ascii="宋体" w:hAnsi="宋体"/>
          <w:b/>
          <w:sz w:val="28"/>
          <w:szCs w:val="36"/>
        </w:rPr>
      </w:pPr>
      <w:r>
        <w:rPr>
          <w:rFonts w:hint="eastAsia" w:ascii="宋体" w:hAnsi="宋体"/>
          <w:b/>
          <w:sz w:val="28"/>
          <w:szCs w:val="36"/>
        </w:rPr>
        <w:t>联系人及电话：</w:t>
      </w:r>
    </w:p>
    <w:p w14:paraId="228B6847">
      <w:pPr>
        <w:jc w:val="left"/>
        <w:rPr>
          <w:rFonts w:hint="eastAsia" w:ascii="宋体" w:hAnsi="宋体"/>
          <w:b/>
          <w:sz w:val="28"/>
          <w:szCs w:val="36"/>
        </w:rPr>
      </w:pPr>
    </w:p>
    <w:p w14:paraId="6774C1D6">
      <w:pPr>
        <w:jc w:val="left"/>
      </w:pPr>
      <w:r>
        <w:rPr>
          <w:rFonts w:ascii="宋体" w:hAnsi="宋体"/>
          <w:b/>
          <w:sz w:val="28"/>
          <w:szCs w:val="36"/>
        </w:rPr>
        <w:t>日期：</w:t>
      </w:r>
      <w:bookmarkStart w:id="0" w:name="_Toc173211904"/>
      <w:bookmarkEnd w:id="0"/>
      <w:bookmarkStart w:id="1" w:name="_Toc254970729"/>
      <w:bookmarkEnd w:id="1"/>
      <w:bookmarkStart w:id="2" w:name="_Toc254970732"/>
      <w:bookmarkEnd w:id="2"/>
    </w:p>
    <w:sectPr>
      <w:pgSz w:w="11906" w:h="16838"/>
      <w:pgMar w:top="1134" w:right="1134" w:bottom="1134" w:left="1134"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B22B99"/>
    <w:multiLevelType w:val="singleLevel"/>
    <w:tmpl w:val="5AB22B9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CB1"/>
    <w:rsid w:val="000359DC"/>
    <w:rsid w:val="004251C9"/>
    <w:rsid w:val="004E770F"/>
    <w:rsid w:val="00A06985"/>
    <w:rsid w:val="00CA64E8"/>
    <w:rsid w:val="00DE3CB1"/>
    <w:rsid w:val="00E35F32"/>
    <w:rsid w:val="044E3E0A"/>
    <w:rsid w:val="0AC10F38"/>
    <w:rsid w:val="0FDA6D75"/>
    <w:rsid w:val="135C2A18"/>
    <w:rsid w:val="17657E11"/>
    <w:rsid w:val="184243B2"/>
    <w:rsid w:val="191C401F"/>
    <w:rsid w:val="1CEF742A"/>
    <w:rsid w:val="1EBB6528"/>
    <w:rsid w:val="1EE46634"/>
    <w:rsid w:val="1EEB3F1F"/>
    <w:rsid w:val="222C71A7"/>
    <w:rsid w:val="25C119DF"/>
    <w:rsid w:val="25C36217"/>
    <w:rsid w:val="28E75A13"/>
    <w:rsid w:val="2EF13811"/>
    <w:rsid w:val="32456B21"/>
    <w:rsid w:val="329E4EC4"/>
    <w:rsid w:val="388B3033"/>
    <w:rsid w:val="390818C6"/>
    <w:rsid w:val="3AFE7B03"/>
    <w:rsid w:val="3CC64D02"/>
    <w:rsid w:val="3F3A089F"/>
    <w:rsid w:val="3F791767"/>
    <w:rsid w:val="40B14CDF"/>
    <w:rsid w:val="417A37DF"/>
    <w:rsid w:val="43C46774"/>
    <w:rsid w:val="46546B2D"/>
    <w:rsid w:val="47816B62"/>
    <w:rsid w:val="49FD67BC"/>
    <w:rsid w:val="4AE7513B"/>
    <w:rsid w:val="4B1024D9"/>
    <w:rsid w:val="4DB83818"/>
    <w:rsid w:val="4DCE31F6"/>
    <w:rsid w:val="50B47E13"/>
    <w:rsid w:val="51AC0E90"/>
    <w:rsid w:val="51AE7077"/>
    <w:rsid w:val="552A2393"/>
    <w:rsid w:val="575B3FCB"/>
    <w:rsid w:val="57BB18D1"/>
    <w:rsid w:val="5A8318F9"/>
    <w:rsid w:val="5CC91C79"/>
    <w:rsid w:val="5D5C7F59"/>
    <w:rsid w:val="5E1E4AEE"/>
    <w:rsid w:val="5FC20152"/>
    <w:rsid w:val="5FFF268C"/>
    <w:rsid w:val="61B56FEA"/>
    <w:rsid w:val="65231C0C"/>
    <w:rsid w:val="65744A4C"/>
    <w:rsid w:val="6E5056F0"/>
    <w:rsid w:val="6FC75B1F"/>
    <w:rsid w:val="718906D9"/>
    <w:rsid w:val="71F02BFB"/>
    <w:rsid w:val="77112A42"/>
    <w:rsid w:val="777F5BFE"/>
    <w:rsid w:val="7A5A39E8"/>
    <w:rsid w:val="7C2914F4"/>
    <w:rsid w:val="7D7F4C76"/>
    <w:rsid w:val="7E3961FC"/>
    <w:rsid w:val="7EFA268B"/>
    <w:rsid w:val="7F626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line="360" w:lineRule="auto"/>
      <w:jc w:val="left"/>
      <w:outlineLvl w:val="1"/>
    </w:pPr>
    <w:rPr>
      <w:rFonts w:eastAsia="宋体" w:asciiTheme="majorHAnsi" w:hAnsiTheme="majorHAnsi" w:cstheme="majorBidi"/>
      <w:b/>
      <w:bCs/>
      <w:sz w:val="36"/>
      <w:szCs w:val="32"/>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cs="Times New Roman"/>
      <w:kern w:val="0"/>
      <w:sz w:val="24"/>
    </w:rPr>
  </w:style>
  <w:style w:type="character" w:styleId="6">
    <w:name w:val="Strong"/>
    <w:basedOn w:val="5"/>
    <w:qFormat/>
    <w:uiPriority w:val="0"/>
    <w:rPr>
      <w:b/>
    </w:rPr>
  </w:style>
  <w:style w:type="paragraph" w:customStyle="1" w:styleId="7">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2319</Words>
  <Characters>2389</Characters>
  <Lines>70</Lines>
  <Paragraphs>87</Paragraphs>
  <TotalTime>3</TotalTime>
  <ScaleCrop>false</ScaleCrop>
  <LinksUpToDate>false</LinksUpToDate>
  <CharactersWithSpaces>2522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2025-09-21T09:48:00Z</dcterms:created>
  <dc:creator>Admin</dc:creator>
  <cp:lastModifiedBy>红雨</cp:lastModifiedBy>
  <dcterms:modified xsi:type="dcterms:W3CDTF">2026-06-15T02:02:28Z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eyJoZGlkIjoiMDU2YTYzZTdmMmFjNGYyNTExMjE0OWJkMzc5MWY2ZjEiLCJ1c2VySWQiOiI3OTc0OTg4NTEifQ==</vt:lpwstr>
  </property>
  <property fmtid="{D5CDD505-2E9C-101B-9397-08002B2CF9AE}" pid="4" name="ICV">
    <vt:lpwstr>EBC9818007234A0A8D7034181E96EE9D_13</vt:lpwstr>
  </property>
</Properties>
</file>