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rsidR="00E764F7" w:rsidRPr="009470BF" w:rsidP="00897F19" w14:paraId="330F52F5" w14:textId="64CA27D2">
      <w:pPr>
        <w:pStyle w:val="Heading1"/>
        <w:keepNext w:val="0"/>
        <w:keepLines w:val="0"/>
        <w:widowControl/>
        <w:spacing w:before="100" w:beforeAutospacing="1" w:after="100" w:afterAutospacing="1" w:line="240" w:lineRule="auto"/>
        <w:jc w:val="left"/>
        <w:rPr>
          <w:rFonts w:ascii="仿宋_GB2312" w:eastAsia="仿宋_GB2312" w:hAnsi="宋体" w:cs="宋体" w:hint="eastAsia"/>
          <w:b w:val="0"/>
          <w:bCs w:val="0"/>
          <w:kern w:val="36"/>
          <w:sz w:val="28"/>
          <w:szCs w:val="28"/>
        </w:rPr>
      </w:pPr>
      <w:r w:rsidRPr="009470BF">
        <w:rPr>
          <w:rFonts w:ascii="仿宋_GB2312" w:eastAsia="仿宋_GB2312" w:hAnsi="宋体" w:cs="宋体" w:hint="eastAsia"/>
          <w:b w:val="0"/>
          <w:bCs w:val="0"/>
          <w:kern w:val="36"/>
          <w:sz w:val="28"/>
          <w:szCs w:val="28"/>
        </w:rPr>
        <w:t>附件2：</w:t>
      </w:r>
    </w:p>
    <w:p w:rsidR="00897F19" w:rsidRPr="00897F19" w:rsidP="00897F19" w14:paraId="635A4724" w14:textId="5EC91F7F">
      <w:pPr>
        <w:jc w:val="center"/>
        <w:rPr>
          <w:b/>
          <w:bCs/>
          <w:sz w:val="32"/>
          <w:szCs w:val="32"/>
        </w:rPr>
      </w:pPr>
      <w:r w:rsidRPr="00897F19">
        <w:rPr>
          <w:rFonts w:hint="eastAsia"/>
          <w:b/>
          <w:bCs/>
          <w:sz w:val="32"/>
          <w:szCs w:val="32"/>
        </w:rPr>
        <w:t>评分标准</w:t>
      </w:r>
    </w:p>
    <w:p w:rsidR="00E764F7" w14:paraId="507D202F" w14:textId="77777777">
      <w:pPr>
        <w:spacing w:line="400" w:lineRule="exact"/>
        <w:ind w:firstLine="480" w:firstLineChars="200"/>
        <w:rPr>
          <w:rFonts w:ascii="宋体" w:hAnsi="宋体" w:cs="宋体" w:hint="eastAsia"/>
          <w:b/>
          <w:bCs/>
          <w:kern w:val="0"/>
          <w:sz w:val="24"/>
        </w:rPr>
      </w:pPr>
      <w:r>
        <w:rPr>
          <w:rFonts w:ascii="宋体" w:hAnsi="宋体" w:cs="宋体" w:hint="eastAsia"/>
          <w:b/>
          <w:bCs/>
          <w:kern w:val="0"/>
          <w:sz w:val="24"/>
        </w:rPr>
        <w:t>一、评审原则</w:t>
      </w:r>
    </w:p>
    <w:p w:rsidR="00E764F7" w14:paraId="6B488D3A" w14:textId="175BA823">
      <w:pPr>
        <w:spacing w:line="400" w:lineRule="exact"/>
        <w:ind w:firstLine="480" w:firstLineChars="200"/>
        <w:rPr>
          <w:rFonts w:ascii="宋体" w:hAnsi="宋体" w:cs="宋体" w:hint="eastAsia"/>
          <w:kern w:val="0"/>
          <w:sz w:val="24"/>
        </w:rPr>
      </w:pPr>
      <w:r>
        <w:rPr>
          <w:rFonts w:ascii="宋体" w:hAnsi="宋体" w:cs="宋体" w:hint="eastAsia"/>
          <w:kern w:val="0"/>
          <w:sz w:val="24"/>
        </w:rPr>
        <w:t>(一)评审小组构成：由采购人</w:t>
      </w:r>
      <w:r w:rsidR="00422D74">
        <w:rPr>
          <w:rFonts w:ascii="宋体" w:hAnsi="宋体" w:cs="宋体" w:hint="eastAsia"/>
          <w:kern w:val="0"/>
          <w:sz w:val="24"/>
        </w:rPr>
        <w:t>自行组织相关专家构成评审小组</w:t>
      </w:r>
      <w:r>
        <w:rPr>
          <w:rFonts w:ascii="宋体" w:hAnsi="宋体" w:cs="宋体" w:hint="eastAsia"/>
          <w:kern w:val="0"/>
          <w:sz w:val="24"/>
        </w:rPr>
        <w:t>，人数为三人以上（含三人）单数。</w:t>
      </w:r>
    </w:p>
    <w:p w:rsidR="00E764F7" w14:paraId="595EE853" w14:textId="77777777">
      <w:pPr>
        <w:spacing w:line="400" w:lineRule="exact"/>
        <w:ind w:firstLine="480" w:firstLineChars="200"/>
        <w:rPr>
          <w:rFonts w:ascii="宋体" w:hAnsi="宋体" w:cs="宋体" w:hint="eastAsia"/>
          <w:kern w:val="0"/>
          <w:sz w:val="24"/>
        </w:rPr>
      </w:pPr>
      <w:r>
        <w:rPr>
          <w:rFonts w:ascii="宋体" w:hAnsi="宋体" w:cs="宋体" w:hint="eastAsia"/>
          <w:kern w:val="0"/>
          <w:sz w:val="24"/>
        </w:rPr>
        <w:t>(二)评审依据：评审小组将以采购文件和响应文件为评定依据进行评审。</w:t>
      </w:r>
    </w:p>
    <w:p w:rsidR="00E764F7" w14:paraId="2903948A" w14:textId="77777777">
      <w:pPr>
        <w:spacing w:line="400" w:lineRule="exact"/>
        <w:ind w:firstLine="480" w:firstLineChars="200"/>
        <w:rPr>
          <w:rFonts w:ascii="宋体" w:hAnsi="宋体" w:cs="宋体" w:hint="eastAsia"/>
          <w:kern w:val="0"/>
          <w:sz w:val="24"/>
        </w:rPr>
      </w:pPr>
      <w:r>
        <w:rPr>
          <w:rFonts w:ascii="宋体" w:hAnsi="宋体" w:cs="宋体" w:hint="eastAsia"/>
          <w:kern w:val="0"/>
          <w:sz w:val="24"/>
        </w:rPr>
        <w:t>(三)评审办法：采用百分制综合评分法。</w:t>
      </w:r>
    </w:p>
    <w:p w:rsidR="00E764F7" w14:paraId="09664A8D" w14:textId="77777777">
      <w:pPr>
        <w:spacing w:line="400" w:lineRule="exact"/>
        <w:ind w:firstLine="480" w:firstLineChars="200"/>
        <w:rPr>
          <w:rFonts w:ascii="宋体" w:hAnsi="宋体" w:cs="宋体" w:hint="eastAsia"/>
          <w:b/>
          <w:bCs/>
          <w:kern w:val="0"/>
          <w:sz w:val="24"/>
        </w:rPr>
      </w:pPr>
      <w:r>
        <w:rPr>
          <w:rFonts w:ascii="宋体" w:hAnsi="宋体" w:cs="宋体" w:hint="eastAsia"/>
          <w:b/>
          <w:bCs/>
          <w:kern w:val="0"/>
          <w:sz w:val="24"/>
        </w:rPr>
        <w:t>二、评审方法</w:t>
      </w:r>
    </w:p>
    <w:p w:rsidR="00E764F7" w14:paraId="3446C396" w14:textId="77777777">
      <w:pPr>
        <w:spacing w:line="440" w:lineRule="exact"/>
        <w:ind w:firstLine="480" w:firstLineChars="200"/>
        <w:rPr>
          <w:rFonts w:ascii="宋体" w:hAnsi="宋体" w:cs="宋体" w:hint="eastAsia"/>
          <w:sz w:val="24"/>
        </w:rPr>
      </w:pPr>
      <w:r>
        <w:rPr>
          <w:rFonts w:ascii="宋体" w:hAnsi="宋体" w:cs="宋体" w:hint="eastAsia"/>
          <w:sz w:val="24"/>
        </w:rPr>
        <w:t>评审小组会对报价人的响应文件资格性和符合性进行检查，对合格的响应文件，采用百分制综合评分法进行评审。</w:t>
      </w:r>
    </w:p>
    <w:p w:rsidR="00E764F7" w14:paraId="19CA2C75" w14:textId="77777777">
      <w:pPr>
        <w:spacing w:line="380" w:lineRule="exact"/>
        <w:ind w:firstLine="480" w:firstLineChars="200"/>
        <w:rPr>
          <w:rFonts w:ascii="宋体" w:hAnsi="宋体" w:cs="宋体" w:hint="eastAsia"/>
          <w:sz w:val="24"/>
        </w:rPr>
      </w:pPr>
      <w:r>
        <w:rPr>
          <w:rFonts w:ascii="宋体" w:hAnsi="宋体" w:cs="宋体" w:hint="eastAsia"/>
          <w:sz w:val="24"/>
        </w:rPr>
        <w:t>评审小组将以采购文件、响应文件为评审依据，提出最后总得分最高的报价人作为成交人。</w:t>
      </w:r>
    </w:p>
    <w:p w:rsidR="00E764F7" w14:paraId="7C184B9C" w14:textId="77777777">
      <w:pPr>
        <w:spacing w:line="400" w:lineRule="exact"/>
        <w:ind w:firstLine="480" w:firstLineChars="200"/>
        <w:rPr>
          <w:rFonts w:ascii="宋体" w:hAnsi="宋体" w:cs="宋体" w:hint="eastAsia"/>
          <w:b/>
          <w:bCs/>
          <w:kern w:val="0"/>
          <w:sz w:val="24"/>
        </w:rPr>
      </w:pPr>
      <w:r>
        <w:rPr>
          <w:rFonts w:ascii="宋体" w:hAnsi="宋体" w:cs="宋体" w:hint="eastAsia"/>
          <w:b/>
          <w:bCs/>
          <w:kern w:val="0"/>
          <w:sz w:val="24"/>
        </w:rPr>
        <w:t>三、评分细则</w:t>
      </w:r>
      <w:r>
        <w:rPr>
          <w:rFonts w:ascii="宋体" w:hAnsi="宋体" w:cs="宋体" w:hint="eastAsia"/>
          <w:sz w:val="24"/>
        </w:rPr>
        <w:t>（按四舍五入取至百分位）</w:t>
      </w:r>
    </w:p>
    <w:p w:rsidR="00E764F7" w14:paraId="4B1987F9" w14:textId="77777777">
      <w:pPr>
        <w:pStyle w:val="CommentText"/>
        <w:spacing w:line="400" w:lineRule="exact"/>
        <w:ind w:firstLine="480" w:firstLineChars="200"/>
        <w:rPr>
          <w:rFonts w:ascii="宋体" w:hAnsi="宋体" w:cs="宋体" w:hint="eastAsia"/>
          <w:kern w:val="0"/>
          <w:sz w:val="24"/>
        </w:rPr>
      </w:pPr>
      <w:r>
        <w:rPr>
          <w:rFonts w:ascii="宋体" w:hAnsi="宋体" w:cs="宋体" w:hint="eastAsia"/>
          <w:kern w:val="0"/>
          <w:sz w:val="24"/>
        </w:rPr>
        <w:t>（1）对进入详评的，采用百分制综合评分法。</w:t>
      </w:r>
    </w:p>
    <w:p w:rsidR="00E764F7" w14:paraId="2D822F4E" w14:textId="77777777">
      <w:pPr>
        <w:pStyle w:val="CommentText"/>
        <w:spacing w:line="400" w:lineRule="exact"/>
        <w:ind w:firstLine="480" w:firstLineChars="200"/>
        <w:rPr>
          <w:rFonts w:ascii="宋体" w:hAnsi="宋体" w:cs="宋体" w:hint="eastAsia"/>
          <w:kern w:val="0"/>
          <w:sz w:val="24"/>
        </w:rPr>
      </w:pPr>
      <w:r>
        <w:rPr>
          <w:rFonts w:ascii="宋体" w:hAnsi="宋体" w:cs="宋体" w:hint="eastAsia"/>
          <w:kern w:val="0"/>
          <w:sz w:val="24"/>
        </w:rPr>
        <w:t>（2）计分办法（按四舍五入取至百分位）。</w:t>
      </w:r>
    </w:p>
    <w:p w:rsidR="00E764F7" w14:paraId="765D80A0" w14:textId="77777777">
      <w:pPr>
        <w:pStyle w:val="CommentText"/>
        <w:spacing w:line="400" w:lineRule="exact"/>
        <w:ind w:firstLine="480" w:firstLineChars="200"/>
        <w:rPr>
          <w:rFonts w:ascii="宋体" w:hAnsi="宋体" w:cs="宋体" w:hint="eastAsia"/>
          <w:b/>
          <w:bCs/>
          <w:kern w:val="0"/>
          <w:sz w:val="24"/>
        </w:rPr>
      </w:pPr>
      <w:r>
        <w:rPr>
          <w:rFonts w:ascii="宋体" w:hAnsi="宋体" w:cs="宋体" w:hint="eastAsia"/>
          <w:b/>
          <w:bCs/>
          <w:kern w:val="0"/>
          <w:sz w:val="24"/>
        </w:rPr>
        <w:t>1、价格分……………………………………………………………10分</w:t>
      </w:r>
    </w:p>
    <w:p w:rsidR="00E764F7" w14:paraId="7C1C6A4A" w14:textId="77777777">
      <w:pPr>
        <w:pStyle w:val="CommentText"/>
        <w:spacing w:line="400" w:lineRule="exact"/>
        <w:ind w:firstLine="480" w:firstLineChars="200"/>
        <w:rPr>
          <w:rFonts w:ascii="宋体" w:hAnsi="宋体" w:cs="宋体" w:hint="eastAsia"/>
          <w:kern w:val="0"/>
          <w:sz w:val="24"/>
        </w:rPr>
      </w:pPr>
      <w:r>
        <w:rPr>
          <w:rFonts w:ascii="宋体" w:hAnsi="宋体" w:cs="宋体" w:hint="eastAsia"/>
          <w:kern w:val="0"/>
          <w:sz w:val="24"/>
        </w:rPr>
        <w:t>（1）价格分统一采用低价优先法计算，即满足采购文件要求且评标价最低的供应商的评标价为评标基准价，其价格分为满分。</w:t>
      </w:r>
    </w:p>
    <w:p w:rsidR="00E764F7" w14:paraId="692695F0" w14:textId="77777777">
      <w:pPr>
        <w:pStyle w:val="CommentText"/>
        <w:spacing w:line="400" w:lineRule="exact"/>
        <w:ind w:firstLine="480" w:firstLineChars="200"/>
        <w:rPr>
          <w:rFonts w:ascii="宋体" w:hAnsi="宋体" w:cs="宋体" w:hint="eastAsia"/>
          <w:kern w:val="0"/>
          <w:sz w:val="24"/>
        </w:rPr>
      </w:pPr>
      <w:r>
        <w:rPr>
          <w:rFonts w:ascii="宋体" w:hAnsi="宋体" w:cs="宋体" w:hint="eastAsia"/>
          <w:kern w:val="0"/>
          <w:sz w:val="24"/>
        </w:rPr>
        <w:t>（2）其他供应商的价格分统一按照下列公式计算：</w:t>
      </w:r>
    </w:p>
    <w:p w:rsidR="00E764F7" w:rsidRPr="00316042" w:rsidP="00316042" w14:paraId="72077D9B" w14:textId="0F75FB46">
      <w:pPr>
        <w:pStyle w:val="CommentText"/>
        <w:spacing w:line="400" w:lineRule="exact"/>
        <w:ind w:left="912"/>
        <w:rPr>
          <w:rFonts w:ascii="宋体" w:hAnsi="宋体" w:cs="宋体" w:hint="eastAsia"/>
          <w:b/>
          <w:bCs/>
          <w:kern w:val="0"/>
          <w:sz w:val="24"/>
        </w:rPr>
      </w:pPr>
      <w:r>
        <w:rPr>
          <w:rFonts w:ascii="宋体" w:hAnsi="宋体" w:cs="宋体" w:hint="eastAsia"/>
          <w:kern w:val="0"/>
          <w:sz w:val="24"/>
        </w:rPr>
        <w:t>某有效供应商价格分=</w:t>
      </w:r>
      <w:r w:rsidR="00422D74">
        <w:rPr>
          <w:rFonts w:ascii="宋体" w:hAnsi="宋体" w:cs="宋体" w:hint="eastAsia"/>
          <w:kern w:val="0"/>
          <w:sz w:val="24"/>
        </w:rPr>
        <w:t>评标基准价</w:t>
      </w:r>
      <w:r w:rsidRPr="00316042" w:rsidR="00316042">
        <w:rPr>
          <w:rFonts w:ascii="宋体" w:hAnsi="宋体" w:cs="宋体"/>
          <w:kern w:val="0"/>
          <w:sz w:val="24"/>
        </w:rPr>
        <w:t>÷</w:t>
      </w:r>
      <w:r w:rsidR="00316042">
        <w:rPr>
          <w:rFonts w:ascii="宋体" w:hAnsi="宋体" w:cs="宋体" w:hint="eastAsia"/>
          <w:kern w:val="0"/>
          <w:sz w:val="24"/>
        </w:rPr>
        <w:t>某有效供应商评标价</w:t>
      </w:r>
      <w:r w:rsidRPr="00316042">
        <w:rPr>
          <w:rFonts w:ascii="宋体" w:hAnsi="宋体" w:cs="宋体" w:hint="eastAsia"/>
          <w:kern w:val="0"/>
          <w:sz w:val="24"/>
        </w:rPr>
        <w:t>×10分</w:t>
      </w:r>
    </w:p>
    <w:p w:rsidR="00E764F7" w14:paraId="5754938A" w14:textId="77777777">
      <w:pPr>
        <w:pStyle w:val="PlainText"/>
        <w:spacing w:line="360" w:lineRule="auto"/>
        <w:ind w:firstLine="480" w:firstLineChars="200"/>
        <w:rPr>
          <w:rFonts w:asciiTheme="majorEastAsia" w:eastAsiaTheme="majorEastAsia" w:hAnsiTheme="majorEastAsia" w:cstheme="majorEastAsia" w:hint="eastAsia"/>
          <w:b/>
          <w:bCs/>
          <w:sz w:val="24"/>
          <w:szCs w:val="24"/>
        </w:rPr>
      </w:pPr>
      <w:r>
        <w:rPr>
          <w:rFonts w:asciiTheme="majorEastAsia" w:eastAsiaTheme="majorEastAsia" w:hAnsiTheme="majorEastAsia" w:cstheme="majorEastAsia" w:hint="eastAsia"/>
          <w:b/>
          <w:bCs/>
          <w:kern w:val="2"/>
          <w:sz w:val="24"/>
          <w:szCs w:val="24"/>
        </w:rPr>
        <w:t>2、技术分……………………………………………………………………69分</w:t>
      </w:r>
    </w:p>
    <w:p w:rsidR="00E764F7" w:rsidP="00691AA5" w14:paraId="62AD01B4" w14:textId="48B74B70">
      <w:pPr>
        <w:spacing w:line="360" w:lineRule="auto"/>
        <w:ind w:firstLine="480" w:firstLineChars="200"/>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2.1设计服务方案分（满分12分）</w:t>
      </w:r>
    </w:p>
    <w:p w:rsidR="00E764F7" w:rsidP="00691AA5" w14:paraId="222737CD" w14:textId="61C54BC4">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一档（4分）：供应商对成本控制、技术措施方案、项目合理化设计方案表述不够明确、清晰，没有体现经济性、合理性和先进性；方案基本合理，针对性一般，基本满足采购文件要求。整体评价一般。</w:t>
      </w:r>
    </w:p>
    <w:p w:rsidR="00E764F7" w:rsidP="00691AA5" w14:paraId="55946C0B"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二档（8分）：供应商对成本控制、技术措施方案、项目合理化建议表述比较明确清晰，内容比较全面，经济性、合理性和先进性不够明显，方案较合理，具有一定的针对性。整体评价良好。</w:t>
      </w:r>
    </w:p>
    <w:p w:rsidR="00E764F7" w:rsidP="00691AA5" w14:paraId="3A01C128"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三档（12分）：供应商对成本控制、技术措施方案、项目合理化建议表述清晰、体现经济性、合理性和先进性，方案可行、详细、操作性强，有专项针对本项目情况的分析，完全满足采购文件要求，整体评价优秀。</w:t>
      </w:r>
    </w:p>
    <w:p w:rsidR="00E764F7" w:rsidP="00691AA5" w14:paraId="705BE93B"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注：未提供相关内容方案不得分。</w:t>
      </w:r>
    </w:p>
    <w:p w:rsidR="00E764F7" w:rsidP="00691AA5" w14:paraId="110F6423" w14:textId="44636FC1">
      <w:pPr>
        <w:spacing w:line="360" w:lineRule="auto"/>
        <w:ind w:firstLine="480" w:firstLineChars="200"/>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2.2概预算编制方案分（满分9分）</w:t>
      </w:r>
    </w:p>
    <w:p w:rsidR="00E764F7" w:rsidP="00691AA5" w14:paraId="1681552E"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一档（3分）：供应商提供有项目概预算政策依据、编制方法、编制内容等内容描述简单，符合项目评审及项目建设要求；</w:t>
      </w:r>
    </w:p>
    <w:p w:rsidR="00E764F7" w:rsidP="00691AA5" w14:paraId="7AAD7D9B"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二档（6分）：在一档的基础上，供应商提供有项目概预算各项费用构成、概预算使用工具等内容描述清晰、明确，方案符合项目实际需求，完整、可行；</w:t>
      </w:r>
    </w:p>
    <w:p w:rsidR="00E764F7" w:rsidP="00691AA5" w14:paraId="6CB8907A"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三档（9分）：在二档的基础上，供应商能结合项目实际需求，依据相关标准要求套用造价定额，编制概预算书框架等内容，方案详细全面、可操作性强，预算针对性强，各项费用措施齐全。</w:t>
      </w:r>
    </w:p>
    <w:p w:rsidR="00E764F7" w:rsidP="00691AA5" w14:paraId="7F8B8B2F" w14:textId="77777777">
      <w:pPr>
        <w:pStyle w:val="Footer"/>
        <w:ind w:firstLine="480" w:firstLineChars="200"/>
      </w:pPr>
      <w:r>
        <w:rPr>
          <w:rFonts w:asciiTheme="majorEastAsia" w:eastAsiaTheme="majorEastAsia" w:hAnsiTheme="majorEastAsia" w:cstheme="majorEastAsia" w:hint="eastAsia"/>
          <w:sz w:val="24"/>
        </w:rPr>
        <w:t>注：未提供相关内容方案不得分。</w:t>
      </w:r>
    </w:p>
    <w:p w:rsidR="00E764F7" w:rsidP="00691AA5" w14:paraId="27677573" w14:textId="20C2309E">
      <w:pPr>
        <w:spacing w:line="360" w:lineRule="auto"/>
        <w:ind w:firstLine="480" w:firstLineChars="200"/>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2.3项目服务保障方案分（满分9分）</w:t>
      </w:r>
    </w:p>
    <w:p w:rsidR="00E764F7" w:rsidP="00691AA5" w14:paraId="47117B7E"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一档（3分）：供应商提供有服务保障目标、任务等内容描述简单；</w:t>
      </w:r>
    </w:p>
    <w:p w:rsidR="00E764F7" w:rsidP="00691AA5" w14:paraId="04BB6BE4"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二档（6分）：在一档的基础上，供应商提供有项目组织计划、进度计划等内容描述清晰，方案合理、可行、完整；</w:t>
      </w:r>
    </w:p>
    <w:p w:rsidR="00E764F7" w:rsidP="00691AA5" w14:paraId="2526B883"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三档（9分）：在二档的基础上，供应商提供有明确的管理措施、应急预案等内容描述详细全面、各项措施合理。</w:t>
      </w:r>
    </w:p>
    <w:p w:rsidR="00E764F7" w:rsidP="00691AA5" w14:paraId="59813349"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注：未提供相关内容方案不得分。</w:t>
      </w:r>
    </w:p>
    <w:p w:rsidR="00E764F7" w:rsidP="00691AA5" w14:paraId="4C994C1D" w14:textId="7FDF60EF">
      <w:pPr>
        <w:spacing w:line="360" w:lineRule="auto"/>
        <w:ind w:firstLine="480" w:firstLineChars="200"/>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2.4后续服务方案分（满分9分）</w:t>
      </w:r>
    </w:p>
    <w:p w:rsidR="00E764F7" w:rsidP="00691AA5" w14:paraId="3009D126"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一档（3分）：供应商提供的本项目技术支持及后期服务保障方案满足采购文件要求，且包含有基本的本地化服务、技术支持保障措施的；</w:t>
      </w:r>
    </w:p>
    <w:p w:rsidR="00E764F7" w:rsidP="00691AA5" w14:paraId="03A965C4"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二档（6分）：在一档的基础上，供应商提供的方案包含后续服务承诺、服务内容、服务流程等，内容比较完整，符合实际需求；</w:t>
      </w:r>
    </w:p>
    <w:p w:rsidR="00691AA5" w:rsidP="00691AA5" w14:paraId="12B8FA56"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三档（9分）：在二档的基础上，供应商提供方案的包含后续服务响应与处置、服务体系与措施等，方案内容详细全面的，各项保障方法及措施齐全的。</w:t>
      </w:r>
    </w:p>
    <w:p w:rsidR="00E764F7" w:rsidP="00691AA5" w14:paraId="02C0DAFB" w14:textId="2A3D74DD">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注：未提供相关内容方案不得分。</w:t>
      </w:r>
    </w:p>
    <w:p w:rsidR="00E764F7" w:rsidP="00691AA5" w14:paraId="3B9D8BBA" w14:textId="762FB7B5">
      <w:pPr>
        <w:spacing w:line="360" w:lineRule="auto"/>
        <w:ind w:firstLine="480" w:firstLineChars="200"/>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2.5人员配置方案分（满分30分）</w:t>
      </w:r>
      <w:r>
        <w:rPr>
          <w:rFonts w:asciiTheme="majorEastAsia" w:eastAsiaTheme="majorEastAsia" w:hAnsiTheme="majorEastAsia" w:cstheme="majorEastAsia" w:hint="eastAsia"/>
          <w:b/>
          <w:bCs/>
          <w:sz w:val="24"/>
        </w:rPr>
        <w:tab/>
      </w:r>
    </w:p>
    <w:p w:rsidR="00E764F7" w:rsidP="00691AA5" w14:paraId="26062F6C" w14:textId="77777777">
      <w:pPr>
        <w:spacing w:line="360" w:lineRule="auto"/>
        <w:ind w:firstLine="480" w:firstLineChars="200"/>
        <w:rPr>
          <w:rFonts w:ascii="宋体" w:hAnsi="宋体" w:cs="宋体" w:hint="eastAsia"/>
          <w:snapToGrid w:val="0"/>
          <w:sz w:val="24"/>
        </w:rPr>
      </w:pPr>
      <w:r>
        <w:rPr>
          <w:rFonts w:ascii="宋体" w:hAnsi="宋体" w:cs="宋体" w:hint="eastAsia"/>
          <w:sz w:val="24"/>
        </w:rPr>
        <w:t>（1）</w:t>
      </w:r>
      <w:r>
        <w:rPr>
          <w:rFonts w:ascii="宋体" w:hAnsi="宋体" w:cs="宋体" w:hint="eastAsia"/>
          <w:b/>
          <w:bCs/>
          <w:sz w:val="24"/>
        </w:rPr>
        <w:t>拟投入本项目的项目经理具有</w:t>
      </w:r>
      <w:r>
        <w:rPr>
          <w:rFonts w:ascii="宋体" w:hAnsi="宋体" w:cs="宋体" w:hint="eastAsia"/>
          <w:sz w:val="24"/>
        </w:rPr>
        <w:t>高级信息系统项目管理师证书，在此基础上具有信息安全工程师证书、高级工程师（数据安全类）证书的每提供一项得3分，本项满分6分，不提供不得分。</w:t>
      </w:r>
    </w:p>
    <w:p w:rsidR="00691AA5" w:rsidP="00691AA5" w14:paraId="1C2CD525"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（在响应文件中提供证书复印件并加盖供应商公章，同时需在《项目实施人</w:t>
      </w:r>
      <w:r>
        <w:rPr>
          <w:rFonts w:asciiTheme="majorEastAsia" w:eastAsiaTheme="majorEastAsia" w:hAnsiTheme="majorEastAsia" w:cstheme="majorEastAsia" w:hint="eastAsia"/>
          <w:sz w:val="24"/>
        </w:rPr>
        <w:t>员一览表》中明确标明项目经理的职务，否则不得分）</w:t>
      </w:r>
    </w:p>
    <w:p w:rsidR="00E764F7" w:rsidRPr="00691AA5" w:rsidP="00691AA5" w14:paraId="0D94C1C2" w14:textId="2DE7441D">
      <w:pPr>
        <w:spacing w:line="360" w:lineRule="auto"/>
        <w:ind w:firstLine="480" w:firstLineChars="200"/>
        <w:rPr>
          <w:rFonts w:asciiTheme="majorEastAsia" w:eastAsiaTheme="majorEastAsia" w:hAnsiTheme="majorEastAsia" w:cstheme="majorEastAsia" w:hint="eastAsia"/>
          <w:sz w:val="24"/>
        </w:rPr>
      </w:pPr>
      <w:r>
        <w:rPr>
          <w:rFonts w:ascii="宋体" w:hAnsi="宋体" w:cs="宋体" w:hint="eastAsia"/>
          <w:sz w:val="24"/>
        </w:rPr>
        <w:t>（2）</w:t>
      </w:r>
      <w:r>
        <w:rPr>
          <w:rFonts w:ascii="宋体" w:hAnsi="宋体" w:cs="宋体" w:hint="eastAsia"/>
          <w:b/>
          <w:bCs/>
          <w:sz w:val="24"/>
        </w:rPr>
        <w:t>拟投入本项目的技术负责人（与项目经理不得兼任）具有</w:t>
      </w:r>
      <w:r>
        <w:rPr>
          <w:rFonts w:ascii="宋体" w:hAnsi="宋体" w:cs="宋体" w:hint="eastAsia"/>
          <w:sz w:val="24"/>
        </w:rPr>
        <w:t>高级系统规划与管理师证书，在此基础上具有高级信息系统项目管理师证书、数据库系统工程师证书的每提供一项得3分，本项满分6分，不提供不得分。</w:t>
      </w:r>
    </w:p>
    <w:p w:rsidR="00E764F7" w:rsidP="00BE6FC5" w14:paraId="1ED9D565" w14:textId="77777777">
      <w:pPr>
        <w:spacing w:line="360" w:lineRule="auto"/>
        <w:ind w:firstLine="514" w:firstLineChars="214"/>
        <w:rPr>
          <w:rFonts w:ascii="宋体" w:hAnsi="宋体" w:cs="宋体" w:hint="eastAsia"/>
          <w:sz w:val="24"/>
        </w:rPr>
      </w:pPr>
      <w:r>
        <w:rPr>
          <w:rFonts w:ascii="宋体" w:hAnsi="宋体" w:cs="宋体" w:hint="eastAsia"/>
          <w:sz w:val="24"/>
        </w:rPr>
        <w:t>（响应文件中提供证书复印件并加盖供应商公章，同时需在《项目实施人员一览表》中明确标明技术负责人的职务，否则不得分）</w:t>
      </w:r>
    </w:p>
    <w:p w:rsidR="00E764F7" w14:paraId="0BB9043F" w14:textId="77777777">
      <w:pPr>
        <w:tabs>
          <w:tab w:val="left" w:pos="0"/>
          <w:tab w:val="left" w:pos="3612"/>
        </w:tabs>
        <w:spacing w:line="360" w:lineRule="auto"/>
        <w:ind w:firstLine="480" w:firstLineChars="200"/>
        <w:jc w:val="left"/>
        <w:rPr>
          <w:rFonts w:ascii="宋体" w:hAnsi="宋体" w:cs="宋体" w:hint="eastAsia"/>
          <w:snapToGrid w:val="0"/>
          <w:sz w:val="24"/>
        </w:rPr>
      </w:pPr>
      <w:r>
        <w:rPr>
          <w:rFonts w:ascii="宋体" w:hAnsi="宋体" w:cs="宋体" w:hint="eastAsia"/>
          <w:sz w:val="24"/>
        </w:rPr>
        <w:t>（3）</w:t>
      </w:r>
      <w:r>
        <w:rPr>
          <w:rFonts w:ascii="宋体" w:hAnsi="宋体" w:cs="宋体" w:hint="eastAsia"/>
          <w:b/>
          <w:bCs/>
          <w:sz w:val="24"/>
        </w:rPr>
        <w:t>拟投入本项目的概预算编制负责人（与项目经理、技术负责人不得兼任）具有</w:t>
      </w:r>
      <w:r>
        <w:rPr>
          <w:rFonts w:ascii="宋体" w:hAnsi="宋体" w:cs="宋体" w:hint="eastAsia"/>
          <w:sz w:val="24"/>
        </w:rPr>
        <w:t>一级造价工程师证书（安装</w:t>
      </w:r>
      <w:r>
        <w:rPr>
          <w:rFonts w:ascii="宋体" w:hAnsi="宋体" w:cs="宋体" w:hint="eastAsia"/>
          <w:sz w:val="24"/>
        </w:rPr>
        <w:t>专业）,</w:t>
      </w:r>
      <w:r>
        <w:rPr>
          <w:rFonts w:ascii="宋体" w:hAnsi="宋体" w:cs="宋体" w:hint="eastAsia"/>
          <w:sz w:val="24"/>
        </w:rPr>
        <w:t>在此基础上具有中华人民共和国咨询工程师（投资）证书（专业：电子、信息工程（含通信、广电、信息化））、信息系统管理工程师证书的每提供一项得3分，本项满分6分，不提供不得分</w:t>
      </w:r>
      <w:r>
        <w:rPr>
          <w:rFonts w:ascii="宋体" w:hAnsi="宋体" w:cs="宋体" w:hint="eastAsia"/>
          <w:snapToGrid w:val="0"/>
          <w:sz w:val="24"/>
        </w:rPr>
        <w:t>。</w:t>
      </w:r>
    </w:p>
    <w:p w:rsidR="00E764F7" w14:paraId="53E495AA" w14:textId="77777777">
      <w:pPr>
        <w:tabs>
          <w:tab w:val="left" w:pos="0"/>
          <w:tab w:val="left" w:pos="3612"/>
        </w:tabs>
        <w:spacing w:line="360" w:lineRule="auto"/>
        <w:ind w:firstLine="480" w:firstLineChars="200"/>
        <w:jc w:val="left"/>
        <w:rPr>
          <w:rFonts w:ascii="宋体" w:hAnsi="宋体" w:cs="宋体" w:hint="eastAsia"/>
          <w:sz w:val="24"/>
        </w:rPr>
      </w:pPr>
      <w:r>
        <w:rPr>
          <w:rFonts w:ascii="宋体" w:hAnsi="宋体" w:cs="宋体" w:hint="eastAsia"/>
          <w:sz w:val="24"/>
        </w:rPr>
        <w:t>（响应文件中提供证书复印件并加盖供应商公章，同时需在《项目实施人员一览表》中明确标明概预算编制负责人的职务，否则不得分）</w:t>
      </w:r>
    </w:p>
    <w:p w:rsidR="00E764F7" w:rsidP="00691AA5" w14:paraId="7548F2D4"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b/>
          <w:bCs/>
          <w:sz w:val="24"/>
        </w:rPr>
        <w:t>拟投入本项目的项目组其他成员（除项目经理、技术负责人、概预算编制负责人外）资质经验</w:t>
      </w:r>
      <w:r>
        <w:rPr>
          <w:rFonts w:asciiTheme="majorEastAsia" w:eastAsiaTheme="majorEastAsia" w:hAnsiTheme="majorEastAsia" w:cstheme="majorEastAsia" w:hint="eastAsia"/>
          <w:sz w:val="24"/>
        </w:rPr>
        <w:t>，满分12分，不提供不得分。（项目组其他成员中，同一人员具有多项证书的，只计其中一项）：</w:t>
      </w:r>
    </w:p>
    <w:p w:rsidR="00E764F7" w:rsidP="00691AA5" w14:paraId="0A98961F"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①具有高级软件工程师证书的，每人得2分，满分2分；</w:t>
      </w:r>
    </w:p>
    <w:p w:rsidR="00E764F7" w:rsidP="00691AA5" w14:paraId="1AC3EB6C"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②具有系统规划与管理师证书的，每人得2分，满分2分；</w:t>
      </w:r>
    </w:p>
    <w:p w:rsidR="00E764F7" w:rsidP="00691AA5" w14:paraId="692B3EA3"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③中华人民共和国咨询工程师（投资）证书（专业：电子、信息工程（含通信、广电、信息化））的，每人得2分，满分2分；</w:t>
      </w:r>
    </w:p>
    <w:p w:rsidR="00E764F7" w:rsidP="00691AA5" w14:paraId="3B0EDA18"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④具有网络安全服务高级工程师证书的，每人得2分，满分2分；</w:t>
      </w:r>
    </w:p>
    <w:p w:rsidR="00E764F7" w:rsidP="00691AA5" w14:paraId="43D18D41"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⑤具有高级信息系统项目管理师证书的，每人得2分，满分2分；</w:t>
      </w:r>
    </w:p>
    <w:p w:rsidR="00E764F7" w:rsidP="00691AA5" w14:paraId="5924DBD7"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⑥具有信息安全保障人员资格证书的，每人得2分，满分2分。</w:t>
      </w:r>
    </w:p>
    <w:p w:rsidR="00E764F7" w:rsidRPr="00BE6FC5" w:rsidP="00BE6FC5" w14:paraId="0BAB8CC4" w14:textId="6A9CF9B8">
      <w:pPr>
        <w:spacing w:line="360" w:lineRule="auto"/>
        <w:ind w:firstLine="480" w:firstLineChars="200"/>
        <w:rPr>
          <w:rFonts w:asciiTheme="majorEastAsia" w:eastAsiaTheme="majorEastAsia" w:hAnsiTheme="majorEastAsia" w:cstheme="majorEastAsia" w:hint="eastAsia"/>
          <w:sz w:val="24"/>
        </w:rPr>
      </w:pPr>
      <w:r w:rsidRPr="00BE6FC5">
        <w:rPr>
          <w:rFonts w:asciiTheme="majorEastAsia" w:eastAsiaTheme="majorEastAsia" w:hAnsiTheme="majorEastAsia" w:cstheme="majorEastAsia" w:hint="eastAsia"/>
          <w:sz w:val="24"/>
        </w:rPr>
        <w:t>注：以上（1）～（4）项人员必须列入《项目实施人员一览表》并提供供应商自响应文件递交截止时间前半年内连续三个月为其缴纳的社会保险参保缴费证明文件复印件并加盖单位公章，否则不予计分；拟投入人员资质证书需在响应文件中提供证书复印件并加盖供应商公章，其中一级造价工程师（安装专业）证书需提供全国建筑市场监管公共服务平台注册人员查询截图并加盖供应商公章，原件现场备查。</w:t>
      </w:r>
    </w:p>
    <w:p w:rsidR="00E764F7" w:rsidP="00BE6FC5" w14:paraId="4F43E95C" w14:textId="77777777">
      <w:pPr>
        <w:spacing w:line="360" w:lineRule="auto"/>
        <w:ind w:firstLine="480" w:firstLineChars="200"/>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3、信誉业绩分……………………………………………………………21分</w:t>
      </w:r>
    </w:p>
    <w:p w:rsidR="00E764F7" w:rsidP="00BE6FC5" w14:paraId="7B5C4410"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（1）供应商自2022年1月1日（以合同签订时间为准）以来完成过类似设计咨询项目案例的，每个案例1分，最高4分；</w:t>
      </w:r>
    </w:p>
    <w:p w:rsidR="00E764F7" w:rsidRPr="00BE6FC5" w:rsidP="00BE6FC5" w14:paraId="1DAC0B42" w14:textId="77777777">
      <w:pPr>
        <w:spacing w:line="360" w:lineRule="auto"/>
        <w:ind w:firstLine="480" w:firstLineChars="200"/>
        <w:rPr>
          <w:rFonts w:asciiTheme="majorEastAsia" w:eastAsiaTheme="majorEastAsia" w:hAnsiTheme="majorEastAsia" w:cstheme="majorEastAsia" w:hint="eastAsia"/>
          <w:sz w:val="24"/>
        </w:rPr>
      </w:pPr>
      <w:r w:rsidRPr="00BE6FC5">
        <w:rPr>
          <w:rFonts w:asciiTheme="majorEastAsia" w:eastAsiaTheme="majorEastAsia" w:hAnsiTheme="majorEastAsia" w:cstheme="majorEastAsia" w:hint="eastAsia"/>
          <w:sz w:val="24"/>
        </w:rPr>
        <w:t>注：供应商须提供业绩列表，并提供该业绩项目的合同文本复印件，否则不得分。以上复印件加盖公章。</w:t>
      </w:r>
    </w:p>
    <w:p w:rsidR="00E764F7" w:rsidP="00BE6FC5" w14:paraId="6C3896C0" w14:textId="77777777">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（2）供应商具有与机房建设相关的计算机软件著作权登记证书的，得3分；</w:t>
      </w:r>
    </w:p>
    <w:p w:rsidR="00E764F7" w:rsidP="00BE6FC5" w14:paraId="51FC314B" w14:textId="2AEC2075">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3）供应商具备有效的质量管理体系认证证书、环境管理体系认证证书、职业健康安全管理体系认证证书、信息安全管理体系认证证书、信息技术服务管理体系认证证书，且认证范围包含“信息技术咨询”的每个证书得1分，满分5分。（响应文件中提供有效证书复印件并加盖供应商公章）</w:t>
      </w:r>
    </w:p>
    <w:p w:rsidR="00E764F7" w:rsidP="00BE6FC5" w14:paraId="52FBF9AA" w14:textId="784284C3">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（4）供应商具备有效的《工程咨询单位资信证书》的得3分，满分3分；（响应文件中提供有效证书复印件并加盖供应商公章）</w:t>
      </w:r>
    </w:p>
    <w:p w:rsidR="00E764F7" w:rsidP="00BE6FC5" w14:paraId="27A5CC6C" w14:textId="7F8DA6BC">
      <w:pPr>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（5）供应商具备有效的信息安全服务资质认证证书（CCRC）的得3分，满分3分；（响应文件中提供有效证书复印件并加盖供应商公章）</w:t>
      </w:r>
    </w:p>
    <w:p w:rsidR="00E764F7" w14:paraId="1EA000A9" w14:textId="529A2BC3">
      <w:pPr>
        <w:pStyle w:val="BodyText"/>
        <w:spacing w:line="360" w:lineRule="auto"/>
        <w:ind w:firstLine="480" w:firstLineChars="20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（6）供应商具备ITSS信息技术服务咨询设计标准符合性证书的得3分，满分3分；（响应文件中提供有效证书复印件并加盖供应商公章）</w:t>
      </w:r>
    </w:p>
    <w:p w:rsidR="00E764F7" w:rsidP="00BE6FC5" w14:paraId="7B461A6C" w14:textId="617225D1">
      <w:pPr>
        <w:spacing w:line="360" w:lineRule="auto"/>
        <w:ind w:firstLine="480" w:firstLineChars="200"/>
        <w:rPr>
          <w:rFonts w:asciiTheme="majorEastAsia" w:eastAsiaTheme="majorEastAsia" w:hAnsiTheme="majorEastAsia" w:cstheme="majorEastAsia" w:hint="eastAsia"/>
          <w:b/>
          <w:kern w:val="0"/>
          <w:sz w:val="24"/>
        </w:rPr>
      </w:pPr>
      <w:r>
        <w:rPr>
          <w:rFonts w:asciiTheme="majorEastAsia" w:eastAsiaTheme="majorEastAsia" w:hAnsiTheme="majorEastAsia" w:cstheme="majorEastAsia" w:hint="eastAsia"/>
          <w:b/>
          <w:kern w:val="0"/>
          <w:sz w:val="24"/>
        </w:rPr>
        <w:t>4、总得分=</w:t>
      </w:r>
      <w:r w:rsidR="00BE6FC5">
        <w:rPr>
          <w:rFonts w:asciiTheme="majorEastAsia" w:eastAsiaTheme="majorEastAsia" w:hAnsiTheme="majorEastAsia" w:cstheme="majorEastAsia" w:hint="eastAsia"/>
          <w:b/>
          <w:kern w:val="0"/>
          <w:sz w:val="24"/>
        </w:rPr>
        <w:t>价格分</w:t>
      </w:r>
      <w:r>
        <w:rPr>
          <w:rFonts w:asciiTheme="majorEastAsia" w:eastAsiaTheme="majorEastAsia" w:hAnsiTheme="majorEastAsia" w:cstheme="majorEastAsia" w:hint="eastAsia"/>
          <w:b/>
          <w:kern w:val="0"/>
          <w:sz w:val="24"/>
        </w:rPr>
        <w:t>+</w:t>
      </w:r>
      <w:r w:rsidR="00BE6FC5">
        <w:rPr>
          <w:rFonts w:asciiTheme="majorEastAsia" w:eastAsiaTheme="majorEastAsia" w:hAnsiTheme="majorEastAsia" w:cstheme="majorEastAsia" w:hint="eastAsia"/>
          <w:b/>
          <w:kern w:val="0"/>
          <w:sz w:val="24"/>
        </w:rPr>
        <w:t>技术分</w:t>
      </w:r>
      <w:r>
        <w:rPr>
          <w:rFonts w:asciiTheme="majorEastAsia" w:eastAsiaTheme="majorEastAsia" w:hAnsiTheme="majorEastAsia" w:cstheme="majorEastAsia" w:hint="eastAsia"/>
          <w:b/>
          <w:kern w:val="0"/>
          <w:sz w:val="24"/>
        </w:rPr>
        <w:t>+</w:t>
      </w:r>
      <w:r w:rsidR="00BE6FC5">
        <w:rPr>
          <w:rFonts w:asciiTheme="majorEastAsia" w:eastAsiaTheme="majorEastAsia" w:hAnsiTheme="majorEastAsia" w:cstheme="majorEastAsia" w:hint="eastAsia"/>
          <w:b/>
          <w:kern w:val="0"/>
          <w:sz w:val="24"/>
        </w:rPr>
        <w:t>信誉业绩分</w:t>
      </w:r>
    </w:p>
    <w:p w:rsidR="00E764F7" w:rsidRPr="00691AA5" w:rsidP="00691AA5" w14:paraId="4B70A8EE" w14:textId="77777777">
      <w:pPr>
        <w:spacing w:line="360" w:lineRule="auto"/>
        <w:ind w:firstLine="480" w:firstLineChars="200"/>
        <w:rPr>
          <w:rFonts w:ascii="宋体" w:hAnsi="宋体" w:cs="宋体" w:hint="eastAsia"/>
          <w:b/>
          <w:bCs/>
          <w:kern w:val="0"/>
          <w:sz w:val="24"/>
        </w:rPr>
      </w:pPr>
      <w:r w:rsidRPr="00691AA5">
        <w:rPr>
          <w:rFonts w:ascii="宋体" w:hAnsi="宋体" w:cs="宋体" w:hint="eastAsia"/>
          <w:b/>
          <w:bCs/>
          <w:kern w:val="0"/>
          <w:sz w:val="24"/>
        </w:rPr>
        <w:t>四、成交候选人推荐原则</w:t>
      </w:r>
    </w:p>
    <w:p w:rsidR="00E764F7" w:rsidP="00B3593F" w14:paraId="3C0D8A81" w14:textId="77777777">
      <w:pPr>
        <w:pStyle w:val="BodyText"/>
        <w:spacing w:after="0" w:line="360" w:lineRule="auto"/>
        <w:ind w:firstLine="480" w:firstLineChars="200"/>
        <w:rPr>
          <w:sz w:val="24"/>
          <w:szCs w:val="22"/>
        </w:rPr>
      </w:pPr>
      <w:r>
        <w:rPr>
          <w:rFonts w:hint="eastAsia"/>
          <w:sz w:val="24"/>
          <w:szCs w:val="22"/>
        </w:rPr>
        <w:t>（一）评审小组将根据得分由高到低排列次序（得分相同时，以最后报价由低到高顺序排列；得分相同且最后报价相同的，按技术指标优劣顺序排列）并推荐成交候选供应商。排名第一的中标候选人放弃中标、因不可抗力提出不能履行合同，或者响应文件规定应当提交质量保证金而在规定的期限内未能提交的，采购人可以确定排名第二的中标候选人为中标供应商。排名第二的中标候选人因前款规定的同样原因不能签订合同的，采购人可以确定排名第三的中标候选人为中标供应商，其余以此类推。采购人也可以决定重新采购。</w:t>
      </w:r>
    </w:p>
    <w:p w:rsidR="00E764F7" w:rsidRPr="00B3593F" w:rsidP="00B3593F" w14:paraId="085C9C51" w14:textId="026F18CB">
      <w:pPr>
        <w:pStyle w:val="BodyText"/>
        <w:spacing w:after="0" w:line="360" w:lineRule="auto"/>
        <w:ind w:firstLine="480" w:firstLineChars="200"/>
        <w:rPr>
          <w:sz w:val="24"/>
          <w:szCs w:val="22"/>
        </w:rPr>
      </w:pPr>
      <w:r>
        <w:rPr>
          <w:rFonts w:hint="eastAsia"/>
          <w:sz w:val="24"/>
          <w:szCs w:val="22"/>
        </w:rPr>
        <w:t>（二）评审小组认为，某供应商的有效最后报价或者某些分项报价明显不合理或者低于成本，有可能影响服务质量和不能诚信履约的，应要求其在规定的期限内提供书面文件予以解释说明，并提交相关证明材料，否则，评标委员会不推荐该供应商为中标候选人。</w:t>
      </w:r>
    </w:p>
    <w:sectPr>
      <w:headerReference w:type="even" r:id="rId5"/>
      <w:headerReference w:type="default" r:id="rId6"/>
      <w:footerReference w:type="default" r:id="rId7"/>
      <w:headerReference w:type="first" r:id="rI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64F7" w14:paraId="1981E1B5" w14:textId="77777777">
    <w:pPr>
      <w:pStyle w:val="Footer"/>
    </w:pPr>
    <w:r>
      <w:rPr>
        <w:noProof/>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64F7" w14:textId="77777777">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708416" filled="f" stroked="f" strokeweight="0.5pt">
              <v:textbox style="mso-fit-shape-to-text:t" inset="0,0,0,0">
                <w:txbxContent>
                  <w:p w:rsidR="00E764F7" w14:paraId="38EA7E59" w14:textId="77777777">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width:116pt;height:12pt;margin-top:60pt;margin-left:-53pt;position:absolute;rotation:-40;z-index:251691008" fillcolor="#eee" strokecolor="#eee">
          <v:textpath style="font-family:楷体" string="广西财经学院采购管理系统欧阳声晓2025110022"/>
        </v:shape>
      </w:pict>
    </w:r>
    <w:r>
      <w:pict>
        <v:shape id="_x0000_s2083" type="#_x0000_t136" style="width:116pt;height:12pt;margin-top:260pt;margin-left:-53pt;position:absolute;rotation:-40;z-index:251692032" fillcolor="#eee" strokecolor="#eee">
          <v:textpath style="font-family:楷体" string="广西财经学院采购管理系统欧阳声晓2025110022"/>
        </v:shape>
      </w:pict>
    </w:r>
    <w:r>
      <w:pict>
        <v:shape id="_x0000_s2084" type="#_x0000_t136" style="width:116pt;height:12pt;margin-top:455pt;margin-left:-53pt;position:absolute;rotation:-40;z-index:251693056" fillcolor="#eee" strokecolor="#eee">
          <v:textpath style="font-family:楷体" string="广西财经学院采购管理系统欧阳声晓2025110022"/>
        </v:shape>
      </w:pict>
    </w:r>
    <w:r>
      <w:pict>
        <v:shape id="_x0000_s2085" type="#_x0000_t136" style="width:116pt;height:12pt;margin-top:660pt;margin-left:-53pt;position:absolute;rotation:-40;z-index:251694080" fillcolor="#eee" strokecolor="#eee">
          <v:textpath style="font-family:楷体" string="广西财经学院采购管理系统欧阳声晓2025110022"/>
        </v:shape>
      </w:pict>
    </w:r>
    <w:r>
      <w:pict>
        <v:shape id="_x0000_s2086" type="#_x0000_t136" style="width:116pt;height:12pt;margin-top:57pt;margin-left:141pt;position:absolute;rotation:-40;z-index:251695104" fillcolor="#eee" strokecolor="#eee">
          <v:textpath style="font-family:楷体" string="广西财经学院采购管理系统欧阳声晓2025110022"/>
        </v:shape>
      </w:pict>
    </w:r>
    <w:r>
      <w:pict>
        <v:shape id="_x0000_s2087" type="#_x0000_t136" style="width:116pt;height:12pt;margin-top:260pt;margin-left:141pt;position:absolute;rotation:-40;z-index:251696128" fillcolor="#eee" strokecolor="#eee">
          <v:textpath style="font-family:楷体" string="广西财经学院采购管理系统欧阳声晓2025110022"/>
        </v:shape>
      </w:pict>
    </w:r>
    <w:r>
      <w:pict>
        <v:shape id="_x0000_s2088" type="#_x0000_t136" style="width:116pt;height:12pt;margin-top:466pt;margin-left:141pt;position:absolute;rotation:-40;z-index:251697152" fillcolor="#eee" strokecolor="#eee">
          <v:textpath style="font-family:楷体" string="广西财经学院采购管理系统欧阳声晓2025110022"/>
        </v:shape>
      </w:pict>
    </w:r>
    <w:r>
      <w:pict>
        <v:shape id="_x0000_s2089" type="#_x0000_t136" style="width:116pt;height:12pt;margin-top:661pt;margin-left:141pt;position:absolute;rotation:-40;z-index:251698176" fillcolor="#eee" strokecolor="#eee">
          <v:textpath style="font-family:楷体" string="广西财经学院采购管理系统欧阳声晓2025110022"/>
        </v:shape>
      </w:pict>
    </w:r>
    <w:r>
      <w:pict>
        <v:shape id="_x0000_s2090" type="#_x0000_t136" style="width:116pt;height:12pt;margin-top:64pt;margin-left:354pt;position:absolute;rotation:-40;z-index:251699200" fillcolor="#eee" strokecolor="#eee">
          <v:textpath style="font-family:楷体" string="广西财经学院采购管理系统欧阳声晓2025110022"/>
        </v:shape>
      </w:pict>
    </w:r>
    <w:r>
      <w:pict>
        <v:shape id="_x0000_s2091" type="#_x0000_t136" style="width:116pt;height:12pt;margin-top:264pt;margin-left:354pt;position:absolute;rotation:-40;z-index:251700224" fillcolor="#eee" strokecolor="#eee">
          <v:textpath style="font-family:楷体" string="广西财经学院采购管理系统欧阳声晓2025110022"/>
        </v:shape>
      </w:pict>
    </w:r>
    <w:r>
      <w:pict>
        <v:shape id="_x0000_s2092" type="#_x0000_t136" style="width:116pt;height:12pt;margin-top:468pt;margin-left:354pt;position:absolute;rotation:-40;z-index:251701248" fillcolor="#eee" strokecolor="#eee">
          <v:textpath style="font-family:楷体" string="广西财经学院采购管理系统欧阳声晓2025110022"/>
        </v:shape>
      </w:pict>
    </w:r>
    <w:r>
      <w:pict>
        <v:shape id="_x0000_s2093" type="#_x0000_t136" style="width:116pt;height:12pt;margin-top:664pt;margin-left:354pt;position:absolute;rotation:-40;z-index:251702272" fillcolor="#eee" strokecolor="#eee">
          <v:textpath style="font-family:楷体" string="广西财经学院采购管理系统欧阳声晓2025110022"/>
        </v:shape>
      </w:pict>
    </w:r>
    <w:r>
      <w:pict>
        <v:shape id="_x0000_s2094" type="#_x0000_t136" style="width:116pt;height:12pt;margin-top:57pt;margin-left:544pt;position:absolute;rotation:-40;z-index:251703296" fillcolor="#eee" strokecolor="#eee">
          <v:textpath style="font-family:楷体" string="广西财经学院采购管理系统欧阳声晓2025110022"/>
        </v:shape>
      </w:pict>
    </w:r>
    <w:r>
      <w:pict>
        <v:shape id="_x0000_s2095" type="#_x0000_t136" style="width:116pt;height:12pt;margin-top:267pt;margin-left:544pt;position:absolute;rotation:-40;z-index:251704320" fillcolor="#eee" strokecolor="#eee">
          <v:textpath style="font-family:楷体" string="广西财经学院采购管理系统欧阳声晓2025110022"/>
        </v:shape>
      </w:pict>
    </w:r>
    <w:r>
      <w:pict>
        <v:shape id="_x0000_s2096" type="#_x0000_t136" style="width:116pt;height:12pt;margin-top:459pt;margin-left:544pt;position:absolute;rotation:-40;z-index:251705344" fillcolor="#eee" strokecolor="#eee">
          <v:textpath style="font-family:楷体" string="广西财经学院采购管理系统欧阳声晓2025110022"/>
        </v:shape>
      </w:pict>
    </w:r>
    <w:r>
      <w:pict>
        <v:shape id="_x0000_s2097" type="#_x0000_t136" style="width:116pt;height:12pt;margin-top:658pt;margin-left:544pt;position:absolute;rotation:-40;z-index:251706368" fillcolor="#eee" strokecolor="#eee">
          <v:textpath style="font-family:楷体" string="广西财经学院采购管理系统欧阳声晓2025110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116pt;height:12pt;margin-top:60pt;margin-left:-53pt;position:absolute;rotation:-40;z-index:251658240" fillcolor="#eee" strokecolor="#eee">
          <v:textpath style="font-family:楷体" string="广西财经学院采购管理系统欧阳声晓2025110022"/>
        </v:shape>
      </w:pict>
    </w:r>
    <w:r>
      <w:pict>
        <v:shape id="_x0000_s2051" type="#_x0000_t136" style="width:116pt;height:12pt;margin-top:260pt;margin-left:-53pt;position:absolute;rotation:-40;z-index:251659264" fillcolor="#eee" strokecolor="#eee">
          <v:textpath style="font-family:楷体" string="广西财经学院采购管理系统欧阳声晓2025110022"/>
        </v:shape>
      </w:pict>
    </w:r>
    <w:r>
      <w:pict>
        <v:shape id="_x0000_s2052" type="#_x0000_t136" style="width:116pt;height:12pt;margin-top:455pt;margin-left:-53pt;position:absolute;rotation:-40;z-index:251660288" fillcolor="#eee" strokecolor="#eee">
          <v:textpath style="font-family:楷体" string="广西财经学院采购管理系统欧阳声晓2025110022"/>
        </v:shape>
      </w:pict>
    </w:r>
    <w:r>
      <w:pict>
        <v:shape id="_x0000_s2053" type="#_x0000_t136" style="width:116pt;height:12pt;margin-top:660pt;margin-left:-53pt;position:absolute;rotation:-40;z-index:251661312" fillcolor="#eee" strokecolor="#eee">
          <v:textpath style="font-family:楷体" string="广西财经学院采购管理系统欧阳声晓2025110022"/>
        </v:shape>
      </w:pict>
    </w:r>
    <w:r>
      <w:pict>
        <v:shape id="_x0000_s2054" type="#_x0000_t136" style="width:116pt;height:12pt;margin-top:57pt;margin-left:141pt;position:absolute;rotation:-40;z-index:251662336" fillcolor="#eee" strokecolor="#eee">
          <v:textpath style="font-family:楷体" string="广西财经学院采购管理系统欧阳声晓2025110022"/>
        </v:shape>
      </w:pict>
    </w:r>
    <w:r>
      <w:pict>
        <v:shape id="_x0000_s2055" type="#_x0000_t136" style="width:116pt;height:12pt;margin-top:260pt;margin-left:141pt;position:absolute;rotation:-40;z-index:251663360" fillcolor="#eee" strokecolor="#eee">
          <v:textpath style="font-family:楷体" string="广西财经学院采购管理系统欧阳声晓2025110022"/>
        </v:shape>
      </w:pict>
    </w:r>
    <w:r>
      <w:pict>
        <v:shape id="_x0000_s2056" type="#_x0000_t136" style="width:116pt;height:12pt;margin-top:466pt;margin-left:141pt;position:absolute;rotation:-40;z-index:251664384" fillcolor="#eee" strokecolor="#eee">
          <v:textpath style="font-family:楷体" string="广西财经学院采购管理系统欧阳声晓2025110022"/>
        </v:shape>
      </w:pict>
    </w:r>
    <w:r>
      <w:pict>
        <v:shape id="_x0000_s2057" type="#_x0000_t136" style="width:116pt;height:12pt;margin-top:661pt;margin-left:141pt;position:absolute;rotation:-40;z-index:251665408" fillcolor="#eee" strokecolor="#eee">
          <v:textpath style="font-family:楷体" string="广西财经学院采购管理系统欧阳声晓2025110022"/>
        </v:shape>
      </w:pict>
    </w:r>
    <w:r>
      <w:pict>
        <v:shape id="_x0000_s2058" type="#_x0000_t136" style="width:116pt;height:12pt;margin-top:64pt;margin-left:354pt;position:absolute;rotation:-40;z-index:251666432" fillcolor="#eee" strokecolor="#eee">
          <v:textpath style="font-family:楷体" string="广西财经学院采购管理系统欧阳声晓2025110022"/>
        </v:shape>
      </w:pict>
    </w:r>
    <w:r>
      <w:pict>
        <v:shape id="_x0000_s2059" type="#_x0000_t136" style="width:116pt;height:12pt;margin-top:264pt;margin-left:354pt;position:absolute;rotation:-40;z-index:251667456" fillcolor="#eee" strokecolor="#eee">
          <v:textpath style="font-family:楷体" string="广西财经学院采购管理系统欧阳声晓2025110022"/>
        </v:shape>
      </w:pict>
    </w:r>
    <w:r>
      <w:pict>
        <v:shape id="_x0000_s2060" type="#_x0000_t136" style="width:116pt;height:12pt;margin-top:468pt;margin-left:354pt;position:absolute;rotation:-40;z-index:251668480" fillcolor="#eee" strokecolor="#eee">
          <v:textpath style="font-family:楷体" string="广西财经学院采购管理系统欧阳声晓2025110022"/>
        </v:shape>
      </w:pict>
    </w:r>
    <w:r>
      <w:pict>
        <v:shape id="_x0000_s2061" type="#_x0000_t136" style="width:116pt;height:12pt;margin-top:664pt;margin-left:354pt;position:absolute;rotation:-40;z-index:251669504" fillcolor="#eee" strokecolor="#eee">
          <v:textpath style="font-family:楷体" string="广西财经学院采购管理系统欧阳声晓2025110022"/>
        </v:shape>
      </w:pict>
    </w:r>
    <w:r>
      <w:pict>
        <v:shape id="_x0000_s2062" type="#_x0000_t136" style="width:116pt;height:12pt;margin-top:57pt;margin-left:544pt;position:absolute;rotation:-40;z-index:251670528" fillcolor="#eee" strokecolor="#eee">
          <v:textpath style="font-family:楷体" string="广西财经学院采购管理系统欧阳声晓2025110022"/>
        </v:shape>
      </w:pict>
    </w:r>
    <w:r>
      <w:pict>
        <v:shape id="_x0000_s2063" type="#_x0000_t136" style="width:116pt;height:12pt;margin-top:267pt;margin-left:544pt;position:absolute;rotation:-40;z-index:251671552" fillcolor="#eee" strokecolor="#eee">
          <v:textpath style="font-family:楷体" string="广西财经学院采购管理系统欧阳声晓2025110022"/>
        </v:shape>
      </w:pict>
    </w:r>
    <w:r>
      <w:pict>
        <v:shape id="_x0000_s2064" type="#_x0000_t136" style="width:116pt;height:12pt;margin-top:459pt;margin-left:544pt;position:absolute;rotation:-40;z-index:251672576" fillcolor="#eee" strokecolor="#eee">
          <v:textpath style="font-family:楷体" string="广西财经学院采购管理系统欧阳声晓2025110022"/>
        </v:shape>
      </w:pict>
    </w:r>
    <w:r>
      <w:pict>
        <v:shape id="_x0000_s2065" type="#_x0000_t136" style="width:116pt;height:12pt;margin-top:658pt;margin-left:544pt;position:absolute;rotation:-40;z-index:251673600" fillcolor="#eee" strokecolor="#eee">
          <v:textpath style="font-family:楷体" string="广西财经学院采购管理系统欧阳声晓2025110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width:116pt;height:12pt;margin-top:60pt;margin-left:-53pt;position:absolute;rotation:-40;z-index:251674624" fillcolor="#eee" strokecolor="#eee">
          <v:textpath style="font-family:楷体" string="广西财经学院采购管理系统欧阳声晓2025110022"/>
        </v:shape>
      </w:pict>
    </w:r>
    <w:r>
      <w:pict>
        <v:shape id="_x0000_s2067" type="#_x0000_t136" style="width:116pt;height:12pt;margin-top:260pt;margin-left:-53pt;position:absolute;rotation:-40;z-index:251675648" fillcolor="#eee" strokecolor="#eee">
          <v:textpath style="font-family:楷体" string="广西财经学院采购管理系统欧阳声晓2025110022"/>
        </v:shape>
      </w:pict>
    </w:r>
    <w:r>
      <w:pict>
        <v:shape id="_x0000_s2068" type="#_x0000_t136" style="width:116pt;height:12pt;margin-top:455pt;margin-left:-53pt;position:absolute;rotation:-40;z-index:251676672" fillcolor="#eee" strokecolor="#eee">
          <v:textpath style="font-family:楷体" string="广西财经学院采购管理系统欧阳声晓2025110022"/>
        </v:shape>
      </w:pict>
    </w:r>
    <w:r>
      <w:pict>
        <v:shape id="_x0000_s2069" type="#_x0000_t136" style="width:116pt;height:12pt;margin-top:660pt;margin-left:-53pt;position:absolute;rotation:-40;z-index:251677696" fillcolor="#eee" strokecolor="#eee">
          <v:textpath style="font-family:楷体" string="广西财经学院采购管理系统欧阳声晓2025110022"/>
        </v:shape>
      </w:pict>
    </w:r>
    <w:r>
      <w:pict>
        <v:shape id="_x0000_s2070" type="#_x0000_t136" style="width:116pt;height:12pt;margin-top:57pt;margin-left:141pt;position:absolute;rotation:-40;z-index:251678720" fillcolor="#eee" strokecolor="#eee">
          <v:textpath style="font-family:楷体" string="广西财经学院采购管理系统欧阳声晓2025110022"/>
        </v:shape>
      </w:pict>
    </w:r>
    <w:r>
      <w:pict>
        <v:shape id="_x0000_s2071" type="#_x0000_t136" style="width:116pt;height:12pt;margin-top:260pt;margin-left:141pt;position:absolute;rotation:-40;z-index:251679744" fillcolor="#eee" strokecolor="#eee">
          <v:textpath style="font-family:楷体" string="广西财经学院采购管理系统欧阳声晓2025110022"/>
        </v:shape>
      </w:pict>
    </w:r>
    <w:r>
      <w:pict>
        <v:shape id="_x0000_s2072" type="#_x0000_t136" style="width:116pt;height:12pt;margin-top:466pt;margin-left:141pt;position:absolute;rotation:-40;z-index:251680768" fillcolor="#eee" strokecolor="#eee">
          <v:textpath style="font-family:楷体" string="广西财经学院采购管理系统欧阳声晓2025110022"/>
        </v:shape>
      </w:pict>
    </w:r>
    <w:r>
      <w:pict>
        <v:shape id="_x0000_s2073" type="#_x0000_t136" style="width:116pt;height:12pt;margin-top:661pt;margin-left:141pt;position:absolute;rotation:-40;z-index:251681792" fillcolor="#eee" strokecolor="#eee">
          <v:textpath style="font-family:楷体" string="广西财经学院采购管理系统欧阳声晓2025110022"/>
        </v:shape>
      </w:pict>
    </w:r>
    <w:r>
      <w:pict>
        <v:shape id="_x0000_s2074" type="#_x0000_t136" style="width:116pt;height:12pt;margin-top:64pt;margin-left:354pt;position:absolute;rotation:-40;z-index:251682816" fillcolor="#eee" strokecolor="#eee">
          <v:textpath style="font-family:楷体" string="广西财经学院采购管理系统欧阳声晓2025110022"/>
        </v:shape>
      </w:pict>
    </w:r>
    <w:r>
      <w:pict>
        <v:shape id="_x0000_s2075" type="#_x0000_t136" style="width:116pt;height:12pt;margin-top:264pt;margin-left:354pt;position:absolute;rotation:-40;z-index:251683840" fillcolor="#eee" strokecolor="#eee">
          <v:textpath style="font-family:楷体" string="广西财经学院采购管理系统欧阳声晓2025110022"/>
        </v:shape>
      </w:pict>
    </w:r>
    <w:r>
      <w:pict>
        <v:shape id="_x0000_s2076" type="#_x0000_t136" style="width:116pt;height:12pt;margin-top:468pt;margin-left:354pt;position:absolute;rotation:-40;z-index:251684864" fillcolor="#eee" strokecolor="#eee">
          <v:textpath style="font-family:楷体" string="广西财经学院采购管理系统欧阳声晓2025110022"/>
        </v:shape>
      </w:pict>
    </w:r>
    <w:r>
      <w:pict>
        <v:shape id="_x0000_s2077" type="#_x0000_t136" style="width:116pt;height:12pt;margin-top:664pt;margin-left:354pt;position:absolute;rotation:-40;z-index:251685888" fillcolor="#eee" strokecolor="#eee">
          <v:textpath style="font-family:楷体" string="广西财经学院采购管理系统欧阳声晓2025110022"/>
        </v:shape>
      </w:pict>
    </w:r>
    <w:r>
      <w:pict>
        <v:shape id="_x0000_s2078" type="#_x0000_t136" style="width:116pt;height:12pt;margin-top:57pt;margin-left:544pt;position:absolute;rotation:-40;z-index:251686912" fillcolor="#eee" strokecolor="#eee">
          <v:textpath style="font-family:楷体" string="广西财经学院采购管理系统欧阳声晓2025110022"/>
        </v:shape>
      </w:pict>
    </w:r>
    <w:r>
      <w:pict>
        <v:shape id="_x0000_s2079" type="#_x0000_t136" style="width:116pt;height:12pt;margin-top:267pt;margin-left:544pt;position:absolute;rotation:-40;z-index:251687936" fillcolor="#eee" strokecolor="#eee">
          <v:textpath style="font-family:楷体" string="广西财经学院采购管理系统欧阳声晓2025110022"/>
        </v:shape>
      </w:pict>
    </w:r>
    <w:r>
      <w:pict>
        <v:shape id="_x0000_s2080" type="#_x0000_t136" style="width:116pt;height:12pt;margin-top:459pt;margin-left:544pt;position:absolute;rotation:-40;z-index:251688960" fillcolor="#eee" strokecolor="#eee">
          <v:textpath style="font-family:楷体" string="广西财经学院采购管理系统欧阳声晓2025110022"/>
        </v:shape>
      </w:pict>
    </w:r>
    <w:r>
      <w:pict>
        <v:shape id="_x0000_s2081" type="#_x0000_t136" style="width:116pt;height:12pt;margin-top:658pt;margin-left:544pt;position:absolute;rotation:-40;z-index:251689984" fillcolor="#eee" strokecolor="#eee">
          <v:textpath style="font-family:楷体" string="广西财经学院采购管理系统欧阳声晓2025110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1C46894"/>
    <w:multiLevelType w:val="multilevel"/>
    <w:tmpl w:val="91C46894"/>
    <w:lvl w:ilvl="0">
      <w:start w:val="1"/>
      <w:numFmt w:val="decimal"/>
      <w:pStyle w:val="2"/>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nsid w:val="E838C39D"/>
    <w:multiLevelType w:val="multilevel"/>
    <w:tmpl w:val="E838C39D"/>
    <w:lvl w:ilvl="0">
      <w:start w:val="1"/>
      <w:numFmt w:val="decimal"/>
      <w:lvlText w:val="%1."/>
      <w:lvlJc w:val="left"/>
      <w:pPr>
        <w:ind w:left="432" w:hanging="432"/>
      </w:pPr>
      <w:rPr>
        <w:rFonts w:hint="default"/>
      </w:rPr>
    </w:lvl>
    <w:lvl w:ilvl="1">
      <w:start w:val="1"/>
      <w:numFmt w:val="decimal"/>
      <w:pStyle w:val="Heading2"/>
      <w:lvlText w:val="%1.%2."/>
      <w:lvlJc w:val="left"/>
      <w:pPr>
        <w:ind w:left="575" w:hanging="575"/>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2">
    <w:nsid w:val="1438B04C"/>
    <w:multiLevelType w:val="multilevel"/>
    <w:tmpl w:val="1438B04C"/>
    <w:lvl w:ilvl="0">
      <w:start w:val="1"/>
      <w:numFmt w:val="decimal"/>
      <w:pStyle w:val="50"/>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3">
    <w:nsid w:val="31898CD8"/>
    <w:multiLevelType w:val="multilevel"/>
    <w:tmpl w:val="31898CD8"/>
    <w:lvl w:ilvl="0">
      <w:start w:val="1"/>
      <w:numFmt w:val="decimal"/>
      <w:pStyle w:val="1"/>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3"/>
  </w:num>
  <w:num w:numId="3">
    <w:abstractNumId w:val="2"/>
  </w:num>
  <w:num w:numId="4">
    <w:abstractNumId w:val="0"/>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40806673"/>
    <w:rsid w:val="00045142"/>
    <w:rsid w:val="00316042"/>
    <w:rsid w:val="00422D74"/>
    <w:rsid w:val="00564153"/>
    <w:rsid w:val="00685EB1"/>
    <w:rsid w:val="00691AA5"/>
    <w:rsid w:val="007939BD"/>
    <w:rsid w:val="00897F19"/>
    <w:rsid w:val="009470BF"/>
    <w:rsid w:val="00A024A0"/>
    <w:rsid w:val="00B3593F"/>
    <w:rsid w:val="00BE6FC5"/>
    <w:rsid w:val="00DF65B1"/>
    <w:rsid w:val="00E764F7"/>
    <w:rsid w:val="00ED63B8"/>
    <w:rsid w:val="00F20F0C"/>
    <w:rsid w:val="01E21EFA"/>
    <w:rsid w:val="020D007C"/>
    <w:rsid w:val="021146F3"/>
    <w:rsid w:val="02320500"/>
    <w:rsid w:val="02E2033F"/>
    <w:rsid w:val="02EA14B1"/>
    <w:rsid w:val="030C5741"/>
    <w:rsid w:val="03140A3C"/>
    <w:rsid w:val="031A6292"/>
    <w:rsid w:val="04325AC8"/>
    <w:rsid w:val="04791608"/>
    <w:rsid w:val="052E2402"/>
    <w:rsid w:val="053C7D0B"/>
    <w:rsid w:val="05511BF4"/>
    <w:rsid w:val="05AE4646"/>
    <w:rsid w:val="05B20F4D"/>
    <w:rsid w:val="063E6B96"/>
    <w:rsid w:val="066B229A"/>
    <w:rsid w:val="06A146F0"/>
    <w:rsid w:val="070B19A8"/>
    <w:rsid w:val="071C4297"/>
    <w:rsid w:val="07274011"/>
    <w:rsid w:val="07600F5C"/>
    <w:rsid w:val="07BC1010"/>
    <w:rsid w:val="07D25715"/>
    <w:rsid w:val="07E0111D"/>
    <w:rsid w:val="081A6FCA"/>
    <w:rsid w:val="082C0EAD"/>
    <w:rsid w:val="082C148A"/>
    <w:rsid w:val="082D1B94"/>
    <w:rsid w:val="08793D67"/>
    <w:rsid w:val="08910B5D"/>
    <w:rsid w:val="08D30BA6"/>
    <w:rsid w:val="08E659D0"/>
    <w:rsid w:val="08FC3791"/>
    <w:rsid w:val="08FF631A"/>
    <w:rsid w:val="090A6581"/>
    <w:rsid w:val="09292181"/>
    <w:rsid w:val="09511AB6"/>
    <w:rsid w:val="09732A37"/>
    <w:rsid w:val="09824FCB"/>
    <w:rsid w:val="09980258"/>
    <w:rsid w:val="09BF557B"/>
    <w:rsid w:val="09D31321"/>
    <w:rsid w:val="0A1B6CA6"/>
    <w:rsid w:val="0A866BA0"/>
    <w:rsid w:val="0AB545CE"/>
    <w:rsid w:val="0AC13D0A"/>
    <w:rsid w:val="0AEA611A"/>
    <w:rsid w:val="0B17416D"/>
    <w:rsid w:val="0B4F36B8"/>
    <w:rsid w:val="0BB545AA"/>
    <w:rsid w:val="0CBF0FEB"/>
    <w:rsid w:val="0CC710AB"/>
    <w:rsid w:val="0CD25AF8"/>
    <w:rsid w:val="0D072BFD"/>
    <w:rsid w:val="0D407008"/>
    <w:rsid w:val="0D552B6D"/>
    <w:rsid w:val="0D8B6F26"/>
    <w:rsid w:val="0DB43ACC"/>
    <w:rsid w:val="0DF05216"/>
    <w:rsid w:val="0E720FA7"/>
    <w:rsid w:val="0EDE5E1C"/>
    <w:rsid w:val="0EDF58D2"/>
    <w:rsid w:val="0EFC02DC"/>
    <w:rsid w:val="0F0F3F6F"/>
    <w:rsid w:val="0F563B28"/>
    <w:rsid w:val="0F6F4BD2"/>
    <w:rsid w:val="0FA26388"/>
    <w:rsid w:val="0FA318B0"/>
    <w:rsid w:val="0FC244C8"/>
    <w:rsid w:val="0FF21AF4"/>
    <w:rsid w:val="10582CC9"/>
    <w:rsid w:val="10592646"/>
    <w:rsid w:val="109D577A"/>
    <w:rsid w:val="110662D0"/>
    <w:rsid w:val="11527CED"/>
    <w:rsid w:val="11561326"/>
    <w:rsid w:val="11651C1F"/>
    <w:rsid w:val="116C2491"/>
    <w:rsid w:val="117777D5"/>
    <w:rsid w:val="12597320"/>
    <w:rsid w:val="12C87B95"/>
    <w:rsid w:val="12D96490"/>
    <w:rsid w:val="130D399B"/>
    <w:rsid w:val="135A1F83"/>
    <w:rsid w:val="138D4AE7"/>
    <w:rsid w:val="13D43AC2"/>
    <w:rsid w:val="141A62F4"/>
    <w:rsid w:val="14A90AE0"/>
    <w:rsid w:val="14B3682E"/>
    <w:rsid w:val="152E582E"/>
    <w:rsid w:val="15324017"/>
    <w:rsid w:val="161552E4"/>
    <w:rsid w:val="16160300"/>
    <w:rsid w:val="16236753"/>
    <w:rsid w:val="163F0ED1"/>
    <w:rsid w:val="16686721"/>
    <w:rsid w:val="169918C7"/>
    <w:rsid w:val="16A06855"/>
    <w:rsid w:val="16CA1FAE"/>
    <w:rsid w:val="16D76A65"/>
    <w:rsid w:val="16E4614B"/>
    <w:rsid w:val="170316F7"/>
    <w:rsid w:val="17077673"/>
    <w:rsid w:val="176A0554"/>
    <w:rsid w:val="17761695"/>
    <w:rsid w:val="17AA5FE0"/>
    <w:rsid w:val="181F234A"/>
    <w:rsid w:val="18A605CF"/>
    <w:rsid w:val="194E4D12"/>
    <w:rsid w:val="19755C70"/>
    <w:rsid w:val="197F3CDE"/>
    <w:rsid w:val="19BF0429"/>
    <w:rsid w:val="19E846FE"/>
    <w:rsid w:val="19F13A62"/>
    <w:rsid w:val="1A3A0B36"/>
    <w:rsid w:val="1A6317FB"/>
    <w:rsid w:val="1A640E05"/>
    <w:rsid w:val="1A7D788D"/>
    <w:rsid w:val="1AB13D5A"/>
    <w:rsid w:val="1AF26696"/>
    <w:rsid w:val="1AFB6A9C"/>
    <w:rsid w:val="1BA12479"/>
    <w:rsid w:val="1BA978A7"/>
    <w:rsid w:val="1BB225FC"/>
    <w:rsid w:val="1C081029"/>
    <w:rsid w:val="1C29734E"/>
    <w:rsid w:val="1C6A536F"/>
    <w:rsid w:val="1C92030B"/>
    <w:rsid w:val="1C972D18"/>
    <w:rsid w:val="1CA6156D"/>
    <w:rsid w:val="1CB533A4"/>
    <w:rsid w:val="1CD46176"/>
    <w:rsid w:val="1D7B7484"/>
    <w:rsid w:val="1DF11F03"/>
    <w:rsid w:val="1E4812B4"/>
    <w:rsid w:val="1E6C49AE"/>
    <w:rsid w:val="1EA416D1"/>
    <w:rsid w:val="1EA45854"/>
    <w:rsid w:val="1EBD46B0"/>
    <w:rsid w:val="1EC301EC"/>
    <w:rsid w:val="1EDD45E0"/>
    <w:rsid w:val="1EE35BDD"/>
    <w:rsid w:val="1F0307F1"/>
    <w:rsid w:val="1F5909DA"/>
    <w:rsid w:val="1F7F49F7"/>
    <w:rsid w:val="1FA32661"/>
    <w:rsid w:val="1FBD1F06"/>
    <w:rsid w:val="20055852"/>
    <w:rsid w:val="20956E93"/>
    <w:rsid w:val="20B0072C"/>
    <w:rsid w:val="20B0102E"/>
    <w:rsid w:val="214C3D19"/>
    <w:rsid w:val="218D49D8"/>
    <w:rsid w:val="21BA1A82"/>
    <w:rsid w:val="21EF7A33"/>
    <w:rsid w:val="220152DE"/>
    <w:rsid w:val="221B5018"/>
    <w:rsid w:val="223A4D8C"/>
    <w:rsid w:val="224156DA"/>
    <w:rsid w:val="22AA3E2A"/>
    <w:rsid w:val="232B211E"/>
    <w:rsid w:val="232F317B"/>
    <w:rsid w:val="23682503"/>
    <w:rsid w:val="237A2719"/>
    <w:rsid w:val="2397268D"/>
    <w:rsid w:val="240461D7"/>
    <w:rsid w:val="24066BDB"/>
    <w:rsid w:val="24330F7F"/>
    <w:rsid w:val="243F74B6"/>
    <w:rsid w:val="24547947"/>
    <w:rsid w:val="249A553F"/>
    <w:rsid w:val="24D42847"/>
    <w:rsid w:val="24EC7128"/>
    <w:rsid w:val="25027262"/>
    <w:rsid w:val="25092850"/>
    <w:rsid w:val="250B1734"/>
    <w:rsid w:val="251C3046"/>
    <w:rsid w:val="257A50A8"/>
    <w:rsid w:val="259F11EF"/>
    <w:rsid w:val="26146956"/>
    <w:rsid w:val="261A0915"/>
    <w:rsid w:val="265A252E"/>
    <w:rsid w:val="26671A94"/>
    <w:rsid w:val="26C0321D"/>
    <w:rsid w:val="270055BE"/>
    <w:rsid w:val="275C36DA"/>
    <w:rsid w:val="27641593"/>
    <w:rsid w:val="27B15C50"/>
    <w:rsid w:val="283D6BE2"/>
    <w:rsid w:val="28C2630C"/>
    <w:rsid w:val="28D75480"/>
    <w:rsid w:val="2952255D"/>
    <w:rsid w:val="2968646C"/>
    <w:rsid w:val="29806C85"/>
    <w:rsid w:val="298B4335"/>
    <w:rsid w:val="29FD7E09"/>
    <w:rsid w:val="2A403A59"/>
    <w:rsid w:val="2A415BDB"/>
    <w:rsid w:val="2A7B173B"/>
    <w:rsid w:val="2A9747C7"/>
    <w:rsid w:val="2A9B09CB"/>
    <w:rsid w:val="2AB01C91"/>
    <w:rsid w:val="2AC90C83"/>
    <w:rsid w:val="2B3C554D"/>
    <w:rsid w:val="2B3F7E19"/>
    <w:rsid w:val="2B634403"/>
    <w:rsid w:val="2B8F1283"/>
    <w:rsid w:val="2B960A8A"/>
    <w:rsid w:val="2B9E1EE2"/>
    <w:rsid w:val="2BDE4304"/>
    <w:rsid w:val="2C1A48B7"/>
    <w:rsid w:val="2CD63D6C"/>
    <w:rsid w:val="2CE90502"/>
    <w:rsid w:val="2CED7B60"/>
    <w:rsid w:val="2CFC4CBE"/>
    <w:rsid w:val="2D86363D"/>
    <w:rsid w:val="2DC17CB3"/>
    <w:rsid w:val="2DDD6BFF"/>
    <w:rsid w:val="2DE101E6"/>
    <w:rsid w:val="2E034EC8"/>
    <w:rsid w:val="2E4B4686"/>
    <w:rsid w:val="2E8F6BCA"/>
    <w:rsid w:val="2EB96092"/>
    <w:rsid w:val="2EDF2E74"/>
    <w:rsid w:val="2EE70552"/>
    <w:rsid w:val="2F262691"/>
    <w:rsid w:val="2F4D44C3"/>
    <w:rsid w:val="2F597917"/>
    <w:rsid w:val="2FCD4FE0"/>
    <w:rsid w:val="2FD74A58"/>
    <w:rsid w:val="2FDB14E0"/>
    <w:rsid w:val="30AA2FA2"/>
    <w:rsid w:val="30E02C72"/>
    <w:rsid w:val="30F41E94"/>
    <w:rsid w:val="31271F3F"/>
    <w:rsid w:val="315F0615"/>
    <w:rsid w:val="31846707"/>
    <w:rsid w:val="31FC036A"/>
    <w:rsid w:val="323E39E4"/>
    <w:rsid w:val="32D16A24"/>
    <w:rsid w:val="331F4E6C"/>
    <w:rsid w:val="33282346"/>
    <w:rsid w:val="334210BC"/>
    <w:rsid w:val="338200D6"/>
    <w:rsid w:val="33954129"/>
    <w:rsid w:val="33D633D7"/>
    <w:rsid w:val="33E3179F"/>
    <w:rsid w:val="33EC054B"/>
    <w:rsid w:val="34123C9E"/>
    <w:rsid w:val="34213C80"/>
    <w:rsid w:val="34570776"/>
    <w:rsid w:val="34B72C28"/>
    <w:rsid w:val="34C74AE9"/>
    <w:rsid w:val="35585F53"/>
    <w:rsid w:val="35781146"/>
    <w:rsid w:val="360C2D8A"/>
    <w:rsid w:val="36152557"/>
    <w:rsid w:val="363B2715"/>
    <w:rsid w:val="3652421A"/>
    <w:rsid w:val="365D3E77"/>
    <w:rsid w:val="36963860"/>
    <w:rsid w:val="36BB3E51"/>
    <w:rsid w:val="36E06478"/>
    <w:rsid w:val="37131BE8"/>
    <w:rsid w:val="375B6C9C"/>
    <w:rsid w:val="37783C57"/>
    <w:rsid w:val="383074D0"/>
    <w:rsid w:val="38795073"/>
    <w:rsid w:val="387D67B2"/>
    <w:rsid w:val="38E85C8E"/>
    <w:rsid w:val="38F27A29"/>
    <w:rsid w:val="390F63F6"/>
    <w:rsid w:val="394626A6"/>
    <w:rsid w:val="39486E79"/>
    <w:rsid w:val="397625D7"/>
    <w:rsid w:val="39816ACA"/>
    <w:rsid w:val="39A83E85"/>
    <w:rsid w:val="39AE24ED"/>
    <w:rsid w:val="39C43E7D"/>
    <w:rsid w:val="39C82026"/>
    <w:rsid w:val="39EA77C8"/>
    <w:rsid w:val="3A0152EF"/>
    <w:rsid w:val="3A107E7B"/>
    <w:rsid w:val="3A415FF1"/>
    <w:rsid w:val="3A731FFD"/>
    <w:rsid w:val="3A787E6A"/>
    <w:rsid w:val="3A8F6432"/>
    <w:rsid w:val="3ADB0625"/>
    <w:rsid w:val="3C0D0123"/>
    <w:rsid w:val="3CAA39DB"/>
    <w:rsid w:val="3CB578B0"/>
    <w:rsid w:val="3CD62364"/>
    <w:rsid w:val="3CDD7F37"/>
    <w:rsid w:val="3D0F16A4"/>
    <w:rsid w:val="3D491EA3"/>
    <w:rsid w:val="3D6D424A"/>
    <w:rsid w:val="3D910C89"/>
    <w:rsid w:val="3DE67131"/>
    <w:rsid w:val="3DF34B54"/>
    <w:rsid w:val="3DF85F18"/>
    <w:rsid w:val="3E063608"/>
    <w:rsid w:val="3E0F11FF"/>
    <w:rsid w:val="3E41583A"/>
    <w:rsid w:val="3F3102D3"/>
    <w:rsid w:val="3F8144A5"/>
    <w:rsid w:val="40193BD3"/>
    <w:rsid w:val="40371A74"/>
    <w:rsid w:val="403F3AEF"/>
    <w:rsid w:val="40435A04"/>
    <w:rsid w:val="407859A5"/>
    <w:rsid w:val="40806673"/>
    <w:rsid w:val="40BA085B"/>
    <w:rsid w:val="412A2C43"/>
    <w:rsid w:val="412C0444"/>
    <w:rsid w:val="416121E3"/>
    <w:rsid w:val="416555D5"/>
    <w:rsid w:val="41AD56FE"/>
    <w:rsid w:val="41AF26CB"/>
    <w:rsid w:val="42204EB5"/>
    <w:rsid w:val="42987213"/>
    <w:rsid w:val="42F86069"/>
    <w:rsid w:val="431F7C29"/>
    <w:rsid w:val="439D0E82"/>
    <w:rsid w:val="43AE5D74"/>
    <w:rsid w:val="43B268CA"/>
    <w:rsid w:val="43EA5BF7"/>
    <w:rsid w:val="441630FF"/>
    <w:rsid w:val="442C7F12"/>
    <w:rsid w:val="442D24BF"/>
    <w:rsid w:val="442F72D3"/>
    <w:rsid w:val="44604FA0"/>
    <w:rsid w:val="447677B1"/>
    <w:rsid w:val="44BA536A"/>
    <w:rsid w:val="44BC0F41"/>
    <w:rsid w:val="44DF7B96"/>
    <w:rsid w:val="44E801EF"/>
    <w:rsid w:val="44EA4792"/>
    <w:rsid w:val="45062140"/>
    <w:rsid w:val="453D141A"/>
    <w:rsid w:val="45E70D41"/>
    <w:rsid w:val="45FA564C"/>
    <w:rsid w:val="45FD1FEB"/>
    <w:rsid w:val="46486584"/>
    <w:rsid w:val="46B423A0"/>
    <w:rsid w:val="46BF47A0"/>
    <w:rsid w:val="46D80815"/>
    <w:rsid w:val="46D90DA7"/>
    <w:rsid w:val="473A148A"/>
    <w:rsid w:val="478268BF"/>
    <w:rsid w:val="47A005AB"/>
    <w:rsid w:val="47A14DD1"/>
    <w:rsid w:val="47F876DC"/>
    <w:rsid w:val="480601C7"/>
    <w:rsid w:val="485267D1"/>
    <w:rsid w:val="48576044"/>
    <w:rsid w:val="4867639A"/>
    <w:rsid w:val="489B00FD"/>
    <w:rsid w:val="48C20A9B"/>
    <w:rsid w:val="493B4824"/>
    <w:rsid w:val="495D5924"/>
    <w:rsid w:val="49D5762B"/>
    <w:rsid w:val="49ED7F9F"/>
    <w:rsid w:val="4A162699"/>
    <w:rsid w:val="4A2979B0"/>
    <w:rsid w:val="4A557BE3"/>
    <w:rsid w:val="4A65743E"/>
    <w:rsid w:val="4A8E3221"/>
    <w:rsid w:val="4AE87640"/>
    <w:rsid w:val="4AF3526D"/>
    <w:rsid w:val="4AF446A3"/>
    <w:rsid w:val="4BA5697B"/>
    <w:rsid w:val="4BBD6A77"/>
    <w:rsid w:val="4BD251D0"/>
    <w:rsid w:val="4C11513F"/>
    <w:rsid w:val="4C693325"/>
    <w:rsid w:val="4C862992"/>
    <w:rsid w:val="4D700CBE"/>
    <w:rsid w:val="4D9A6E74"/>
    <w:rsid w:val="4D9E78F3"/>
    <w:rsid w:val="4DA772D3"/>
    <w:rsid w:val="4E18356A"/>
    <w:rsid w:val="4E261855"/>
    <w:rsid w:val="4E525052"/>
    <w:rsid w:val="4EA408F5"/>
    <w:rsid w:val="4EF2455E"/>
    <w:rsid w:val="4F6F4565"/>
    <w:rsid w:val="4F755306"/>
    <w:rsid w:val="4F7F113A"/>
    <w:rsid w:val="4FA0608F"/>
    <w:rsid w:val="4FA16B68"/>
    <w:rsid w:val="4FAD17E3"/>
    <w:rsid w:val="4FF4529B"/>
    <w:rsid w:val="50193795"/>
    <w:rsid w:val="503F5C36"/>
    <w:rsid w:val="50C8299F"/>
    <w:rsid w:val="50E13F34"/>
    <w:rsid w:val="50EB4502"/>
    <w:rsid w:val="513625CD"/>
    <w:rsid w:val="51E55126"/>
    <w:rsid w:val="5219373E"/>
    <w:rsid w:val="522C0114"/>
    <w:rsid w:val="52314C04"/>
    <w:rsid w:val="523830D8"/>
    <w:rsid w:val="525A6B09"/>
    <w:rsid w:val="525F3FF5"/>
    <w:rsid w:val="53160FA9"/>
    <w:rsid w:val="531F0C0F"/>
    <w:rsid w:val="532D4054"/>
    <w:rsid w:val="53826CEA"/>
    <w:rsid w:val="538B4884"/>
    <w:rsid w:val="53B456E3"/>
    <w:rsid w:val="53BD38B7"/>
    <w:rsid w:val="53C16459"/>
    <w:rsid w:val="53CC65AB"/>
    <w:rsid w:val="53DB329E"/>
    <w:rsid w:val="53E2568A"/>
    <w:rsid w:val="54091C4C"/>
    <w:rsid w:val="542523E1"/>
    <w:rsid w:val="54871A27"/>
    <w:rsid w:val="54E56CAF"/>
    <w:rsid w:val="55134FD6"/>
    <w:rsid w:val="55472EE2"/>
    <w:rsid w:val="55933CB3"/>
    <w:rsid w:val="55A4276E"/>
    <w:rsid w:val="55B52EE5"/>
    <w:rsid w:val="55C02C57"/>
    <w:rsid w:val="55FA3667"/>
    <w:rsid w:val="563A5CB2"/>
    <w:rsid w:val="565E4A50"/>
    <w:rsid w:val="5661728E"/>
    <w:rsid w:val="568D25B1"/>
    <w:rsid w:val="569C41E2"/>
    <w:rsid w:val="56AD4B11"/>
    <w:rsid w:val="56B1614E"/>
    <w:rsid w:val="56C606D4"/>
    <w:rsid w:val="56D45E7D"/>
    <w:rsid w:val="56DA75C1"/>
    <w:rsid w:val="57287B8A"/>
    <w:rsid w:val="574B5858"/>
    <w:rsid w:val="58972C17"/>
    <w:rsid w:val="589B00F6"/>
    <w:rsid w:val="59101F9D"/>
    <w:rsid w:val="59283A16"/>
    <w:rsid w:val="59570B0F"/>
    <w:rsid w:val="59FC592D"/>
    <w:rsid w:val="5A1A0984"/>
    <w:rsid w:val="5A40791F"/>
    <w:rsid w:val="5A4B385C"/>
    <w:rsid w:val="5A4F104B"/>
    <w:rsid w:val="5A9E5570"/>
    <w:rsid w:val="5AC26902"/>
    <w:rsid w:val="5AC7349B"/>
    <w:rsid w:val="5B6836FC"/>
    <w:rsid w:val="5B744D23"/>
    <w:rsid w:val="5B7C358F"/>
    <w:rsid w:val="5BC42F38"/>
    <w:rsid w:val="5C0573F5"/>
    <w:rsid w:val="5C080652"/>
    <w:rsid w:val="5C476399"/>
    <w:rsid w:val="5C5A6B88"/>
    <w:rsid w:val="5C97385C"/>
    <w:rsid w:val="5CCB1593"/>
    <w:rsid w:val="5CCC3CFF"/>
    <w:rsid w:val="5CCE484D"/>
    <w:rsid w:val="5CE837F7"/>
    <w:rsid w:val="5D444108"/>
    <w:rsid w:val="5D9179C3"/>
    <w:rsid w:val="5DF869E4"/>
    <w:rsid w:val="5E52529B"/>
    <w:rsid w:val="5E8618EC"/>
    <w:rsid w:val="5EA32ECD"/>
    <w:rsid w:val="5F492441"/>
    <w:rsid w:val="5F932CE6"/>
    <w:rsid w:val="5FC72A8D"/>
    <w:rsid w:val="603A6B70"/>
    <w:rsid w:val="603B2A36"/>
    <w:rsid w:val="60586C55"/>
    <w:rsid w:val="60FD1438"/>
    <w:rsid w:val="61037597"/>
    <w:rsid w:val="610B3763"/>
    <w:rsid w:val="6135670A"/>
    <w:rsid w:val="614C5CDF"/>
    <w:rsid w:val="619528A3"/>
    <w:rsid w:val="61FB60CD"/>
    <w:rsid w:val="624256AE"/>
    <w:rsid w:val="62A10B49"/>
    <w:rsid w:val="62A3196B"/>
    <w:rsid w:val="63057D52"/>
    <w:rsid w:val="630C4E59"/>
    <w:rsid w:val="63AA2835"/>
    <w:rsid w:val="63AD0185"/>
    <w:rsid w:val="63AF5E6F"/>
    <w:rsid w:val="651732F5"/>
    <w:rsid w:val="6530180C"/>
    <w:rsid w:val="656750DD"/>
    <w:rsid w:val="65F93F17"/>
    <w:rsid w:val="66A330BF"/>
    <w:rsid w:val="66B539C4"/>
    <w:rsid w:val="66CF6AF5"/>
    <w:rsid w:val="67666B8F"/>
    <w:rsid w:val="67B85C25"/>
    <w:rsid w:val="67CF2B50"/>
    <w:rsid w:val="67D50927"/>
    <w:rsid w:val="67D808FF"/>
    <w:rsid w:val="68043B7A"/>
    <w:rsid w:val="680E60E1"/>
    <w:rsid w:val="6812677A"/>
    <w:rsid w:val="68A97A1C"/>
    <w:rsid w:val="69491E5A"/>
    <w:rsid w:val="69684D9A"/>
    <w:rsid w:val="69F2374E"/>
    <w:rsid w:val="69F2666F"/>
    <w:rsid w:val="6A107723"/>
    <w:rsid w:val="6A23020C"/>
    <w:rsid w:val="6A7E1F62"/>
    <w:rsid w:val="6A86605F"/>
    <w:rsid w:val="6A8C5FBE"/>
    <w:rsid w:val="6A974B2D"/>
    <w:rsid w:val="6A977FEF"/>
    <w:rsid w:val="6AE82036"/>
    <w:rsid w:val="6B4942AF"/>
    <w:rsid w:val="6BC11CB2"/>
    <w:rsid w:val="6C1315CB"/>
    <w:rsid w:val="6C180827"/>
    <w:rsid w:val="6C2F7FCF"/>
    <w:rsid w:val="6C620AE3"/>
    <w:rsid w:val="6C6C5A6F"/>
    <w:rsid w:val="6CB322BF"/>
    <w:rsid w:val="6D2C0185"/>
    <w:rsid w:val="6D5C31DE"/>
    <w:rsid w:val="6D610970"/>
    <w:rsid w:val="6D6C40E2"/>
    <w:rsid w:val="6D743987"/>
    <w:rsid w:val="6D8A46CC"/>
    <w:rsid w:val="6D9B16F4"/>
    <w:rsid w:val="6DA33856"/>
    <w:rsid w:val="6DB4632D"/>
    <w:rsid w:val="6DF76CC4"/>
    <w:rsid w:val="6E0120D9"/>
    <w:rsid w:val="6E0252EB"/>
    <w:rsid w:val="6E1B5513"/>
    <w:rsid w:val="6E1F3283"/>
    <w:rsid w:val="6F032A82"/>
    <w:rsid w:val="6F332872"/>
    <w:rsid w:val="6FD351BE"/>
    <w:rsid w:val="70022C96"/>
    <w:rsid w:val="706E3ABE"/>
    <w:rsid w:val="70745E61"/>
    <w:rsid w:val="708E3CCA"/>
    <w:rsid w:val="7094400F"/>
    <w:rsid w:val="70A4455C"/>
    <w:rsid w:val="70BA5CAE"/>
    <w:rsid w:val="70D33DAB"/>
    <w:rsid w:val="70E52D98"/>
    <w:rsid w:val="71337B56"/>
    <w:rsid w:val="71380957"/>
    <w:rsid w:val="71503577"/>
    <w:rsid w:val="71675786"/>
    <w:rsid w:val="71684BB2"/>
    <w:rsid w:val="71B177DC"/>
    <w:rsid w:val="71D92C6C"/>
    <w:rsid w:val="7247477F"/>
    <w:rsid w:val="72C7572D"/>
    <w:rsid w:val="72F3388B"/>
    <w:rsid w:val="731E6A10"/>
    <w:rsid w:val="738976FA"/>
    <w:rsid w:val="73B25047"/>
    <w:rsid w:val="73D20584"/>
    <w:rsid w:val="73E31FA8"/>
    <w:rsid w:val="74183B5F"/>
    <w:rsid w:val="74364504"/>
    <w:rsid w:val="744E5630"/>
    <w:rsid w:val="746763C4"/>
    <w:rsid w:val="74D725E8"/>
    <w:rsid w:val="74F86BF7"/>
    <w:rsid w:val="750E7340"/>
    <w:rsid w:val="753216CF"/>
    <w:rsid w:val="75414F26"/>
    <w:rsid w:val="759229FC"/>
    <w:rsid w:val="75AC7682"/>
    <w:rsid w:val="75B05862"/>
    <w:rsid w:val="75BA0143"/>
    <w:rsid w:val="75C44689"/>
    <w:rsid w:val="75F6508D"/>
    <w:rsid w:val="76005896"/>
    <w:rsid w:val="762E1BFC"/>
    <w:rsid w:val="76386029"/>
    <w:rsid w:val="765267AB"/>
    <w:rsid w:val="767C6216"/>
    <w:rsid w:val="768A6489"/>
    <w:rsid w:val="76A67DCC"/>
    <w:rsid w:val="76AB366C"/>
    <w:rsid w:val="76AF3903"/>
    <w:rsid w:val="777560AA"/>
    <w:rsid w:val="77A816A2"/>
    <w:rsid w:val="784E6DF3"/>
    <w:rsid w:val="784F0FB7"/>
    <w:rsid w:val="786A1E6C"/>
    <w:rsid w:val="78B111B8"/>
    <w:rsid w:val="78D75B36"/>
    <w:rsid w:val="78F717F8"/>
    <w:rsid w:val="79362EA0"/>
    <w:rsid w:val="794F0A18"/>
    <w:rsid w:val="795E5444"/>
    <w:rsid w:val="797E0E86"/>
    <w:rsid w:val="79C60018"/>
    <w:rsid w:val="79DF1B11"/>
    <w:rsid w:val="79F109E5"/>
    <w:rsid w:val="79FA3795"/>
    <w:rsid w:val="7A060850"/>
    <w:rsid w:val="7A077362"/>
    <w:rsid w:val="7A2E28DE"/>
    <w:rsid w:val="7A2E576D"/>
    <w:rsid w:val="7A462A03"/>
    <w:rsid w:val="7AAC6A85"/>
    <w:rsid w:val="7ABB49F5"/>
    <w:rsid w:val="7AFD4542"/>
    <w:rsid w:val="7B0A1FCF"/>
    <w:rsid w:val="7B440FC7"/>
    <w:rsid w:val="7B4F58E7"/>
    <w:rsid w:val="7B537186"/>
    <w:rsid w:val="7B5C3B84"/>
    <w:rsid w:val="7BF22C51"/>
    <w:rsid w:val="7C01502A"/>
    <w:rsid w:val="7C1F7BFD"/>
    <w:rsid w:val="7C20089D"/>
    <w:rsid w:val="7C613B24"/>
    <w:rsid w:val="7C641093"/>
    <w:rsid w:val="7C8F7C0A"/>
    <w:rsid w:val="7C9C658A"/>
    <w:rsid w:val="7CCB2012"/>
    <w:rsid w:val="7CE025EB"/>
    <w:rsid w:val="7D1D4A80"/>
    <w:rsid w:val="7D1E3461"/>
    <w:rsid w:val="7D1E37CD"/>
    <w:rsid w:val="7D436400"/>
    <w:rsid w:val="7D682346"/>
    <w:rsid w:val="7D935B5C"/>
    <w:rsid w:val="7DA0734E"/>
    <w:rsid w:val="7DFC5FF2"/>
    <w:rsid w:val="7E357016"/>
    <w:rsid w:val="7E61620A"/>
    <w:rsid w:val="7E7A1CB7"/>
    <w:rsid w:val="7F7F5D82"/>
    <w:rsid w:val="7FA27EB3"/>
    <w:rsid w:val="7FDA1D45"/>
    <w:rsid w:val="7FF17C71"/>
    <w:rsid w:val="7FFA3B1F"/>
  </w:rsids>
  <w:docVars>
    <w:docVar w:name="commondata" w:val="eyJoZGlkIjoiMTU2ZWJjMWExZTBiMWUxZGY3MDc5OGE2YWNmNTBhZD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2553982-5347-448A-91EC-E1F4C9DA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unhideWhenUsed="1" w:qFormat="1"/>
    <w:lsdException w:name="Body Text First Indent" w:qFormat="1"/>
    <w:lsdException w:name="Body Text First Indent 2" w:qFormat="1"/>
    <w:lsdException w:name="Body Tex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FirstIndent2"/>
    <w:qFormat/>
    <w:pPr>
      <w:widowControl w:val="0"/>
      <w:jc w:val="both"/>
    </w:pPr>
    <w:rPr>
      <w:rFonts w:ascii="Times New Roman" w:eastAsia="宋体" w:hAnsi="Times New Roman" w:cs="Times New Roman"/>
      <w:kern w:val="2"/>
      <w:sz w:val="28"/>
      <w:szCs w:val="24"/>
    </w:rPr>
  </w:style>
  <w:style w:type="paragraph" w:styleId="Heading1">
    <w:name w:val="heading 1"/>
    <w:basedOn w:val="Normal"/>
    <w:next w:val="Normal"/>
    <w:link w:val="10"/>
    <w:uiPriority w:val="9"/>
    <w:qFormat/>
    <w:pPr>
      <w:keepNext/>
      <w:keepLines/>
      <w:spacing w:line="360" w:lineRule="auto"/>
      <w:outlineLvl w:val="0"/>
    </w:pPr>
    <w:rPr>
      <w:rFonts w:ascii="Calibri" w:hAnsi="Calibri"/>
      <w:b/>
      <w:bCs/>
      <w:kern w:val="44"/>
      <w:sz w:val="36"/>
      <w:szCs w:val="44"/>
    </w:rPr>
  </w:style>
  <w:style w:type="paragraph" w:styleId="Heading2">
    <w:name w:val="heading 2"/>
    <w:basedOn w:val="Normal"/>
    <w:next w:val="Normal"/>
    <w:link w:val="20"/>
    <w:semiHidden/>
    <w:unhideWhenUsed/>
    <w:qFormat/>
    <w:pPr>
      <w:numPr>
        <w:ilvl w:val="1"/>
        <w:numId w:val="1"/>
      </w:numPr>
      <w:spacing w:before="100" w:beforeLines="100" w:after="100" w:afterLines="100" w:line="360" w:lineRule="auto"/>
      <w:jc w:val="left"/>
      <w:outlineLvl w:val="1"/>
    </w:pPr>
    <w:rPr>
      <w:rFonts w:ascii="宋体" w:hAnsi="宋体" w:hint="eastAsia"/>
      <w:b/>
      <w:bCs/>
      <w:kern w:val="0"/>
      <w:sz w:val="36"/>
      <w:szCs w:val="36"/>
    </w:rPr>
  </w:style>
  <w:style w:type="paragraph" w:styleId="Heading3">
    <w:name w:val="heading 3"/>
    <w:basedOn w:val="Normal"/>
    <w:next w:val="Normal"/>
    <w:link w:val="3"/>
    <w:semiHidden/>
    <w:unhideWhenUsed/>
    <w:qFormat/>
    <w:pPr>
      <w:keepNext/>
      <w:keepLines/>
      <w:numPr>
        <w:ilvl w:val="2"/>
        <w:numId w:val="1"/>
      </w:numPr>
      <w:tabs>
        <w:tab w:val="left" w:pos="420"/>
        <w:tab w:val="left" w:pos="567"/>
      </w:tabs>
      <w:spacing w:before="260" w:after="260" w:line="416" w:lineRule="auto"/>
      <w:jc w:val="left"/>
      <w:outlineLvl w:val="2"/>
    </w:pPr>
    <w:rPr>
      <w:b/>
      <w:sz w:val="32"/>
      <w:szCs w:val="32"/>
    </w:rPr>
  </w:style>
  <w:style w:type="paragraph" w:styleId="Heading4">
    <w:name w:val="heading 4"/>
    <w:basedOn w:val="Normal"/>
    <w:next w:val="Normal"/>
    <w:link w:val="4"/>
    <w:semiHidden/>
    <w:unhideWhenUsed/>
    <w:qFormat/>
    <w:pPr>
      <w:keepNext/>
      <w:keepLines/>
      <w:numPr>
        <w:ilvl w:val="3"/>
        <w:numId w:val="1"/>
      </w:numPr>
      <w:tabs>
        <w:tab w:val="left" w:pos="0"/>
      </w:tabs>
      <w:spacing w:before="280" w:after="290"/>
      <w:outlineLvl w:val="3"/>
    </w:pPr>
    <w:rPr>
      <w:rFonts w:ascii="宋体" w:hAnsi="宋体" w:cs="Arial"/>
      <w:b/>
      <w:szCs w:val="28"/>
    </w:rPr>
  </w:style>
  <w:style w:type="paragraph" w:styleId="Heading5">
    <w:name w:val="heading 5"/>
    <w:basedOn w:val="Normal"/>
    <w:next w:val="Normal"/>
    <w:link w:val="5"/>
    <w:semiHidden/>
    <w:unhideWhenUsed/>
    <w:qFormat/>
    <w:pPr>
      <w:keepNext/>
      <w:keepLines/>
      <w:numPr>
        <w:ilvl w:val="4"/>
        <w:numId w:val="1"/>
      </w:numPr>
      <w:tabs>
        <w:tab w:val="left" w:pos="0"/>
      </w:tabs>
      <w:spacing w:line="360" w:lineRule="auto"/>
      <w:jc w:val="left"/>
      <w:outlineLvl w:val="4"/>
    </w:pPr>
    <w:rPr>
      <w:rFonts w:ascii="Arial" w:eastAsia="黑体" w:hAnsi="Arial" w:cstheme="minorBidi"/>
      <w:b/>
      <w:sz w:val="24"/>
    </w:rPr>
  </w:style>
  <w:style w:type="paragraph" w:styleId="Heading6">
    <w:name w:val="heading 6"/>
    <w:basedOn w:val="Normal"/>
    <w:next w:val="Normal"/>
    <w:link w:val="6"/>
    <w:semiHidden/>
    <w:unhideWhenUsed/>
    <w:qFormat/>
    <w:pPr>
      <w:keepNext/>
      <w:keepLines/>
      <w:numPr>
        <w:ilvl w:val="5"/>
        <w:numId w:val="1"/>
      </w:numPr>
      <w:spacing w:before="240" w:after="64" w:line="317" w:lineRule="auto"/>
      <w:jc w:val="left"/>
      <w:outlineLvl w:val="5"/>
    </w:pPr>
    <w:rPr>
      <w:rFonts w:ascii="Arial" w:eastAsia="黑体" w:hAnsi="Arial"/>
    </w:rPr>
  </w:style>
  <w:style w:type="paragraph" w:styleId="Heading7">
    <w:name w:val="heading 7"/>
    <w:basedOn w:val="Normal"/>
    <w:next w:val="Normal"/>
    <w:semiHidden/>
    <w:unhideWhenUsed/>
    <w:qFormat/>
    <w:pPr>
      <w:keepNext/>
      <w:keepLines/>
      <w:numPr>
        <w:ilvl w:val="6"/>
        <w:numId w:val="1"/>
      </w:numPr>
      <w:tabs>
        <w:tab w:val="left" w:pos="0"/>
        <w:tab w:val="left" w:pos="420"/>
      </w:tabs>
      <w:spacing w:before="50" w:beforeLines="50" w:after="50" w:afterLines="50"/>
      <w:outlineLvl w:val="6"/>
    </w:pPr>
    <w:rPr>
      <w:rFonts w:asciiTheme="minorHAnsi" w:hAnsiTheme="minorHAnsi"/>
    </w:rPr>
  </w:style>
  <w:style w:type="paragraph" w:styleId="Heading8">
    <w:name w:val="heading 8"/>
    <w:basedOn w:val="Normal"/>
    <w:next w:val="Normal"/>
    <w:semiHidden/>
    <w:unhideWhenUsed/>
    <w:qFormat/>
    <w:pPr>
      <w:keepNext/>
      <w:keepLines/>
      <w:numPr>
        <w:ilvl w:val="7"/>
        <w:numId w:val="1"/>
      </w:numPr>
      <w:spacing w:before="240" w:after="64" w:line="317" w:lineRule="auto"/>
      <w:outlineLvl w:val="7"/>
    </w:pPr>
    <w:rPr>
      <w:rFonts w:ascii="Arial" w:hAnsi="Arial"/>
    </w:rPr>
  </w:style>
  <w:style w:type="paragraph" w:styleId="Heading9">
    <w:name w:val="heading 9"/>
    <w:basedOn w:val="Normal"/>
    <w:next w:val="Normal"/>
    <w:semiHidden/>
    <w:unhideWhenUsed/>
    <w:qFormat/>
    <w:pPr>
      <w:keepNext/>
      <w:keepLines/>
      <w:numPr>
        <w:ilvl w:val="8"/>
        <w:numId w:val="1"/>
      </w:numPr>
      <w:spacing w:before="240" w:after="64" w:line="317" w:lineRule="auto"/>
      <w:outlineLvl w:val="8"/>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next w:val="Normal"/>
    <w:qFormat/>
    <w:pPr>
      <w:spacing w:line="360" w:lineRule="auto"/>
      <w:ind w:left="0" w:leftChars="0"/>
    </w:pPr>
    <w:rPr>
      <w:rFonts w:hint="eastAsia"/>
      <w:szCs w:val="22"/>
    </w:rPr>
  </w:style>
  <w:style w:type="paragraph" w:styleId="BodyTextIndent">
    <w:name w:val="Body Text Indent"/>
    <w:basedOn w:val="Normal"/>
    <w:qFormat/>
    <w:pPr>
      <w:spacing w:after="120"/>
      <w:ind w:left="420" w:leftChars="200"/>
    </w:pPr>
  </w:style>
  <w:style w:type="paragraph" w:styleId="NormalIndent">
    <w:name w:val="Normal Indent"/>
    <w:basedOn w:val="Normal"/>
    <w:qFormat/>
    <w:pPr>
      <w:spacing w:line="360" w:lineRule="auto"/>
      <w:ind w:firstLine="420" w:firstLineChars="200"/>
    </w:pPr>
    <w:rPr>
      <w:rFonts w:eastAsia="黑体"/>
    </w:rPr>
  </w:style>
  <w:style w:type="paragraph" w:styleId="CommentText">
    <w:name w:val="annotation text"/>
    <w:qFormat/>
    <w:pPr>
      <w:widowControl w:val="0"/>
      <w:spacing w:line="360" w:lineRule="auto"/>
    </w:pPr>
    <w:rPr>
      <w:rFonts w:ascii="Times New Roman" w:eastAsia="宋体" w:hAnsi="Times New Roman" w:cs="Times New Roman"/>
      <w:kern w:val="2"/>
      <w:sz w:val="28"/>
      <w:szCs w:val="24"/>
    </w:rPr>
  </w:style>
  <w:style w:type="paragraph" w:styleId="BodyText">
    <w:name w:val="Body Text"/>
    <w:basedOn w:val="Normal"/>
    <w:next w:val="Normal"/>
    <w:link w:val="a"/>
    <w:qFormat/>
    <w:pPr>
      <w:spacing w:after="120"/>
    </w:pPr>
  </w:style>
  <w:style w:type="paragraph" w:styleId="BlockText">
    <w:name w:val="Block Text"/>
    <w:basedOn w:val="Normal"/>
    <w:qFormat/>
    <w:pPr>
      <w:spacing w:after="120"/>
      <w:ind w:left="1440" w:right="700" w:leftChars="700" w:rightChars="700"/>
    </w:pPr>
  </w:style>
  <w:style w:type="paragraph" w:styleId="TOC5">
    <w:name w:val="toc 5"/>
    <w:basedOn w:val="Normal"/>
    <w:next w:val="Normal"/>
    <w:qFormat/>
    <w:pPr>
      <w:ind w:left="1680" w:leftChars="800"/>
    </w:pPr>
    <w:rPr>
      <w:rFonts w:asciiTheme="minorHAnsi" w:eastAsiaTheme="minorEastAsia" w:hAnsiTheme="minorHAnsi" w:cstheme="minorBidi"/>
      <w:sz w:val="24"/>
    </w:rPr>
  </w:style>
  <w:style w:type="paragraph" w:styleId="TOC3">
    <w:name w:val="toc 3"/>
    <w:basedOn w:val="Normal"/>
    <w:next w:val="Normal"/>
    <w:qFormat/>
    <w:pPr>
      <w:ind w:left="840" w:leftChars="400"/>
    </w:pPr>
    <w:rPr>
      <w:rFonts w:asciiTheme="minorHAnsi" w:eastAsiaTheme="minorEastAsia" w:hAnsiTheme="minorHAnsi" w:cstheme="minorBidi"/>
      <w:sz w:val="24"/>
    </w:rPr>
  </w:style>
  <w:style w:type="paragraph" w:styleId="PlainText">
    <w:name w:val="Plain Text"/>
    <w:basedOn w:val="Normal"/>
    <w:next w:val="Date"/>
    <w:qFormat/>
    <w:rPr>
      <w:rFonts w:ascii="宋体" w:hAnsi="Courier New"/>
      <w:kern w:val="0"/>
      <w:sz w:val="20"/>
      <w:szCs w:val="21"/>
    </w:rPr>
  </w:style>
  <w:style w:type="paragraph" w:styleId="Date">
    <w:name w:val="Date"/>
    <w:basedOn w:val="Normal"/>
    <w:next w:val="Normal"/>
    <w:uiPriority w:val="99"/>
    <w:unhideWhenUsed/>
    <w:qFormat/>
    <w:pPr>
      <w:ind w:left="100" w:leftChars="2500"/>
    </w:pPr>
  </w:style>
  <w:style w:type="paragraph" w:styleId="BodyTextIndent2">
    <w:name w:val="Body Text Indent 2"/>
    <w:basedOn w:val="Normal"/>
    <w:qFormat/>
    <w:pPr>
      <w:spacing w:after="120" w:line="480" w:lineRule="auto"/>
      <w:ind w:left="420" w:leftChars="200"/>
    </w:pPr>
  </w:style>
  <w:style w:type="paragraph" w:styleId="Footer">
    <w:name w:val="footer"/>
    <w:basedOn w:val="Normal"/>
    <w:next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qFormat/>
    <w:rPr>
      <w:rFonts w:asciiTheme="minorHAnsi" w:eastAsiaTheme="minorEastAsia" w:hAnsiTheme="minorHAnsi" w:cstheme="minorBidi"/>
      <w:sz w:val="24"/>
    </w:rPr>
  </w:style>
  <w:style w:type="paragraph" w:styleId="TOC4">
    <w:name w:val="toc 4"/>
    <w:basedOn w:val="Normal"/>
    <w:next w:val="Normal"/>
    <w:qFormat/>
    <w:pPr>
      <w:ind w:left="1260" w:leftChars="600"/>
    </w:pPr>
    <w:rPr>
      <w:rFonts w:asciiTheme="minorHAnsi" w:eastAsiaTheme="minorEastAsia" w:hAnsiTheme="minorHAnsi" w:cstheme="minorBidi"/>
      <w:sz w:val="24"/>
    </w:rPr>
  </w:style>
  <w:style w:type="paragraph" w:styleId="TOC6">
    <w:name w:val="toc 6"/>
    <w:basedOn w:val="Normal"/>
    <w:next w:val="Normal"/>
    <w:qFormat/>
    <w:pPr>
      <w:ind w:left="2100" w:leftChars="1000"/>
    </w:pPr>
    <w:rPr>
      <w:rFonts w:asciiTheme="minorHAnsi" w:eastAsiaTheme="minorEastAsia" w:hAnsiTheme="minorHAnsi" w:cstheme="minorBidi"/>
      <w:sz w:val="24"/>
    </w:rPr>
  </w:style>
  <w:style w:type="paragraph" w:styleId="TOC2">
    <w:name w:val="toc 2"/>
    <w:basedOn w:val="Normal"/>
    <w:next w:val="Normal"/>
    <w:qFormat/>
    <w:pPr>
      <w:ind w:left="420" w:leftChars="200"/>
    </w:pPr>
    <w:rPr>
      <w:rFonts w:asciiTheme="minorHAnsi" w:eastAsiaTheme="minorEastAsia" w:hAnsiTheme="minorHAnsi" w:cstheme="minorBidi"/>
      <w:sz w:val="24"/>
    </w:rPr>
  </w:style>
  <w:style w:type="paragraph" w:styleId="Title">
    <w:name w:val="Title"/>
    <w:basedOn w:val="Normal"/>
    <w:next w:val="Normal"/>
    <w:qFormat/>
    <w:pPr>
      <w:spacing w:before="240" w:after="60"/>
      <w:jc w:val="center"/>
      <w:outlineLvl w:val="0"/>
    </w:pPr>
    <w:rPr>
      <w:rFonts w:ascii="Arial" w:hAnsi="Arial"/>
      <w:b/>
      <w:sz w:val="32"/>
    </w:rPr>
  </w:style>
  <w:style w:type="paragraph" w:styleId="BodyTextFirstIndent">
    <w:name w:val="Body Text First Indent"/>
    <w:basedOn w:val="BodyText"/>
    <w:qFormat/>
  </w:style>
  <w:style w:type="character" w:customStyle="1" w:styleId="5">
    <w:name w:val="标题 5 字符"/>
    <w:basedOn w:val="DefaultParagraphFont"/>
    <w:link w:val="Heading5"/>
    <w:qFormat/>
    <w:rPr>
      <w:rFonts w:ascii="Arial" w:eastAsia="黑体" w:hAnsi="Arial" w:cs="Arial"/>
      <w:b/>
      <w:kern w:val="2"/>
      <w:sz w:val="24"/>
      <w:szCs w:val="24"/>
    </w:rPr>
  </w:style>
  <w:style w:type="paragraph" w:customStyle="1" w:styleId="-2">
    <w:name w:val="正文-2字符首行缩进"/>
    <w:basedOn w:val="Normal"/>
    <w:link w:val="-2Char"/>
    <w:qFormat/>
    <w:pPr>
      <w:spacing w:line="360" w:lineRule="auto"/>
      <w:ind w:firstLine="200" w:firstLineChars="200"/>
    </w:pPr>
    <w:rPr>
      <w:rFonts w:eastAsia="黑体"/>
    </w:rPr>
  </w:style>
  <w:style w:type="paragraph" w:customStyle="1" w:styleId="1">
    <w:name w:val="样式1"/>
    <w:basedOn w:val="Normal"/>
    <w:next w:val="Normal"/>
    <w:qFormat/>
    <w:pPr>
      <w:numPr>
        <w:numId w:val="2"/>
      </w:numPr>
      <w:spacing w:before="55"/>
      <w:ind w:right="133"/>
      <w:jc w:val="left"/>
      <w:outlineLvl w:val="1"/>
    </w:pPr>
    <w:rPr>
      <w:rFonts w:ascii="宋体" w:eastAsia="黑体" w:hAnsi="宋体" w:cs="宋体" w:hint="eastAsia"/>
      <w:b/>
      <w:sz w:val="32"/>
      <w:szCs w:val="32"/>
      <w:lang w:val="zh-CN" w:bidi="zh-CN"/>
    </w:rPr>
  </w:style>
  <w:style w:type="character" w:customStyle="1" w:styleId="10">
    <w:name w:val="标题 1 字符"/>
    <w:basedOn w:val="DefaultParagraphFont"/>
    <w:link w:val="Heading1"/>
    <w:uiPriority w:val="9"/>
    <w:qFormat/>
    <w:rPr>
      <w:rFonts w:ascii="Calibri" w:eastAsia="宋体" w:hAnsi="Calibri" w:cs="Times New Roman"/>
      <w:b/>
      <w:bCs/>
      <w:kern w:val="44"/>
      <w:sz w:val="36"/>
      <w:szCs w:val="44"/>
    </w:rPr>
  </w:style>
  <w:style w:type="character" w:customStyle="1" w:styleId="3">
    <w:name w:val="标题 3 字符"/>
    <w:basedOn w:val="DefaultParagraphFont"/>
    <w:link w:val="Heading3"/>
    <w:qFormat/>
    <w:rPr>
      <w:rFonts w:ascii="Times New Roman" w:eastAsia="宋体" w:hAnsi="Times New Roman" w:cs="Times New Roman"/>
      <w:b/>
      <w:bCs/>
      <w:kern w:val="2"/>
      <w:sz w:val="32"/>
      <w:szCs w:val="32"/>
    </w:rPr>
  </w:style>
  <w:style w:type="paragraph" w:customStyle="1" w:styleId="50">
    <w:name w:val="标题5"/>
    <w:basedOn w:val="Normal"/>
    <w:next w:val="Normal"/>
    <w:qFormat/>
    <w:pPr>
      <w:numPr>
        <w:numId w:val="3"/>
      </w:numPr>
      <w:spacing w:before="25" w:after="25"/>
      <w:jc w:val="left"/>
    </w:pPr>
    <w:rPr>
      <w:rFonts w:eastAsia="黑体"/>
      <w:bCs/>
      <w:spacing w:val="10"/>
      <w:kern w:val="0"/>
      <w:sz w:val="24"/>
    </w:rPr>
  </w:style>
  <w:style w:type="paragraph" w:customStyle="1" w:styleId="2">
    <w:name w:val="样式2"/>
    <w:basedOn w:val="Normal"/>
    <w:next w:val="Normal"/>
    <w:qFormat/>
    <w:pPr>
      <w:keepNext/>
      <w:keepLines/>
      <w:numPr>
        <w:numId w:val="4"/>
      </w:numPr>
      <w:tabs>
        <w:tab w:val="left" w:pos="-105"/>
        <w:tab w:val="left" w:pos="0"/>
      </w:tabs>
      <w:spacing w:before="260" w:after="260" w:line="360" w:lineRule="auto"/>
      <w:outlineLvl w:val="2"/>
    </w:pPr>
    <w:rPr>
      <w:rFonts w:ascii="Arial" w:eastAsia="黑体" w:hAnsi="Arial" w:cs="宋体" w:hint="eastAsia"/>
    </w:rPr>
  </w:style>
  <w:style w:type="character" w:customStyle="1" w:styleId="20">
    <w:name w:val="标题 2 字符"/>
    <w:basedOn w:val="DefaultParagraphFont"/>
    <w:link w:val="Heading2"/>
    <w:uiPriority w:val="9"/>
    <w:qFormat/>
    <w:rPr>
      <w:rFonts w:ascii="宋体" w:eastAsia="宋体" w:hAnsi="宋体" w:cs="宋体"/>
      <w:b/>
      <w:bCs/>
      <w:snapToGrid w:val="0"/>
      <w:color w:val="000000"/>
      <w:kern w:val="2"/>
      <w:sz w:val="28"/>
      <w:szCs w:val="21"/>
      <w:lang w:val="zh-CN" w:eastAsia="en-US" w:bidi="zh-CN"/>
    </w:rPr>
  </w:style>
  <w:style w:type="character" w:customStyle="1" w:styleId="-2Char">
    <w:name w:val="正文-2字符首行缩进 Char"/>
    <w:link w:val="-2"/>
    <w:qFormat/>
    <w:rPr>
      <w:rFonts w:ascii="Times New Roman" w:eastAsia="黑体" w:hAnsi="Times New Roman" w:cs="Times New Roman"/>
      <w:kern w:val="2"/>
      <w:sz w:val="28"/>
      <w:szCs w:val="24"/>
    </w:rPr>
  </w:style>
  <w:style w:type="character" w:customStyle="1" w:styleId="4">
    <w:name w:val="标题 4 字符"/>
    <w:basedOn w:val="DefaultParagraphFont"/>
    <w:link w:val="Heading4"/>
    <w:uiPriority w:val="9"/>
    <w:qFormat/>
    <w:rPr>
      <w:rFonts w:ascii="宋体" w:eastAsia="宋体" w:hAnsi="宋体" w:cs="Arial"/>
      <w:b/>
      <w:sz w:val="28"/>
      <w:szCs w:val="28"/>
    </w:rPr>
  </w:style>
  <w:style w:type="character" w:customStyle="1" w:styleId="a">
    <w:name w:val="正文文本 字符"/>
    <w:basedOn w:val="DefaultParagraphFont"/>
    <w:link w:val="BodyText"/>
    <w:uiPriority w:val="99"/>
    <w:semiHidden/>
    <w:qFormat/>
    <w:rPr>
      <w:rFonts w:ascii="Times New Roman" w:eastAsia="宋体" w:hAnsi="Times New Roman" w:cs="宋体"/>
      <w:kern w:val="2"/>
      <w:sz w:val="21"/>
      <w:szCs w:val="24"/>
    </w:rPr>
  </w:style>
  <w:style w:type="character" w:customStyle="1" w:styleId="6">
    <w:name w:val="标题 6 字符"/>
    <w:link w:val="Heading6"/>
    <w:uiPriority w:val="9"/>
    <w:qFormat/>
    <w:rPr>
      <w:rFonts w:ascii="Arial" w:eastAsia="黑体" w:hAnsi="Arial" w:cs="Times New Roman"/>
      <w:sz w:val="28"/>
    </w:rPr>
  </w:style>
  <w:style w:type="paragraph" w:customStyle="1" w:styleId="a0">
    <w:name w:val="投标正文"/>
    <w:qFormat/>
    <w:pPr>
      <w:widowControl w:val="0"/>
      <w:wordWrap w:val="0"/>
      <w:spacing w:line="360" w:lineRule="auto"/>
      <w:ind w:firstLine="200" w:firstLineChars="200"/>
      <w:jc w:val="both"/>
    </w:pPr>
    <w:rPr>
      <w:rFonts w:ascii="微软雅黑" w:eastAsia="黑体" w:hAnsi="微软雅黑" w:cs="微软雅黑"/>
      <w:kern w:val="2"/>
      <w:sz w:val="24"/>
      <w:szCs w:val="21"/>
    </w:rPr>
  </w:style>
  <w:style w:type="paragraph" w:customStyle="1" w:styleId="a1">
    <w:name w:val="文档正文"/>
    <w:basedOn w:val="Normal"/>
    <w:qFormat/>
    <w:pPr>
      <w:wordWrap w:val="0"/>
      <w:spacing w:line="360" w:lineRule="auto"/>
      <w:ind w:firstLine="560" w:firstLineChars="200"/>
    </w:pPr>
    <w:rPr>
      <w:rFonts w:ascii="仿宋" w:eastAsia="仿宋" w:hAnsi="仿宋"/>
      <w:szCs w:val="28"/>
    </w:rPr>
  </w:style>
  <w:style w:type="paragraph" w:customStyle="1" w:styleId="a2">
    <w:name w:val="方案正文"/>
    <w:basedOn w:val="Normal"/>
    <w:qFormat/>
    <w:pPr>
      <w:wordWrap w:val="0"/>
      <w:topLinePunct/>
      <w:spacing w:line="360" w:lineRule="auto"/>
      <w:ind w:firstLine="560" w:firstLineChars="200"/>
    </w:pPr>
    <w:rPr>
      <w:kern w:val="0"/>
      <w:szCs w:val="20"/>
    </w:rPr>
  </w:style>
  <w:style w:type="paragraph" w:customStyle="1" w:styleId="02">
    <w:name w:val="正文02"/>
    <w:basedOn w:val="Normal"/>
    <w:qFormat/>
    <w:pPr>
      <w:ind w:firstLine="560" w:firstLineChars="200"/>
    </w:pPr>
    <w:rPr>
      <w:rFonts w:ascii="宋体" w:hAnsi="宋体"/>
      <w:szCs w:val="32"/>
    </w:rPr>
  </w:style>
  <w:style w:type="paragraph" w:styleId="Revision">
    <w:name w:val="Revision"/>
    <w:hidden/>
    <w:uiPriority w:val="99"/>
    <w:unhideWhenUsed/>
    <w:rsid w:val="00685EB1"/>
    <w:rPr>
      <w:rFonts w:ascii="Times New Roman" w:eastAsia="宋体" w:hAnsi="Times New Roman" w:cs="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故渊</dc:creator>
  <cp:lastModifiedBy>lina zhu</cp:lastModifiedBy>
  <cp:revision>7</cp:revision>
  <dcterms:created xsi:type="dcterms:W3CDTF">2026-03-05T07:13:00Z</dcterms:created>
  <dcterms:modified xsi:type="dcterms:W3CDTF">2026-03-05T12:24:00Z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01A51D16E15E4E549AB19166832C26AB_13</vt:lpwstr>
  </property>
  <property fmtid="{D5CDD505-2E9C-101B-9397-08002B2CF9AE}" pid="3" name="KSOProductBuildVer">
    <vt:lpwstr>2052-12.1.0.25222</vt:lpwstr>
  </property>
  <property fmtid="{D5CDD505-2E9C-101B-9397-08002B2CF9AE}" pid="4" name="KSOTemplateDocerSaveRecord">
    <vt:lpwstr>eyJoZGlkIjoiOTE4ZmQwYjA5MTQ3MTY1NTkwZjM2NjA1OGViMmZkNmEiLCJ1c2VySWQiOiIyODM4NDg5NDMifQ==</vt:lpwstr>
  </property>
</Properties>
</file>