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67FB1">
      <w:pPr>
        <w:spacing w:line="360" w:lineRule="auto"/>
        <w:ind w:firstLine="708" w:firstLineChars="196"/>
        <w:jc w:val="center"/>
        <w:rPr>
          <w:rFonts w:hint="eastAsia" w:ascii="宋体" w:hAnsi="宋体" w:eastAsiaTheme="minorEastAsia"/>
          <w:b/>
          <w:sz w:val="36"/>
          <w:szCs w:val="36"/>
          <w:lang w:val="en-US" w:eastAsia="zh-CN"/>
        </w:r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年广西财经学院</w:t>
      </w:r>
      <w:r>
        <w:rPr>
          <w:rFonts w:hint="eastAsia" w:ascii="宋体" w:hAnsi="宋体"/>
          <w:b/>
          <w:sz w:val="36"/>
          <w:szCs w:val="36"/>
          <w:lang w:val="en-US" w:eastAsia="zh-CN"/>
        </w:rPr>
        <w:t>相思湖校区消防器材</w:t>
      </w:r>
      <w:r>
        <w:rPr>
          <w:rFonts w:hint="eastAsia" w:ascii="宋体" w:hAnsi="宋体"/>
          <w:b/>
          <w:sz w:val="36"/>
          <w:szCs w:val="36"/>
        </w:rPr>
        <w:t>采购项目报价</w:t>
      </w:r>
      <w:r>
        <w:rPr>
          <w:rFonts w:hint="eastAsia" w:ascii="宋体" w:hAnsi="宋体"/>
          <w:b/>
          <w:sz w:val="36"/>
          <w:szCs w:val="36"/>
          <w:lang w:val="en-US" w:eastAsia="zh-CN"/>
        </w:rPr>
        <w:t>表</w:t>
      </w:r>
    </w:p>
    <w:p w14:paraId="0C7BE7A6">
      <w:pPr>
        <w:numPr>
          <w:ilvl w:val="0"/>
          <w:numId w:val="1"/>
        </w:numPr>
        <w:spacing w:line="360" w:lineRule="auto"/>
        <w:rPr>
          <w:rFonts w:hint="eastAsia"/>
          <w:lang w:val="en-US" w:eastAsia="zh-CN"/>
        </w:rPr>
      </w:pPr>
      <w:r>
        <w:rPr>
          <w:rFonts w:hint="eastAsia" w:ascii="宋体" w:hAnsi="宋体"/>
          <w:b/>
          <w:sz w:val="24"/>
          <w:szCs w:val="24"/>
          <w:lang w:val="en-US" w:eastAsia="zh-CN"/>
        </w:rPr>
        <w:t>项目预算上限控制价：99800.00元</w:t>
      </w:r>
    </w:p>
    <w:p w14:paraId="6C616ECA">
      <w:pPr>
        <w:numPr>
          <w:ilvl w:val="0"/>
          <w:numId w:val="1"/>
        </w:numPr>
        <w:spacing w:line="360" w:lineRule="auto"/>
        <w:ind w:left="0" w:leftChars="0" w:firstLine="0" w:firstLineChars="0"/>
        <w:rPr>
          <w:rFonts w:hint="eastAsia" w:ascii="宋体" w:hAnsi="宋体"/>
          <w:b/>
          <w:sz w:val="24"/>
          <w:szCs w:val="24"/>
          <w:lang w:val="en-US" w:eastAsia="zh-CN"/>
        </w:rPr>
      </w:pPr>
      <w:r>
        <w:rPr>
          <w:rFonts w:hint="eastAsia" w:ascii="宋体" w:hAnsi="宋体"/>
          <w:b/>
          <w:sz w:val="24"/>
          <w:szCs w:val="24"/>
          <w:lang w:val="en-US" w:eastAsia="zh-CN"/>
        </w:rPr>
        <w:t>采购方式：询价采购</w:t>
      </w:r>
    </w:p>
    <w:p w14:paraId="3010D469">
      <w:pPr>
        <w:numPr>
          <w:ilvl w:val="0"/>
          <w:numId w:val="0"/>
        </w:numPr>
        <w:spacing w:line="360" w:lineRule="auto"/>
        <w:ind w:leftChars="0"/>
        <w:rPr>
          <w:rFonts w:hint="eastAsia"/>
          <w:lang w:val="en-US" w:eastAsia="zh-CN"/>
        </w:rPr>
      </w:pPr>
      <w:r>
        <w:rPr>
          <w:rFonts w:hint="eastAsia" w:ascii="宋体" w:hAnsi="宋体"/>
          <w:b/>
          <w:sz w:val="24"/>
          <w:szCs w:val="24"/>
          <w:lang w:val="en-US" w:eastAsia="zh-CN"/>
        </w:rPr>
        <w:t>三、评审办法：最低评标价法。</w:t>
      </w:r>
    </w:p>
    <w:tbl>
      <w:tblPr>
        <w:tblStyle w:val="1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40" w:type="dxa"/>
          <w:left w:w="64" w:type="dxa"/>
          <w:bottom w:w="40" w:type="dxa"/>
          <w:right w:w="64" w:type="dxa"/>
        </w:tblCellMar>
      </w:tblPr>
      <w:tblGrid>
        <w:gridCol w:w="480"/>
        <w:gridCol w:w="1923"/>
        <w:gridCol w:w="1940"/>
        <w:gridCol w:w="4602"/>
        <w:gridCol w:w="608"/>
        <w:gridCol w:w="483"/>
        <w:gridCol w:w="1061"/>
        <w:gridCol w:w="1371"/>
        <w:gridCol w:w="796"/>
        <w:gridCol w:w="822"/>
      </w:tblGrid>
      <w:tr w14:paraId="34FEB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3" w:type="pct"/>
            <w:tcBorders>
              <w:top w:val="single" w:color="auto" w:sz="4" w:space="0"/>
              <w:bottom w:val="single" w:color="auto" w:sz="4" w:space="0"/>
              <w:right w:val="single" w:color="auto" w:sz="4" w:space="0"/>
            </w:tcBorders>
            <w:vAlign w:val="center"/>
          </w:tcPr>
          <w:p w14:paraId="74D4F28B">
            <w:pPr>
              <w:snapToGrid w:val="0"/>
              <w:jc w:val="center"/>
              <w:rPr>
                <w:rFonts w:hint="eastAsia" w:ascii="宋体" w:hAnsi="宋体" w:eastAsia="宋体" w:cs="宋体"/>
                <w:b/>
                <w:szCs w:val="21"/>
              </w:rPr>
            </w:pPr>
            <w:r>
              <w:rPr>
                <w:rFonts w:hint="eastAsia" w:ascii="宋体" w:hAnsi="宋体" w:eastAsia="宋体" w:cs="宋体"/>
                <w:b/>
                <w:szCs w:val="21"/>
              </w:rPr>
              <w:t>项号</w:t>
            </w:r>
          </w:p>
        </w:tc>
        <w:tc>
          <w:tcPr>
            <w:tcW w:w="685" w:type="pct"/>
            <w:tcBorders>
              <w:top w:val="single" w:color="auto" w:sz="4" w:space="0"/>
              <w:left w:val="single" w:color="auto" w:sz="4" w:space="0"/>
              <w:bottom w:val="single" w:color="auto" w:sz="4" w:space="0"/>
              <w:right w:val="single" w:color="auto" w:sz="4" w:space="0"/>
            </w:tcBorders>
            <w:vAlign w:val="center"/>
          </w:tcPr>
          <w:p w14:paraId="3B984AE6">
            <w:pPr>
              <w:snapToGrid w:val="0"/>
              <w:jc w:val="center"/>
              <w:rPr>
                <w:rFonts w:hint="default" w:ascii="宋体" w:hAnsi="宋体" w:eastAsia="宋体" w:cs="宋体"/>
                <w:b/>
                <w:szCs w:val="21"/>
                <w:lang w:val="en-US"/>
              </w:rPr>
            </w:pPr>
            <w:r>
              <w:rPr>
                <w:rFonts w:hint="eastAsia" w:ascii="宋体" w:hAnsi="宋体" w:eastAsia="宋体" w:cs="宋体"/>
                <w:b/>
                <w:szCs w:val="21"/>
                <w:lang w:val="en-US" w:eastAsia="zh-CN"/>
              </w:rPr>
              <w:t>货物名称</w:t>
            </w:r>
          </w:p>
        </w:tc>
        <w:tc>
          <w:tcPr>
            <w:tcW w:w="691" w:type="pct"/>
            <w:tcBorders>
              <w:top w:val="single" w:color="auto" w:sz="4" w:space="0"/>
              <w:left w:val="single" w:color="auto" w:sz="4" w:space="0"/>
              <w:bottom w:val="single" w:color="auto" w:sz="4" w:space="0"/>
              <w:right w:val="single" w:color="auto" w:sz="4" w:space="0"/>
            </w:tcBorders>
            <w:vAlign w:val="center"/>
          </w:tcPr>
          <w:p w14:paraId="4242BE2F">
            <w:pPr>
              <w:pStyle w:val="37"/>
              <w:snapToGrid w:val="0"/>
              <w:spacing w:after="0" w:line="240" w:lineRule="auto"/>
              <w:jc w:val="center"/>
              <w:rPr>
                <w:rFonts w:hint="eastAsia" w:ascii="宋体" w:hAnsi="宋体" w:cs="宋体"/>
                <w:b/>
                <w:sz w:val="21"/>
                <w:szCs w:val="21"/>
                <w:lang w:eastAsia="zh-CN"/>
              </w:rPr>
            </w:pPr>
            <w:r>
              <w:rPr>
                <w:rFonts w:hint="eastAsia" w:ascii="宋体" w:hAnsi="宋体" w:cs="宋体"/>
                <w:b/>
                <w:sz w:val="21"/>
                <w:szCs w:val="21"/>
                <w:lang w:eastAsia="zh-CN"/>
              </w:rPr>
              <w:t>参考品牌</w:t>
            </w:r>
          </w:p>
        </w:tc>
        <w:tc>
          <w:tcPr>
            <w:tcW w:w="1636" w:type="pct"/>
            <w:tcBorders>
              <w:top w:val="single" w:color="auto" w:sz="4" w:space="0"/>
              <w:left w:val="single" w:color="auto" w:sz="4" w:space="0"/>
              <w:bottom w:val="single" w:color="auto" w:sz="4" w:space="0"/>
              <w:right w:val="single" w:color="auto" w:sz="4" w:space="0"/>
            </w:tcBorders>
            <w:vAlign w:val="center"/>
          </w:tcPr>
          <w:p w14:paraId="6FB07662">
            <w:pPr>
              <w:pStyle w:val="37"/>
              <w:snapToGrid w:val="0"/>
              <w:spacing w:after="0" w:line="240" w:lineRule="auto"/>
              <w:jc w:val="center"/>
              <w:rPr>
                <w:rFonts w:hint="eastAsia" w:ascii="宋体" w:hAnsi="宋体" w:eastAsia="宋体" w:cs="宋体"/>
                <w:b/>
                <w:kern w:val="0"/>
                <w:sz w:val="21"/>
                <w:szCs w:val="21"/>
                <w:lang w:val="en-US" w:eastAsia="zh-CN" w:bidi="ar-SA"/>
              </w:rPr>
            </w:pPr>
            <w:r>
              <w:rPr>
                <w:rFonts w:hint="eastAsia" w:ascii="宋体" w:hAnsi="宋体" w:cs="宋体"/>
                <w:b/>
                <w:sz w:val="21"/>
                <w:szCs w:val="21"/>
                <w:lang w:eastAsia="zh-CN"/>
              </w:rPr>
              <w:t>主要技术参数及性能（配置）要求</w:t>
            </w:r>
          </w:p>
        </w:tc>
        <w:tc>
          <w:tcPr>
            <w:tcW w:w="194" w:type="pct"/>
            <w:tcBorders>
              <w:top w:val="single" w:color="auto" w:sz="4" w:space="0"/>
              <w:left w:val="single" w:color="auto" w:sz="4" w:space="0"/>
              <w:bottom w:val="single" w:color="auto" w:sz="4" w:space="0"/>
              <w:right w:val="single" w:color="auto" w:sz="4" w:space="0"/>
            </w:tcBorders>
            <w:vAlign w:val="center"/>
          </w:tcPr>
          <w:p w14:paraId="05BBA987">
            <w:pPr>
              <w:snapToGrid w:val="0"/>
              <w:jc w:val="center"/>
              <w:rPr>
                <w:rFonts w:hint="eastAsia" w:ascii="宋体" w:hAnsi="宋体" w:eastAsia="宋体" w:cs="宋体"/>
                <w:b/>
                <w:szCs w:val="21"/>
              </w:rPr>
            </w:pPr>
            <w:r>
              <w:rPr>
                <w:rFonts w:hint="eastAsia" w:ascii="宋体" w:hAnsi="宋体" w:eastAsia="宋体" w:cs="宋体"/>
                <w:b/>
                <w:szCs w:val="21"/>
              </w:rPr>
              <w:t>数量</w:t>
            </w:r>
          </w:p>
        </w:tc>
        <w:tc>
          <w:tcPr>
            <w:tcW w:w="174" w:type="pct"/>
            <w:tcBorders>
              <w:top w:val="single" w:color="auto" w:sz="4" w:space="0"/>
              <w:left w:val="single" w:color="auto" w:sz="4" w:space="0"/>
              <w:bottom w:val="single" w:color="auto" w:sz="4" w:space="0"/>
              <w:right w:val="single" w:color="auto" w:sz="4" w:space="0"/>
            </w:tcBorders>
            <w:vAlign w:val="center"/>
          </w:tcPr>
          <w:p w14:paraId="7B10FED2">
            <w:pPr>
              <w:snapToGrid w:val="0"/>
              <w:jc w:val="center"/>
              <w:rPr>
                <w:rFonts w:hint="eastAsia" w:ascii="宋体" w:hAnsi="宋体" w:eastAsia="宋体" w:cs="宋体"/>
                <w:b/>
                <w:szCs w:val="21"/>
                <w:lang w:val="en"/>
              </w:rPr>
            </w:pPr>
            <w:r>
              <w:rPr>
                <w:rFonts w:hint="eastAsia" w:ascii="宋体" w:hAnsi="宋体" w:eastAsia="宋体" w:cs="宋体"/>
                <w:b/>
                <w:szCs w:val="21"/>
                <w:lang w:val="en"/>
              </w:rPr>
              <w:t>单位</w:t>
            </w:r>
          </w:p>
        </w:tc>
        <w:tc>
          <w:tcPr>
            <w:tcW w:w="379" w:type="pct"/>
            <w:tcBorders>
              <w:top w:val="single" w:color="auto" w:sz="4" w:space="0"/>
              <w:left w:val="single" w:color="auto" w:sz="4" w:space="0"/>
              <w:bottom w:val="single" w:color="auto" w:sz="4" w:space="0"/>
            </w:tcBorders>
            <w:vAlign w:val="center"/>
          </w:tcPr>
          <w:p w14:paraId="7E4F08F0">
            <w:pPr>
              <w:snapToGrid w:val="0"/>
              <w:jc w:val="center"/>
              <w:rPr>
                <w:rFonts w:hint="eastAsia" w:ascii="宋体" w:hAnsi="宋体" w:eastAsia="宋体" w:cs="宋体"/>
                <w:b/>
                <w:szCs w:val="21"/>
                <w:lang w:eastAsia="zh-CN"/>
              </w:rPr>
            </w:pPr>
            <w:r>
              <w:rPr>
                <w:rFonts w:hint="eastAsia" w:ascii="宋体" w:hAnsi="宋体" w:eastAsia="宋体" w:cs="宋体"/>
                <w:b/>
                <w:szCs w:val="21"/>
                <w:lang w:val="en-US" w:eastAsia="zh-CN"/>
              </w:rPr>
              <w:t>单价（元）</w:t>
            </w:r>
          </w:p>
        </w:tc>
        <w:tc>
          <w:tcPr>
            <w:tcW w:w="489" w:type="pct"/>
            <w:tcBorders>
              <w:top w:val="single" w:color="auto" w:sz="4" w:space="0"/>
              <w:left w:val="single" w:color="auto" w:sz="4" w:space="0"/>
              <w:bottom w:val="single" w:color="auto" w:sz="4" w:space="0"/>
            </w:tcBorders>
            <w:vAlign w:val="center"/>
          </w:tcPr>
          <w:p w14:paraId="7299B3E7">
            <w:pPr>
              <w:snapToGrid w:val="0"/>
              <w:jc w:val="center"/>
              <w:rPr>
                <w:rFonts w:hint="eastAsia" w:ascii="宋体" w:hAnsi="宋体" w:eastAsia="宋体" w:cs="宋体"/>
                <w:b/>
                <w:szCs w:val="21"/>
              </w:rPr>
            </w:pPr>
            <w:r>
              <w:rPr>
                <w:rFonts w:hint="eastAsia" w:ascii="宋体" w:hAnsi="宋体" w:eastAsia="宋体" w:cs="宋体"/>
                <w:b/>
                <w:szCs w:val="21"/>
                <w:lang w:val="en-US" w:eastAsia="zh-CN"/>
              </w:rPr>
              <w:t>合计</w:t>
            </w:r>
            <w:r>
              <w:rPr>
                <w:rFonts w:hint="eastAsia" w:ascii="宋体" w:hAnsi="宋体" w:eastAsia="宋体" w:cs="宋体"/>
                <w:b/>
                <w:szCs w:val="21"/>
              </w:rPr>
              <w:t>金额（元）</w:t>
            </w:r>
          </w:p>
        </w:tc>
        <w:tc>
          <w:tcPr>
            <w:tcW w:w="285" w:type="pct"/>
            <w:tcBorders>
              <w:top w:val="single" w:color="auto" w:sz="4" w:space="0"/>
              <w:left w:val="single" w:color="auto" w:sz="4" w:space="0"/>
              <w:bottom w:val="single" w:color="auto" w:sz="4" w:space="0"/>
            </w:tcBorders>
            <w:vAlign w:val="center"/>
          </w:tcPr>
          <w:p w14:paraId="12512E27">
            <w:pPr>
              <w:pStyle w:val="37"/>
              <w:snapToGrid w:val="0"/>
              <w:spacing w:after="0" w:line="240" w:lineRule="auto"/>
              <w:jc w:val="center"/>
              <w:rPr>
                <w:rFonts w:hint="eastAsia" w:ascii="宋体" w:hAnsi="宋体" w:cs="宋体"/>
                <w:b/>
                <w:sz w:val="21"/>
                <w:szCs w:val="21"/>
                <w:lang w:val="en-US" w:eastAsia="zh-CN"/>
              </w:rPr>
            </w:pPr>
            <w:r>
              <w:rPr>
                <w:rFonts w:hint="eastAsia" w:ascii="宋体" w:hAnsi="宋体" w:cs="宋体"/>
                <w:b/>
                <w:sz w:val="21"/>
                <w:szCs w:val="21"/>
                <w:lang w:val="en-US" w:eastAsia="zh-CN"/>
              </w:rPr>
              <w:t>是否</w:t>
            </w:r>
          </w:p>
          <w:p w14:paraId="20ECE859">
            <w:pPr>
              <w:pStyle w:val="37"/>
              <w:snapToGrid w:val="0"/>
              <w:spacing w:after="0" w:line="240" w:lineRule="auto"/>
              <w:jc w:val="center"/>
              <w:rPr>
                <w:rFonts w:hint="default" w:ascii="宋体" w:hAnsi="宋体" w:cs="宋体"/>
                <w:b/>
                <w:sz w:val="21"/>
                <w:szCs w:val="21"/>
                <w:lang w:val="en-US" w:eastAsia="zh-CN"/>
              </w:rPr>
            </w:pPr>
            <w:r>
              <w:rPr>
                <w:rFonts w:hint="eastAsia" w:ascii="宋体" w:hAnsi="宋体" w:cs="宋体"/>
                <w:b/>
                <w:sz w:val="21"/>
                <w:szCs w:val="21"/>
                <w:lang w:val="en-US" w:eastAsia="zh-CN"/>
              </w:rPr>
              <w:t>响应</w:t>
            </w:r>
          </w:p>
        </w:tc>
        <w:tc>
          <w:tcPr>
            <w:tcW w:w="290" w:type="pct"/>
            <w:tcBorders>
              <w:top w:val="single" w:color="auto" w:sz="4" w:space="0"/>
              <w:left w:val="single" w:color="auto" w:sz="4" w:space="0"/>
              <w:bottom w:val="single" w:color="auto" w:sz="4" w:space="0"/>
            </w:tcBorders>
            <w:vAlign w:val="center"/>
          </w:tcPr>
          <w:p w14:paraId="6D2F33A7">
            <w:pPr>
              <w:pStyle w:val="37"/>
              <w:snapToGrid w:val="0"/>
              <w:spacing w:after="0" w:line="240" w:lineRule="auto"/>
              <w:jc w:val="center"/>
              <w:rPr>
                <w:rFonts w:hint="eastAsia" w:ascii="宋体" w:hAnsi="宋体" w:cs="宋体"/>
                <w:b/>
                <w:sz w:val="21"/>
                <w:szCs w:val="21"/>
                <w:lang w:val="en-US" w:eastAsia="zh-CN"/>
              </w:rPr>
            </w:pPr>
            <w:r>
              <w:rPr>
                <w:rFonts w:hint="eastAsia" w:ascii="宋体" w:hAnsi="宋体" w:cs="宋体"/>
                <w:b/>
                <w:sz w:val="21"/>
                <w:szCs w:val="21"/>
                <w:lang w:val="en-US" w:eastAsia="zh-CN"/>
              </w:rPr>
              <w:t>响应</w:t>
            </w:r>
          </w:p>
          <w:p w14:paraId="7EB2C9FE">
            <w:pPr>
              <w:pStyle w:val="37"/>
              <w:snapToGrid w:val="0"/>
              <w:spacing w:after="0" w:line="240" w:lineRule="auto"/>
              <w:jc w:val="center"/>
              <w:rPr>
                <w:rFonts w:hint="default" w:ascii="宋体" w:hAnsi="宋体" w:cs="宋体"/>
                <w:b/>
                <w:sz w:val="21"/>
                <w:szCs w:val="21"/>
                <w:lang w:val="en-US" w:eastAsia="zh-CN"/>
              </w:rPr>
            </w:pPr>
            <w:r>
              <w:rPr>
                <w:rFonts w:hint="eastAsia" w:ascii="宋体" w:hAnsi="宋体" w:cs="宋体"/>
                <w:b/>
                <w:sz w:val="21"/>
                <w:szCs w:val="21"/>
                <w:lang w:val="en-US" w:eastAsia="zh-CN"/>
              </w:rPr>
              <w:t>品牌</w:t>
            </w:r>
          </w:p>
        </w:tc>
      </w:tr>
      <w:tr w14:paraId="0D08B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3" w:type="pct"/>
            <w:tcBorders>
              <w:top w:val="single" w:color="auto" w:sz="4" w:space="0"/>
              <w:bottom w:val="single" w:color="auto" w:sz="4" w:space="0"/>
              <w:right w:val="single" w:color="auto" w:sz="4" w:space="0"/>
            </w:tcBorders>
            <w:vAlign w:val="center"/>
          </w:tcPr>
          <w:p w14:paraId="3BDF7FBC">
            <w:pPr>
              <w:snapToGrid w:val="0"/>
              <w:jc w:val="center"/>
              <w:rPr>
                <w:rFonts w:hint="eastAsia" w:ascii="宋体" w:hAnsi="宋体" w:eastAsia="宋体" w:cs="宋体"/>
                <w:szCs w:val="21"/>
              </w:rPr>
            </w:pPr>
            <w:r>
              <w:rPr>
                <w:rFonts w:hint="eastAsia" w:ascii="宋体" w:hAnsi="宋体" w:eastAsia="宋体" w:cs="宋体"/>
                <w:szCs w:val="21"/>
              </w:rPr>
              <w:t>1</w:t>
            </w:r>
          </w:p>
        </w:tc>
        <w:tc>
          <w:tcPr>
            <w:tcW w:w="1929" w:type="dxa"/>
            <w:tcBorders>
              <w:top w:val="single" w:color="auto" w:sz="4" w:space="0"/>
              <w:left w:val="single" w:color="auto" w:sz="4" w:space="0"/>
              <w:bottom w:val="single" w:color="auto" w:sz="4" w:space="0"/>
              <w:right w:val="single" w:color="auto" w:sz="4" w:space="0"/>
            </w:tcBorders>
            <w:vAlign w:val="center"/>
          </w:tcPr>
          <w:p w14:paraId="2171ECA8">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消防演习器材（烟雾罐）</w:t>
            </w:r>
          </w:p>
        </w:tc>
        <w:tc>
          <w:tcPr>
            <w:tcW w:w="1947" w:type="dxa"/>
            <w:tcBorders>
              <w:top w:val="single" w:color="auto" w:sz="4" w:space="0"/>
              <w:left w:val="single" w:color="auto" w:sz="4" w:space="0"/>
              <w:bottom w:val="single" w:color="auto" w:sz="4" w:space="0"/>
              <w:right w:val="single" w:color="auto" w:sz="4" w:space="0"/>
            </w:tcBorders>
            <w:vAlign w:val="center"/>
          </w:tcPr>
          <w:p w14:paraId="23DC65F8">
            <w:pPr>
              <w:jc w:val="left"/>
              <w:rPr>
                <w:rFonts w:hint="eastAsia"/>
              </w:rPr>
            </w:pPr>
          </w:p>
        </w:tc>
        <w:tc>
          <w:tcPr>
            <w:tcW w:w="4609" w:type="dxa"/>
            <w:tcBorders>
              <w:top w:val="single" w:color="auto" w:sz="4" w:space="0"/>
              <w:left w:val="single" w:color="auto" w:sz="4" w:space="0"/>
              <w:bottom w:val="single" w:color="auto" w:sz="4" w:space="0"/>
              <w:right w:val="single" w:color="auto" w:sz="4" w:space="0"/>
            </w:tcBorders>
            <w:vAlign w:val="center"/>
          </w:tcPr>
          <w:p w14:paraId="556C7297">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国标，橙色烟雾，效果时间</w:t>
            </w:r>
            <w:r>
              <w:rPr>
                <w:rFonts w:ascii="等线" w:hAnsi="等线" w:eastAsia="等线" w:cs="等线"/>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3分钟</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064F95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0" w:type="dxa"/>
            <w:tcBorders>
              <w:top w:val="single" w:color="auto" w:sz="4" w:space="0"/>
              <w:left w:val="single" w:color="auto" w:sz="4" w:space="0"/>
              <w:bottom w:val="single" w:color="auto" w:sz="4" w:space="0"/>
              <w:right w:val="single" w:color="auto" w:sz="4" w:space="0"/>
            </w:tcBorders>
            <w:vAlign w:val="center"/>
          </w:tcPr>
          <w:p w14:paraId="015EB5B7">
            <w:pPr>
              <w:keepNext w:val="0"/>
              <w:keepLines w:val="0"/>
              <w:widowControl/>
              <w:suppressLineNumbers w:val="0"/>
              <w:jc w:val="center"/>
              <w:textAlignment w:val="center"/>
              <w:rPr>
                <w:rFonts w:hint="eastAsia" w:ascii="宋体" w:hAnsi="宋体" w:eastAsia="宋体" w:cs="宋体"/>
                <w:szCs w:val="21"/>
                <w:lang w:eastAsia="zh-CN"/>
              </w:rPr>
            </w:pPr>
            <w:r>
              <w:rPr>
                <w:rFonts w:hint="eastAsia" w:ascii="宋体" w:hAnsi="宋体" w:eastAsia="宋体" w:cs="宋体"/>
                <w:i w:val="0"/>
                <w:iCs w:val="0"/>
                <w:color w:val="000000"/>
                <w:kern w:val="0"/>
                <w:sz w:val="24"/>
                <w:szCs w:val="24"/>
                <w:u w:val="none"/>
                <w:lang w:val="en-US" w:eastAsia="zh-CN" w:bidi="ar"/>
              </w:rPr>
              <w:t>罐</w:t>
            </w:r>
          </w:p>
        </w:tc>
        <w:tc>
          <w:tcPr>
            <w:tcW w:w="379" w:type="pct"/>
            <w:tcBorders>
              <w:top w:val="single" w:color="auto" w:sz="4" w:space="0"/>
              <w:left w:val="single" w:color="auto" w:sz="4" w:space="0"/>
              <w:bottom w:val="single" w:color="auto" w:sz="4" w:space="0"/>
            </w:tcBorders>
            <w:vAlign w:val="center"/>
          </w:tcPr>
          <w:p w14:paraId="64F555B2">
            <w:pPr>
              <w:snapToGrid w:val="0"/>
              <w:jc w:val="center"/>
              <w:rPr>
                <w:rFonts w:hint="eastAsia" w:ascii="宋体" w:hAnsi="宋体" w:eastAsia="宋体" w:cs="宋体"/>
                <w:szCs w:val="21"/>
              </w:rPr>
            </w:pPr>
          </w:p>
        </w:tc>
        <w:tc>
          <w:tcPr>
            <w:tcW w:w="489" w:type="pct"/>
            <w:tcBorders>
              <w:top w:val="single" w:color="auto" w:sz="4" w:space="0"/>
              <w:left w:val="single" w:color="auto" w:sz="4" w:space="0"/>
              <w:bottom w:val="single" w:color="auto" w:sz="4" w:space="0"/>
            </w:tcBorders>
            <w:vAlign w:val="center"/>
          </w:tcPr>
          <w:p w14:paraId="25F76B54">
            <w:pPr>
              <w:snapToGrid w:val="0"/>
              <w:jc w:val="center"/>
              <w:rPr>
                <w:rFonts w:hint="eastAsia" w:ascii="宋体" w:hAnsi="宋体" w:eastAsia="宋体" w:cs="宋体"/>
                <w:szCs w:val="21"/>
              </w:rPr>
            </w:pPr>
          </w:p>
        </w:tc>
        <w:tc>
          <w:tcPr>
            <w:tcW w:w="285" w:type="pct"/>
            <w:tcBorders>
              <w:top w:val="single" w:color="auto" w:sz="4" w:space="0"/>
              <w:left w:val="single" w:color="auto" w:sz="4" w:space="0"/>
              <w:bottom w:val="single" w:color="auto" w:sz="4" w:space="0"/>
            </w:tcBorders>
            <w:shd w:val="clear" w:color="auto" w:fill="auto"/>
            <w:vAlign w:val="center"/>
          </w:tcPr>
          <w:p w14:paraId="07AE8758">
            <w:pPr>
              <w:snapToGrid w:val="0"/>
              <w:jc w:val="left"/>
              <w:rPr>
                <w:rFonts w:hint="eastAsia" w:ascii="宋体" w:hAnsi="宋体" w:eastAsia="宋体" w:cs="宋体"/>
                <w:szCs w:val="21"/>
              </w:rPr>
            </w:pPr>
          </w:p>
        </w:tc>
        <w:tc>
          <w:tcPr>
            <w:tcW w:w="290" w:type="pct"/>
            <w:tcBorders>
              <w:top w:val="single" w:color="auto" w:sz="4" w:space="0"/>
              <w:left w:val="single" w:color="auto" w:sz="4" w:space="0"/>
              <w:bottom w:val="single" w:color="auto" w:sz="4" w:space="0"/>
            </w:tcBorders>
            <w:shd w:val="clear" w:color="auto" w:fill="auto"/>
            <w:vAlign w:val="center"/>
          </w:tcPr>
          <w:p w14:paraId="28C3FD8A">
            <w:pPr>
              <w:snapToGrid w:val="0"/>
              <w:jc w:val="left"/>
              <w:rPr>
                <w:rFonts w:hint="eastAsia" w:ascii="宋体" w:hAnsi="宋体" w:eastAsia="宋体" w:cs="宋体"/>
                <w:szCs w:val="21"/>
              </w:rPr>
            </w:pPr>
          </w:p>
        </w:tc>
      </w:tr>
      <w:tr w14:paraId="4ECB2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3" w:type="pct"/>
            <w:tcBorders>
              <w:top w:val="single" w:color="auto" w:sz="4" w:space="0"/>
              <w:bottom w:val="single" w:color="auto" w:sz="4" w:space="0"/>
              <w:right w:val="single" w:color="auto" w:sz="4" w:space="0"/>
            </w:tcBorders>
            <w:vAlign w:val="center"/>
          </w:tcPr>
          <w:p w14:paraId="4006F27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929" w:type="dxa"/>
            <w:tcBorders>
              <w:top w:val="single" w:color="auto" w:sz="4" w:space="0"/>
              <w:left w:val="single" w:color="auto" w:sz="4" w:space="0"/>
              <w:bottom w:val="single" w:color="auto" w:sz="4" w:space="0"/>
              <w:right w:val="single" w:color="auto" w:sz="4" w:space="0"/>
            </w:tcBorders>
            <w:vAlign w:val="center"/>
          </w:tcPr>
          <w:p w14:paraId="2B5BC50C">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手提式干粉灭火器</w:t>
            </w:r>
          </w:p>
        </w:tc>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24802DB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金晟安、桂安、唐安</w:t>
            </w:r>
          </w:p>
        </w:tc>
        <w:tc>
          <w:tcPr>
            <w:tcW w:w="4609" w:type="dxa"/>
            <w:tcBorders>
              <w:top w:val="single" w:color="auto" w:sz="4" w:space="0"/>
              <w:left w:val="single" w:color="auto" w:sz="4" w:space="0"/>
              <w:bottom w:val="single" w:color="auto" w:sz="4" w:space="0"/>
              <w:right w:val="single" w:color="auto" w:sz="4" w:space="0"/>
            </w:tcBorders>
            <w:vAlign w:val="center"/>
          </w:tcPr>
          <w:p w14:paraId="4EA82ACE">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国标（GB 4351-2023），ABC型干粉灭火器，4公斤，3C认证</w:t>
            </w:r>
          </w:p>
        </w:tc>
        <w:tc>
          <w:tcPr>
            <w:tcW w:w="548" w:type="dxa"/>
            <w:tcBorders>
              <w:top w:val="single" w:color="auto" w:sz="4" w:space="0"/>
              <w:left w:val="single" w:color="auto" w:sz="4" w:space="0"/>
              <w:bottom w:val="single" w:color="auto" w:sz="4" w:space="0"/>
              <w:right w:val="single" w:color="auto" w:sz="4" w:space="0"/>
            </w:tcBorders>
            <w:vAlign w:val="center"/>
          </w:tcPr>
          <w:p w14:paraId="4E593C97">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490" w:type="dxa"/>
            <w:tcBorders>
              <w:top w:val="single" w:color="auto" w:sz="4" w:space="0"/>
              <w:left w:val="single" w:color="auto" w:sz="4" w:space="0"/>
              <w:bottom w:val="single" w:color="auto" w:sz="4" w:space="0"/>
              <w:right w:val="single" w:color="auto" w:sz="4" w:space="0"/>
            </w:tcBorders>
            <w:vAlign w:val="center"/>
          </w:tcPr>
          <w:p w14:paraId="463CC35E">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379" w:type="pct"/>
            <w:tcBorders>
              <w:top w:val="single" w:color="auto" w:sz="4" w:space="0"/>
              <w:left w:val="single" w:color="auto" w:sz="4" w:space="0"/>
              <w:bottom w:val="single" w:color="auto" w:sz="4" w:space="0"/>
            </w:tcBorders>
            <w:vAlign w:val="center"/>
          </w:tcPr>
          <w:p w14:paraId="357AE628">
            <w:pPr>
              <w:snapToGrid w:val="0"/>
              <w:jc w:val="center"/>
              <w:rPr>
                <w:rFonts w:hint="eastAsia" w:ascii="宋体" w:hAnsi="宋体" w:eastAsia="宋体" w:cs="宋体"/>
                <w:szCs w:val="21"/>
              </w:rPr>
            </w:pPr>
          </w:p>
        </w:tc>
        <w:tc>
          <w:tcPr>
            <w:tcW w:w="489" w:type="pct"/>
            <w:tcBorders>
              <w:top w:val="single" w:color="auto" w:sz="4" w:space="0"/>
              <w:left w:val="single" w:color="auto" w:sz="4" w:space="0"/>
              <w:bottom w:val="single" w:color="auto" w:sz="4" w:space="0"/>
            </w:tcBorders>
            <w:vAlign w:val="center"/>
          </w:tcPr>
          <w:p w14:paraId="33B09B1F">
            <w:pPr>
              <w:snapToGrid w:val="0"/>
              <w:jc w:val="center"/>
              <w:rPr>
                <w:rFonts w:hint="eastAsia" w:ascii="宋体" w:hAnsi="宋体" w:eastAsia="宋体" w:cs="宋体"/>
                <w:szCs w:val="21"/>
              </w:rPr>
            </w:pPr>
          </w:p>
        </w:tc>
        <w:tc>
          <w:tcPr>
            <w:tcW w:w="285" w:type="pct"/>
            <w:tcBorders>
              <w:top w:val="single" w:color="auto" w:sz="4" w:space="0"/>
              <w:left w:val="single" w:color="auto" w:sz="4" w:space="0"/>
              <w:bottom w:val="single" w:color="auto" w:sz="4" w:space="0"/>
            </w:tcBorders>
            <w:shd w:val="clear" w:color="auto" w:fill="auto"/>
            <w:vAlign w:val="center"/>
          </w:tcPr>
          <w:p w14:paraId="794FA1C3">
            <w:pPr>
              <w:snapToGrid w:val="0"/>
              <w:jc w:val="left"/>
              <w:rPr>
                <w:rFonts w:hint="eastAsia" w:ascii="宋体" w:hAnsi="宋体" w:eastAsia="宋体" w:cs="宋体"/>
                <w:szCs w:val="21"/>
              </w:rPr>
            </w:pPr>
          </w:p>
        </w:tc>
        <w:tc>
          <w:tcPr>
            <w:tcW w:w="290" w:type="pct"/>
            <w:tcBorders>
              <w:top w:val="single" w:color="auto" w:sz="4" w:space="0"/>
              <w:left w:val="single" w:color="auto" w:sz="4" w:space="0"/>
              <w:bottom w:val="single" w:color="auto" w:sz="4" w:space="0"/>
            </w:tcBorders>
            <w:shd w:val="clear" w:color="auto" w:fill="auto"/>
            <w:vAlign w:val="center"/>
          </w:tcPr>
          <w:p w14:paraId="6D7EAB48">
            <w:pPr>
              <w:snapToGrid w:val="0"/>
              <w:jc w:val="left"/>
              <w:rPr>
                <w:rFonts w:hint="eastAsia" w:ascii="宋体" w:hAnsi="宋体" w:eastAsia="宋体" w:cs="宋体"/>
                <w:szCs w:val="21"/>
              </w:rPr>
            </w:pPr>
          </w:p>
        </w:tc>
      </w:tr>
      <w:tr w14:paraId="7284A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3" w:type="pct"/>
            <w:tcBorders>
              <w:top w:val="single" w:color="auto" w:sz="4" w:space="0"/>
              <w:bottom w:val="single" w:color="auto" w:sz="4" w:space="0"/>
              <w:right w:val="single" w:color="auto" w:sz="4" w:space="0"/>
            </w:tcBorders>
            <w:vAlign w:val="center"/>
          </w:tcPr>
          <w:p w14:paraId="1AD9883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929" w:type="dxa"/>
            <w:tcBorders>
              <w:top w:val="single" w:color="auto" w:sz="4" w:space="0"/>
              <w:left w:val="single" w:color="auto" w:sz="4" w:space="0"/>
              <w:bottom w:val="single" w:color="auto" w:sz="4" w:space="0"/>
              <w:right w:val="single" w:color="auto" w:sz="4" w:space="0"/>
            </w:tcBorders>
            <w:vAlign w:val="center"/>
          </w:tcPr>
          <w:p w14:paraId="75B4CA3E">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手提式二氧化碳灭火器</w:t>
            </w:r>
          </w:p>
        </w:tc>
        <w:tc>
          <w:tcPr>
            <w:tcW w:w="1947" w:type="dxa"/>
            <w:tcBorders>
              <w:top w:val="single" w:color="auto" w:sz="4" w:space="0"/>
              <w:left w:val="single" w:color="auto" w:sz="4" w:space="0"/>
              <w:bottom w:val="single" w:color="auto" w:sz="4" w:space="0"/>
              <w:right w:val="single" w:color="auto" w:sz="4" w:space="0"/>
            </w:tcBorders>
            <w:vAlign w:val="center"/>
          </w:tcPr>
          <w:p w14:paraId="1A90AC9B">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联塑、广东浙安、鸣宇</w:t>
            </w:r>
          </w:p>
        </w:tc>
        <w:tc>
          <w:tcPr>
            <w:tcW w:w="4609" w:type="dxa"/>
            <w:tcBorders>
              <w:top w:val="single" w:color="auto" w:sz="4" w:space="0"/>
              <w:left w:val="single" w:color="auto" w:sz="4" w:space="0"/>
              <w:bottom w:val="single" w:color="auto" w:sz="4" w:space="0"/>
              <w:right w:val="single" w:color="auto" w:sz="4" w:space="0"/>
            </w:tcBorders>
            <w:vAlign w:val="center"/>
          </w:tcPr>
          <w:p w14:paraId="0F795501">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国标（GB 4351-2023），二氧化碳 3公斤，3C认证</w:t>
            </w:r>
          </w:p>
        </w:tc>
        <w:tc>
          <w:tcPr>
            <w:tcW w:w="548" w:type="dxa"/>
            <w:tcBorders>
              <w:top w:val="single" w:color="auto" w:sz="4" w:space="0"/>
              <w:left w:val="single" w:color="auto" w:sz="4" w:space="0"/>
              <w:bottom w:val="single" w:color="auto" w:sz="4" w:space="0"/>
              <w:right w:val="single" w:color="auto" w:sz="4" w:space="0"/>
            </w:tcBorders>
            <w:vAlign w:val="center"/>
          </w:tcPr>
          <w:p w14:paraId="22C66648">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490" w:type="dxa"/>
            <w:tcBorders>
              <w:top w:val="single" w:color="auto" w:sz="4" w:space="0"/>
              <w:left w:val="single" w:color="auto" w:sz="4" w:space="0"/>
              <w:bottom w:val="single" w:color="auto" w:sz="4" w:space="0"/>
              <w:right w:val="single" w:color="auto" w:sz="4" w:space="0"/>
            </w:tcBorders>
            <w:vAlign w:val="center"/>
          </w:tcPr>
          <w:p w14:paraId="338B69D9">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379" w:type="pct"/>
            <w:tcBorders>
              <w:top w:val="single" w:color="auto" w:sz="4" w:space="0"/>
              <w:left w:val="single" w:color="auto" w:sz="4" w:space="0"/>
              <w:bottom w:val="single" w:color="auto" w:sz="4" w:space="0"/>
            </w:tcBorders>
            <w:vAlign w:val="center"/>
          </w:tcPr>
          <w:p w14:paraId="6C0731B4">
            <w:pPr>
              <w:snapToGrid w:val="0"/>
              <w:jc w:val="center"/>
              <w:rPr>
                <w:rFonts w:hint="eastAsia" w:ascii="宋体" w:hAnsi="宋体" w:eastAsia="宋体" w:cs="宋体"/>
                <w:szCs w:val="21"/>
              </w:rPr>
            </w:pPr>
          </w:p>
        </w:tc>
        <w:tc>
          <w:tcPr>
            <w:tcW w:w="489" w:type="pct"/>
            <w:tcBorders>
              <w:top w:val="single" w:color="auto" w:sz="4" w:space="0"/>
              <w:left w:val="single" w:color="auto" w:sz="4" w:space="0"/>
              <w:bottom w:val="single" w:color="auto" w:sz="4" w:space="0"/>
            </w:tcBorders>
            <w:vAlign w:val="center"/>
          </w:tcPr>
          <w:p w14:paraId="478E2EB8">
            <w:pPr>
              <w:snapToGrid w:val="0"/>
              <w:jc w:val="center"/>
              <w:rPr>
                <w:rFonts w:hint="eastAsia" w:ascii="宋体" w:hAnsi="宋体" w:eastAsia="宋体" w:cs="宋体"/>
                <w:szCs w:val="21"/>
              </w:rPr>
            </w:pPr>
          </w:p>
        </w:tc>
        <w:tc>
          <w:tcPr>
            <w:tcW w:w="285" w:type="pct"/>
            <w:tcBorders>
              <w:top w:val="single" w:color="auto" w:sz="4" w:space="0"/>
              <w:left w:val="single" w:color="auto" w:sz="4" w:space="0"/>
              <w:bottom w:val="single" w:color="auto" w:sz="4" w:space="0"/>
            </w:tcBorders>
            <w:shd w:val="clear" w:color="auto" w:fill="auto"/>
            <w:vAlign w:val="center"/>
          </w:tcPr>
          <w:p w14:paraId="51130F36">
            <w:pPr>
              <w:snapToGrid w:val="0"/>
              <w:jc w:val="left"/>
              <w:rPr>
                <w:rFonts w:hint="eastAsia" w:ascii="宋体" w:hAnsi="宋体" w:eastAsia="宋体" w:cs="宋体"/>
                <w:szCs w:val="21"/>
              </w:rPr>
            </w:pPr>
          </w:p>
        </w:tc>
        <w:tc>
          <w:tcPr>
            <w:tcW w:w="290" w:type="pct"/>
            <w:tcBorders>
              <w:top w:val="single" w:color="auto" w:sz="4" w:space="0"/>
              <w:left w:val="single" w:color="auto" w:sz="4" w:space="0"/>
              <w:bottom w:val="single" w:color="auto" w:sz="4" w:space="0"/>
            </w:tcBorders>
            <w:shd w:val="clear" w:color="auto" w:fill="auto"/>
            <w:vAlign w:val="center"/>
          </w:tcPr>
          <w:p w14:paraId="181E763C">
            <w:pPr>
              <w:snapToGrid w:val="0"/>
              <w:jc w:val="left"/>
              <w:rPr>
                <w:rFonts w:hint="eastAsia" w:ascii="宋体" w:hAnsi="宋体" w:eastAsia="宋体" w:cs="宋体"/>
                <w:szCs w:val="21"/>
              </w:rPr>
            </w:pPr>
          </w:p>
        </w:tc>
      </w:tr>
      <w:tr w14:paraId="5FCDA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3" w:type="pct"/>
            <w:tcBorders>
              <w:top w:val="single" w:color="auto" w:sz="4" w:space="0"/>
              <w:bottom w:val="single" w:color="auto" w:sz="4" w:space="0"/>
              <w:right w:val="single" w:color="auto" w:sz="4" w:space="0"/>
            </w:tcBorders>
            <w:vAlign w:val="center"/>
          </w:tcPr>
          <w:p w14:paraId="4184D7B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929" w:type="dxa"/>
            <w:tcBorders>
              <w:top w:val="single" w:color="auto" w:sz="4" w:space="0"/>
              <w:left w:val="single" w:color="auto" w:sz="4" w:space="0"/>
              <w:bottom w:val="single" w:color="auto" w:sz="4" w:space="0"/>
              <w:right w:val="single" w:color="auto" w:sz="4" w:space="0"/>
            </w:tcBorders>
            <w:vAlign w:val="center"/>
          </w:tcPr>
          <w:p w14:paraId="1D76B337">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灭火器箱</w:t>
            </w:r>
          </w:p>
        </w:tc>
        <w:tc>
          <w:tcPr>
            <w:tcW w:w="1947" w:type="dxa"/>
            <w:tcBorders>
              <w:top w:val="single" w:color="auto" w:sz="4" w:space="0"/>
              <w:left w:val="single" w:color="auto" w:sz="4" w:space="0"/>
              <w:bottom w:val="single" w:color="auto" w:sz="4" w:space="0"/>
              <w:right w:val="single" w:color="auto" w:sz="4" w:space="0"/>
            </w:tcBorders>
            <w:vAlign w:val="center"/>
          </w:tcPr>
          <w:p w14:paraId="2DDEEF7B">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天正安、淘亿盾、沐哲希</w:t>
            </w:r>
          </w:p>
        </w:tc>
        <w:tc>
          <w:tcPr>
            <w:tcW w:w="4609" w:type="dxa"/>
            <w:tcBorders>
              <w:top w:val="single" w:color="auto" w:sz="4" w:space="0"/>
              <w:left w:val="single" w:color="auto" w:sz="4" w:space="0"/>
              <w:bottom w:val="single" w:color="auto" w:sz="4" w:space="0"/>
              <w:right w:val="single" w:color="auto" w:sz="4" w:space="0"/>
            </w:tcBorders>
            <w:vAlign w:val="center"/>
          </w:tcPr>
          <w:p w14:paraId="654C3EFA">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国标，材质：厚度≥1mm，碳钢，灭火器容量2只装，3C认证</w:t>
            </w:r>
          </w:p>
        </w:tc>
        <w:tc>
          <w:tcPr>
            <w:tcW w:w="548" w:type="dxa"/>
            <w:tcBorders>
              <w:top w:val="single" w:color="auto" w:sz="4" w:space="0"/>
              <w:left w:val="single" w:color="auto" w:sz="4" w:space="0"/>
              <w:bottom w:val="single" w:color="auto" w:sz="4" w:space="0"/>
              <w:right w:val="single" w:color="auto" w:sz="4" w:space="0"/>
            </w:tcBorders>
            <w:vAlign w:val="center"/>
          </w:tcPr>
          <w:p w14:paraId="6AA92CF7">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300</w:t>
            </w:r>
          </w:p>
        </w:tc>
        <w:tc>
          <w:tcPr>
            <w:tcW w:w="490" w:type="dxa"/>
            <w:tcBorders>
              <w:top w:val="single" w:color="auto" w:sz="4" w:space="0"/>
              <w:left w:val="single" w:color="auto" w:sz="4" w:space="0"/>
              <w:bottom w:val="single" w:color="auto" w:sz="4" w:space="0"/>
              <w:right w:val="single" w:color="auto" w:sz="4" w:space="0"/>
            </w:tcBorders>
            <w:vAlign w:val="center"/>
          </w:tcPr>
          <w:p w14:paraId="03504A8F">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379" w:type="pct"/>
            <w:tcBorders>
              <w:top w:val="single" w:color="auto" w:sz="4" w:space="0"/>
              <w:left w:val="single" w:color="auto" w:sz="4" w:space="0"/>
              <w:bottom w:val="single" w:color="auto" w:sz="4" w:space="0"/>
            </w:tcBorders>
            <w:vAlign w:val="center"/>
          </w:tcPr>
          <w:p w14:paraId="1C10D360">
            <w:pPr>
              <w:snapToGrid w:val="0"/>
              <w:jc w:val="center"/>
              <w:rPr>
                <w:rFonts w:hint="eastAsia" w:ascii="宋体" w:hAnsi="宋体" w:eastAsia="宋体" w:cs="宋体"/>
                <w:szCs w:val="21"/>
              </w:rPr>
            </w:pPr>
          </w:p>
        </w:tc>
        <w:tc>
          <w:tcPr>
            <w:tcW w:w="489" w:type="pct"/>
            <w:tcBorders>
              <w:top w:val="single" w:color="auto" w:sz="4" w:space="0"/>
              <w:left w:val="single" w:color="auto" w:sz="4" w:space="0"/>
              <w:bottom w:val="single" w:color="auto" w:sz="4" w:space="0"/>
            </w:tcBorders>
            <w:vAlign w:val="center"/>
          </w:tcPr>
          <w:p w14:paraId="1279EA11">
            <w:pPr>
              <w:snapToGrid w:val="0"/>
              <w:jc w:val="center"/>
              <w:rPr>
                <w:rFonts w:hint="eastAsia" w:ascii="宋体" w:hAnsi="宋体" w:eastAsia="宋体" w:cs="宋体"/>
                <w:szCs w:val="21"/>
              </w:rPr>
            </w:pPr>
          </w:p>
        </w:tc>
        <w:tc>
          <w:tcPr>
            <w:tcW w:w="285" w:type="pct"/>
            <w:tcBorders>
              <w:top w:val="single" w:color="auto" w:sz="4" w:space="0"/>
              <w:left w:val="single" w:color="auto" w:sz="4" w:space="0"/>
              <w:bottom w:val="single" w:color="auto" w:sz="4" w:space="0"/>
            </w:tcBorders>
            <w:shd w:val="clear" w:color="auto" w:fill="auto"/>
            <w:vAlign w:val="center"/>
          </w:tcPr>
          <w:p w14:paraId="5253684E">
            <w:pPr>
              <w:snapToGrid w:val="0"/>
              <w:jc w:val="left"/>
              <w:rPr>
                <w:rFonts w:hint="eastAsia" w:ascii="宋体" w:hAnsi="宋体" w:eastAsia="宋体" w:cs="宋体"/>
                <w:szCs w:val="21"/>
              </w:rPr>
            </w:pPr>
          </w:p>
        </w:tc>
        <w:tc>
          <w:tcPr>
            <w:tcW w:w="290" w:type="pct"/>
            <w:tcBorders>
              <w:top w:val="single" w:color="auto" w:sz="4" w:space="0"/>
              <w:left w:val="single" w:color="auto" w:sz="4" w:space="0"/>
              <w:bottom w:val="single" w:color="auto" w:sz="4" w:space="0"/>
            </w:tcBorders>
            <w:shd w:val="clear" w:color="auto" w:fill="auto"/>
            <w:vAlign w:val="center"/>
          </w:tcPr>
          <w:p w14:paraId="3AB13402">
            <w:pPr>
              <w:snapToGrid w:val="0"/>
              <w:jc w:val="left"/>
              <w:rPr>
                <w:rFonts w:hint="eastAsia" w:ascii="宋体" w:hAnsi="宋体" w:eastAsia="宋体" w:cs="宋体"/>
                <w:szCs w:val="21"/>
              </w:rPr>
            </w:pPr>
          </w:p>
        </w:tc>
      </w:tr>
      <w:tr w14:paraId="33D96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3" w:type="pct"/>
            <w:tcBorders>
              <w:top w:val="single" w:color="auto" w:sz="4" w:space="0"/>
              <w:bottom w:val="single" w:color="auto" w:sz="4" w:space="0"/>
              <w:right w:val="single" w:color="auto" w:sz="4" w:space="0"/>
            </w:tcBorders>
            <w:vAlign w:val="center"/>
          </w:tcPr>
          <w:p w14:paraId="46CAAA59">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1929" w:type="dxa"/>
            <w:tcBorders>
              <w:top w:val="single" w:color="auto" w:sz="4" w:space="0"/>
              <w:left w:val="single" w:color="auto" w:sz="4" w:space="0"/>
              <w:bottom w:val="single" w:color="auto" w:sz="4" w:space="0"/>
              <w:right w:val="single" w:color="auto" w:sz="4" w:space="0"/>
            </w:tcBorders>
            <w:vAlign w:val="center"/>
          </w:tcPr>
          <w:p w14:paraId="50CE6F86">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消防水带</w:t>
            </w:r>
          </w:p>
        </w:tc>
        <w:tc>
          <w:tcPr>
            <w:tcW w:w="1947" w:type="dxa"/>
            <w:tcBorders>
              <w:top w:val="single" w:color="auto" w:sz="4" w:space="0"/>
              <w:left w:val="single" w:color="auto" w:sz="4" w:space="0"/>
              <w:bottom w:val="single" w:color="auto" w:sz="4" w:space="0"/>
              <w:right w:val="single" w:color="auto" w:sz="4" w:space="0"/>
            </w:tcBorders>
            <w:vAlign w:val="center"/>
          </w:tcPr>
          <w:p w14:paraId="409CE308">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祥雨、</w:t>
            </w:r>
            <w:r>
              <w:rPr>
                <w:rFonts w:hint="eastAsia" w:ascii="宋体" w:hAnsi="宋体" w:cs="宋体"/>
                <w:i w:val="0"/>
                <w:iCs w:val="0"/>
                <w:color w:val="000000"/>
                <w:kern w:val="0"/>
                <w:sz w:val="24"/>
                <w:szCs w:val="24"/>
                <w:u w:val="none"/>
                <w:lang w:val="en-US" w:eastAsia="zh-CN" w:bidi="ar"/>
              </w:rPr>
              <w:t>沱雨、永安</w:t>
            </w:r>
          </w:p>
        </w:tc>
        <w:tc>
          <w:tcPr>
            <w:tcW w:w="4609" w:type="dxa"/>
            <w:tcBorders>
              <w:top w:val="single" w:color="auto" w:sz="4" w:space="0"/>
              <w:left w:val="single" w:color="auto" w:sz="4" w:space="0"/>
              <w:bottom w:val="single" w:color="auto" w:sz="4" w:space="0"/>
              <w:right w:val="single" w:color="auto" w:sz="4" w:space="0"/>
            </w:tcBorders>
            <w:vAlign w:val="center"/>
          </w:tcPr>
          <w:p w14:paraId="0CA087D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国标，型号规格：10-65-20  涤纶长丝/涤纶长丝-合成橡胶，含内扣式接口</w:t>
            </w:r>
          </w:p>
          <w:p w14:paraId="34080844">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经线材质、型号、股数、总经根数: 纶长丝、1000D、1股、500根；纬线材质、型号、股数：涤纶长丝、840D、4股；编织层编织方法：斜纹图织；合成橡胶衬里型号规格：LSR005或同等档次的；衬里单层厚度：≥0.35mm；设计工作压力：不低于1.0MPa；</w:t>
            </w:r>
          </w:p>
        </w:tc>
        <w:tc>
          <w:tcPr>
            <w:tcW w:w="548" w:type="dxa"/>
            <w:tcBorders>
              <w:top w:val="single" w:color="auto" w:sz="4" w:space="0"/>
              <w:left w:val="single" w:color="auto" w:sz="4" w:space="0"/>
              <w:bottom w:val="single" w:color="auto" w:sz="4" w:space="0"/>
              <w:right w:val="single" w:color="auto" w:sz="4" w:space="0"/>
            </w:tcBorders>
            <w:vAlign w:val="center"/>
          </w:tcPr>
          <w:p w14:paraId="05843F2E">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80</w:t>
            </w:r>
          </w:p>
        </w:tc>
        <w:tc>
          <w:tcPr>
            <w:tcW w:w="490" w:type="dxa"/>
            <w:tcBorders>
              <w:top w:val="single" w:color="auto" w:sz="4" w:space="0"/>
              <w:left w:val="single" w:color="auto" w:sz="4" w:space="0"/>
              <w:bottom w:val="single" w:color="auto" w:sz="4" w:space="0"/>
              <w:right w:val="single" w:color="auto" w:sz="4" w:space="0"/>
            </w:tcBorders>
            <w:vAlign w:val="center"/>
          </w:tcPr>
          <w:p w14:paraId="61C7EFF5">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条</w:t>
            </w:r>
          </w:p>
        </w:tc>
        <w:tc>
          <w:tcPr>
            <w:tcW w:w="379" w:type="pct"/>
            <w:tcBorders>
              <w:top w:val="single" w:color="auto" w:sz="4" w:space="0"/>
              <w:left w:val="single" w:color="auto" w:sz="4" w:space="0"/>
              <w:bottom w:val="single" w:color="auto" w:sz="4" w:space="0"/>
            </w:tcBorders>
            <w:vAlign w:val="center"/>
          </w:tcPr>
          <w:p w14:paraId="10F2690E">
            <w:pPr>
              <w:snapToGrid w:val="0"/>
              <w:jc w:val="center"/>
              <w:rPr>
                <w:rFonts w:hint="eastAsia" w:ascii="宋体" w:hAnsi="宋体" w:eastAsia="宋体" w:cs="宋体"/>
                <w:szCs w:val="21"/>
              </w:rPr>
            </w:pPr>
          </w:p>
        </w:tc>
        <w:tc>
          <w:tcPr>
            <w:tcW w:w="489" w:type="pct"/>
            <w:tcBorders>
              <w:top w:val="single" w:color="auto" w:sz="4" w:space="0"/>
              <w:left w:val="single" w:color="auto" w:sz="4" w:space="0"/>
              <w:bottom w:val="single" w:color="auto" w:sz="4" w:space="0"/>
            </w:tcBorders>
            <w:vAlign w:val="center"/>
          </w:tcPr>
          <w:p w14:paraId="1A8D969A">
            <w:pPr>
              <w:snapToGrid w:val="0"/>
              <w:jc w:val="center"/>
              <w:rPr>
                <w:rFonts w:hint="eastAsia" w:ascii="宋体" w:hAnsi="宋体" w:eastAsia="宋体" w:cs="宋体"/>
                <w:szCs w:val="21"/>
              </w:rPr>
            </w:pPr>
          </w:p>
        </w:tc>
        <w:tc>
          <w:tcPr>
            <w:tcW w:w="285" w:type="pct"/>
            <w:tcBorders>
              <w:top w:val="single" w:color="auto" w:sz="4" w:space="0"/>
              <w:left w:val="single" w:color="auto" w:sz="4" w:space="0"/>
              <w:bottom w:val="single" w:color="auto" w:sz="4" w:space="0"/>
            </w:tcBorders>
            <w:shd w:val="clear" w:color="auto" w:fill="auto"/>
            <w:vAlign w:val="center"/>
          </w:tcPr>
          <w:p w14:paraId="16A922B2">
            <w:pPr>
              <w:snapToGrid w:val="0"/>
              <w:jc w:val="left"/>
              <w:rPr>
                <w:rFonts w:hint="eastAsia" w:ascii="宋体" w:hAnsi="宋体" w:eastAsia="宋体" w:cs="宋体"/>
                <w:szCs w:val="21"/>
              </w:rPr>
            </w:pPr>
          </w:p>
        </w:tc>
        <w:tc>
          <w:tcPr>
            <w:tcW w:w="290" w:type="pct"/>
            <w:tcBorders>
              <w:top w:val="single" w:color="auto" w:sz="4" w:space="0"/>
              <w:left w:val="single" w:color="auto" w:sz="4" w:space="0"/>
              <w:bottom w:val="single" w:color="auto" w:sz="4" w:space="0"/>
            </w:tcBorders>
            <w:shd w:val="clear" w:color="auto" w:fill="auto"/>
            <w:vAlign w:val="center"/>
          </w:tcPr>
          <w:p w14:paraId="790521BA">
            <w:pPr>
              <w:snapToGrid w:val="0"/>
              <w:jc w:val="left"/>
              <w:rPr>
                <w:rFonts w:hint="eastAsia" w:ascii="宋体" w:hAnsi="宋体" w:eastAsia="宋体" w:cs="宋体"/>
                <w:szCs w:val="21"/>
              </w:rPr>
            </w:pPr>
          </w:p>
        </w:tc>
      </w:tr>
      <w:tr w14:paraId="55EA7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3" w:type="pct"/>
            <w:tcBorders>
              <w:top w:val="single" w:color="auto" w:sz="4" w:space="0"/>
              <w:bottom w:val="single" w:color="auto" w:sz="4" w:space="0"/>
              <w:right w:val="single" w:color="auto" w:sz="4" w:space="0"/>
            </w:tcBorders>
            <w:vAlign w:val="center"/>
          </w:tcPr>
          <w:p w14:paraId="240B370C">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6</w:t>
            </w:r>
          </w:p>
        </w:tc>
        <w:tc>
          <w:tcPr>
            <w:tcW w:w="1929" w:type="dxa"/>
            <w:tcBorders>
              <w:top w:val="single" w:color="auto" w:sz="4" w:space="0"/>
              <w:left w:val="single" w:color="auto" w:sz="4" w:space="0"/>
              <w:bottom w:val="single" w:color="auto" w:sz="4" w:space="0"/>
              <w:right w:val="single" w:color="auto" w:sz="4" w:space="0"/>
            </w:tcBorders>
            <w:vAlign w:val="center"/>
          </w:tcPr>
          <w:p w14:paraId="39DEA405">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消防栓门</w:t>
            </w:r>
          </w:p>
        </w:tc>
        <w:tc>
          <w:tcPr>
            <w:tcW w:w="1947" w:type="dxa"/>
            <w:tcBorders>
              <w:top w:val="single" w:color="auto" w:sz="4" w:space="0"/>
              <w:left w:val="single" w:color="auto" w:sz="4" w:space="0"/>
              <w:bottom w:val="single" w:color="auto" w:sz="4" w:space="0"/>
              <w:right w:val="single" w:color="auto" w:sz="4" w:space="0"/>
            </w:tcBorders>
            <w:vAlign w:val="center"/>
          </w:tcPr>
          <w:p w14:paraId="4514323F">
            <w:pPr>
              <w:jc w:val="left"/>
              <w:rPr>
                <w:rFonts w:hint="eastAsia" w:ascii="宋体" w:hAnsi="宋体" w:eastAsia="宋体" w:cs="宋体"/>
                <w:szCs w:val="21"/>
              </w:rPr>
            </w:pPr>
          </w:p>
        </w:tc>
        <w:tc>
          <w:tcPr>
            <w:tcW w:w="4609" w:type="dxa"/>
            <w:tcBorders>
              <w:top w:val="single" w:color="auto" w:sz="4" w:space="0"/>
              <w:left w:val="single" w:color="auto" w:sz="4" w:space="0"/>
              <w:bottom w:val="single" w:color="auto" w:sz="4" w:space="0"/>
              <w:right w:val="single" w:color="auto" w:sz="4" w:space="0"/>
            </w:tcBorders>
            <w:vAlign w:val="center"/>
          </w:tcPr>
          <w:p w14:paraId="68194D7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常规尺寸，门框材质为铝合金，厚度不小于1mm，面板材质为玻璃</w:t>
            </w:r>
          </w:p>
          <w:p w14:paraId="797F8422">
            <w:pPr>
              <w:keepNext w:val="0"/>
              <w:keepLines w:val="0"/>
              <w:widowControl/>
              <w:suppressLineNumbers w:val="0"/>
              <w:jc w:val="left"/>
              <w:textAlignment w:val="center"/>
              <w:rPr>
                <w:rFonts w:hint="eastAsia" w:ascii="宋体" w:hAnsi="宋体" w:eastAsia="宋体" w:cs="宋体"/>
                <w:szCs w:val="21"/>
              </w:rPr>
            </w:pPr>
          </w:p>
        </w:tc>
        <w:tc>
          <w:tcPr>
            <w:tcW w:w="548" w:type="dxa"/>
            <w:tcBorders>
              <w:top w:val="single" w:color="auto" w:sz="4" w:space="0"/>
              <w:left w:val="single" w:color="auto" w:sz="4" w:space="0"/>
              <w:bottom w:val="single" w:color="auto" w:sz="4" w:space="0"/>
              <w:right w:val="single" w:color="auto" w:sz="4" w:space="0"/>
            </w:tcBorders>
            <w:vAlign w:val="center"/>
          </w:tcPr>
          <w:p w14:paraId="17E7F27A">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490" w:type="dxa"/>
            <w:tcBorders>
              <w:top w:val="single" w:color="auto" w:sz="4" w:space="0"/>
              <w:left w:val="single" w:color="auto" w:sz="4" w:space="0"/>
              <w:bottom w:val="single" w:color="auto" w:sz="4" w:space="0"/>
              <w:right w:val="single" w:color="auto" w:sz="4" w:space="0"/>
            </w:tcBorders>
            <w:vAlign w:val="center"/>
          </w:tcPr>
          <w:p w14:paraId="72618663">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扇</w:t>
            </w:r>
          </w:p>
        </w:tc>
        <w:tc>
          <w:tcPr>
            <w:tcW w:w="379" w:type="pct"/>
            <w:tcBorders>
              <w:top w:val="single" w:color="auto" w:sz="4" w:space="0"/>
              <w:left w:val="single" w:color="auto" w:sz="4" w:space="0"/>
              <w:bottom w:val="single" w:color="auto" w:sz="4" w:space="0"/>
            </w:tcBorders>
            <w:vAlign w:val="center"/>
          </w:tcPr>
          <w:p w14:paraId="5E04A2DF">
            <w:pPr>
              <w:snapToGrid w:val="0"/>
              <w:jc w:val="center"/>
              <w:rPr>
                <w:rFonts w:hint="eastAsia" w:ascii="宋体" w:hAnsi="宋体" w:eastAsia="宋体" w:cs="宋体"/>
                <w:szCs w:val="21"/>
              </w:rPr>
            </w:pPr>
          </w:p>
        </w:tc>
        <w:tc>
          <w:tcPr>
            <w:tcW w:w="489" w:type="pct"/>
            <w:tcBorders>
              <w:top w:val="single" w:color="auto" w:sz="4" w:space="0"/>
              <w:left w:val="single" w:color="auto" w:sz="4" w:space="0"/>
              <w:bottom w:val="single" w:color="auto" w:sz="4" w:space="0"/>
            </w:tcBorders>
            <w:vAlign w:val="center"/>
          </w:tcPr>
          <w:p w14:paraId="72F715E4">
            <w:pPr>
              <w:snapToGrid w:val="0"/>
              <w:jc w:val="center"/>
              <w:rPr>
                <w:rFonts w:hint="eastAsia" w:ascii="宋体" w:hAnsi="宋体" w:eastAsia="宋体" w:cs="宋体"/>
                <w:szCs w:val="21"/>
              </w:rPr>
            </w:pPr>
          </w:p>
        </w:tc>
        <w:tc>
          <w:tcPr>
            <w:tcW w:w="285" w:type="pct"/>
            <w:tcBorders>
              <w:top w:val="single" w:color="auto" w:sz="4" w:space="0"/>
              <w:left w:val="single" w:color="auto" w:sz="4" w:space="0"/>
              <w:bottom w:val="single" w:color="auto" w:sz="4" w:space="0"/>
            </w:tcBorders>
            <w:shd w:val="clear" w:color="auto" w:fill="auto"/>
            <w:vAlign w:val="center"/>
          </w:tcPr>
          <w:p w14:paraId="3B2FC83B">
            <w:pPr>
              <w:snapToGrid w:val="0"/>
              <w:jc w:val="left"/>
              <w:rPr>
                <w:rFonts w:hint="eastAsia" w:ascii="宋体" w:hAnsi="宋体" w:eastAsia="宋体" w:cs="宋体"/>
                <w:szCs w:val="21"/>
              </w:rPr>
            </w:pPr>
          </w:p>
        </w:tc>
        <w:tc>
          <w:tcPr>
            <w:tcW w:w="290" w:type="pct"/>
            <w:tcBorders>
              <w:top w:val="single" w:color="auto" w:sz="4" w:space="0"/>
              <w:left w:val="single" w:color="auto" w:sz="4" w:space="0"/>
              <w:bottom w:val="single" w:color="auto" w:sz="4" w:space="0"/>
            </w:tcBorders>
            <w:shd w:val="clear" w:color="auto" w:fill="auto"/>
            <w:vAlign w:val="center"/>
          </w:tcPr>
          <w:p w14:paraId="7105E88D">
            <w:pPr>
              <w:snapToGrid w:val="0"/>
              <w:jc w:val="left"/>
              <w:rPr>
                <w:rFonts w:hint="eastAsia" w:ascii="宋体" w:hAnsi="宋体" w:eastAsia="宋体" w:cs="宋体"/>
                <w:szCs w:val="21"/>
              </w:rPr>
            </w:pPr>
          </w:p>
        </w:tc>
      </w:tr>
      <w:tr w14:paraId="624F8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3" w:type="pct"/>
            <w:tcBorders>
              <w:top w:val="single" w:color="auto" w:sz="4" w:space="0"/>
              <w:bottom w:val="single" w:color="auto" w:sz="4" w:space="0"/>
              <w:right w:val="single" w:color="auto" w:sz="4" w:space="0"/>
            </w:tcBorders>
            <w:vAlign w:val="center"/>
          </w:tcPr>
          <w:p w14:paraId="110205DB">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7</w:t>
            </w:r>
          </w:p>
        </w:tc>
        <w:tc>
          <w:tcPr>
            <w:tcW w:w="1929" w:type="dxa"/>
            <w:tcBorders>
              <w:top w:val="single" w:color="auto" w:sz="4" w:space="0"/>
              <w:left w:val="single" w:color="auto" w:sz="4" w:space="0"/>
              <w:bottom w:val="single" w:color="auto" w:sz="4" w:space="0"/>
              <w:right w:val="single" w:color="auto" w:sz="4" w:space="0"/>
            </w:tcBorders>
            <w:vAlign w:val="center"/>
          </w:tcPr>
          <w:p w14:paraId="7BF47960">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应急疏散指示灯</w:t>
            </w:r>
          </w:p>
        </w:tc>
        <w:tc>
          <w:tcPr>
            <w:tcW w:w="1947" w:type="dxa"/>
            <w:tcBorders>
              <w:top w:val="single" w:color="auto" w:sz="4" w:space="0"/>
              <w:left w:val="single" w:color="auto" w:sz="4" w:space="0"/>
              <w:bottom w:val="single" w:color="auto" w:sz="4" w:space="0"/>
              <w:right w:val="single" w:color="auto" w:sz="4" w:space="0"/>
            </w:tcBorders>
            <w:vAlign w:val="center"/>
          </w:tcPr>
          <w:p w14:paraId="37BDEF0D">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敏华、劳士、海湾</w:t>
            </w:r>
          </w:p>
        </w:tc>
        <w:tc>
          <w:tcPr>
            <w:tcW w:w="4609" w:type="dxa"/>
            <w:tcBorders>
              <w:top w:val="single" w:color="auto" w:sz="4" w:space="0"/>
              <w:left w:val="single" w:color="auto" w:sz="4" w:space="0"/>
              <w:bottom w:val="single" w:color="auto" w:sz="4" w:space="0"/>
              <w:right w:val="single" w:color="auto" w:sz="4" w:space="0"/>
            </w:tcBorders>
            <w:vAlign w:val="center"/>
          </w:tcPr>
          <w:p w14:paraId="3B93C0BB">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国标，电压：AC220V50HZ（V）；光源类型：LED；防护等级：IP30及以上。含安装、电源布线接线及所需电线</w:t>
            </w:r>
          </w:p>
        </w:tc>
        <w:tc>
          <w:tcPr>
            <w:tcW w:w="548" w:type="dxa"/>
            <w:tcBorders>
              <w:top w:val="single" w:color="auto" w:sz="4" w:space="0"/>
              <w:left w:val="single" w:color="auto" w:sz="4" w:space="0"/>
              <w:bottom w:val="single" w:color="auto" w:sz="4" w:space="0"/>
              <w:right w:val="single" w:color="auto" w:sz="4" w:space="0"/>
            </w:tcBorders>
            <w:vAlign w:val="center"/>
          </w:tcPr>
          <w:p w14:paraId="50AA6E8F">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300</w:t>
            </w:r>
          </w:p>
        </w:tc>
        <w:tc>
          <w:tcPr>
            <w:tcW w:w="490" w:type="dxa"/>
            <w:tcBorders>
              <w:top w:val="single" w:color="auto" w:sz="4" w:space="0"/>
              <w:left w:val="single" w:color="auto" w:sz="4" w:space="0"/>
              <w:bottom w:val="single" w:color="auto" w:sz="4" w:space="0"/>
              <w:right w:val="single" w:color="auto" w:sz="4" w:space="0"/>
            </w:tcBorders>
            <w:vAlign w:val="center"/>
          </w:tcPr>
          <w:p w14:paraId="7EA142E7">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379" w:type="pct"/>
            <w:tcBorders>
              <w:top w:val="single" w:color="auto" w:sz="4" w:space="0"/>
              <w:left w:val="single" w:color="auto" w:sz="4" w:space="0"/>
              <w:bottom w:val="single" w:color="auto" w:sz="4" w:space="0"/>
            </w:tcBorders>
            <w:vAlign w:val="center"/>
          </w:tcPr>
          <w:p w14:paraId="6691C99F">
            <w:pPr>
              <w:snapToGrid w:val="0"/>
              <w:jc w:val="center"/>
              <w:rPr>
                <w:rFonts w:hint="eastAsia" w:ascii="宋体" w:hAnsi="宋体" w:eastAsia="宋体" w:cs="宋体"/>
                <w:szCs w:val="21"/>
              </w:rPr>
            </w:pPr>
          </w:p>
        </w:tc>
        <w:tc>
          <w:tcPr>
            <w:tcW w:w="489" w:type="pct"/>
            <w:tcBorders>
              <w:top w:val="single" w:color="auto" w:sz="4" w:space="0"/>
              <w:left w:val="single" w:color="auto" w:sz="4" w:space="0"/>
              <w:bottom w:val="single" w:color="auto" w:sz="4" w:space="0"/>
            </w:tcBorders>
            <w:vAlign w:val="center"/>
          </w:tcPr>
          <w:p w14:paraId="281E04B8">
            <w:pPr>
              <w:snapToGrid w:val="0"/>
              <w:jc w:val="center"/>
              <w:rPr>
                <w:rFonts w:hint="eastAsia" w:ascii="宋体" w:hAnsi="宋体" w:eastAsia="宋体" w:cs="宋体"/>
                <w:szCs w:val="21"/>
              </w:rPr>
            </w:pPr>
          </w:p>
        </w:tc>
        <w:tc>
          <w:tcPr>
            <w:tcW w:w="285" w:type="pct"/>
            <w:tcBorders>
              <w:top w:val="single" w:color="auto" w:sz="4" w:space="0"/>
              <w:left w:val="single" w:color="auto" w:sz="4" w:space="0"/>
              <w:bottom w:val="single" w:color="auto" w:sz="4" w:space="0"/>
            </w:tcBorders>
            <w:shd w:val="clear" w:color="auto" w:fill="auto"/>
            <w:vAlign w:val="center"/>
          </w:tcPr>
          <w:p w14:paraId="245BA489">
            <w:pPr>
              <w:snapToGrid w:val="0"/>
              <w:jc w:val="left"/>
              <w:rPr>
                <w:rFonts w:hint="eastAsia" w:ascii="宋体" w:hAnsi="宋体" w:eastAsia="宋体" w:cs="宋体"/>
                <w:szCs w:val="21"/>
              </w:rPr>
            </w:pPr>
          </w:p>
        </w:tc>
        <w:tc>
          <w:tcPr>
            <w:tcW w:w="290" w:type="pct"/>
            <w:tcBorders>
              <w:top w:val="single" w:color="auto" w:sz="4" w:space="0"/>
              <w:left w:val="single" w:color="auto" w:sz="4" w:space="0"/>
              <w:bottom w:val="single" w:color="auto" w:sz="4" w:space="0"/>
            </w:tcBorders>
            <w:shd w:val="clear" w:color="auto" w:fill="auto"/>
            <w:vAlign w:val="center"/>
          </w:tcPr>
          <w:p w14:paraId="6668FFBF">
            <w:pPr>
              <w:snapToGrid w:val="0"/>
              <w:jc w:val="left"/>
              <w:rPr>
                <w:rFonts w:hint="eastAsia" w:ascii="宋体" w:hAnsi="宋体" w:eastAsia="宋体" w:cs="宋体"/>
                <w:szCs w:val="21"/>
              </w:rPr>
            </w:pPr>
          </w:p>
        </w:tc>
      </w:tr>
      <w:tr w14:paraId="22F77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3" w:type="pct"/>
            <w:tcBorders>
              <w:top w:val="single" w:color="auto" w:sz="4" w:space="0"/>
              <w:bottom w:val="single" w:color="auto" w:sz="4" w:space="0"/>
              <w:right w:val="single" w:color="auto" w:sz="4" w:space="0"/>
            </w:tcBorders>
            <w:vAlign w:val="center"/>
          </w:tcPr>
          <w:p w14:paraId="42AB3BD6">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1929" w:type="dxa"/>
            <w:tcBorders>
              <w:top w:val="single" w:color="auto" w:sz="4" w:space="0"/>
              <w:left w:val="single" w:color="auto" w:sz="4" w:space="0"/>
              <w:bottom w:val="single" w:color="auto" w:sz="4" w:space="0"/>
              <w:right w:val="single" w:color="auto" w:sz="4" w:space="0"/>
            </w:tcBorders>
            <w:vAlign w:val="center"/>
          </w:tcPr>
          <w:p w14:paraId="30C44DE1">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消防应急照明灯</w:t>
            </w:r>
          </w:p>
        </w:tc>
        <w:tc>
          <w:tcPr>
            <w:tcW w:w="1947" w:type="dxa"/>
            <w:tcBorders>
              <w:top w:val="single" w:color="auto" w:sz="4" w:space="0"/>
              <w:left w:val="single" w:color="auto" w:sz="4" w:space="0"/>
              <w:bottom w:val="single" w:color="auto" w:sz="4" w:space="0"/>
              <w:right w:val="single" w:color="auto" w:sz="4" w:space="0"/>
            </w:tcBorders>
            <w:vAlign w:val="center"/>
          </w:tcPr>
          <w:p w14:paraId="08B889B3">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敏华、劳士、海湾</w:t>
            </w:r>
          </w:p>
        </w:tc>
        <w:tc>
          <w:tcPr>
            <w:tcW w:w="4609" w:type="dxa"/>
            <w:tcBorders>
              <w:top w:val="single" w:color="auto" w:sz="4" w:space="0"/>
              <w:left w:val="single" w:color="auto" w:sz="4" w:space="0"/>
              <w:bottom w:val="single" w:color="auto" w:sz="4" w:space="0"/>
              <w:right w:val="single" w:color="auto" w:sz="4" w:space="0"/>
            </w:tcBorders>
            <w:vAlign w:val="center"/>
          </w:tcPr>
          <w:p w14:paraId="71AF08F1">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4"/>
                <w:szCs w:val="24"/>
                <w:u w:val="none"/>
                <w:lang w:val="en-US" w:eastAsia="zh-CN" w:bidi="ar"/>
              </w:rPr>
              <w:t>国标，应急时间大于或等于90分钟。含安装、电源布线接线及所需电线</w:t>
            </w:r>
            <w:r>
              <w:rPr>
                <w:rFonts w:hint="eastAsia" w:ascii="宋体" w:hAnsi="宋体" w:cs="宋体"/>
                <w:i w:val="0"/>
                <w:iCs w:val="0"/>
                <w:color w:val="000000"/>
                <w:kern w:val="0"/>
                <w:sz w:val="24"/>
                <w:szCs w:val="24"/>
                <w:u w:val="none"/>
                <w:lang w:val="en-US" w:eastAsia="zh-CN" w:bidi="ar"/>
              </w:rPr>
              <w:t>。</w:t>
            </w:r>
          </w:p>
        </w:tc>
        <w:tc>
          <w:tcPr>
            <w:tcW w:w="548" w:type="dxa"/>
            <w:tcBorders>
              <w:top w:val="single" w:color="auto" w:sz="4" w:space="0"/>
              <w:left w:val="single" w:color="auto" w:sz="4" w:space="0"/>
              <w:bottom w:val="single" w:color="auto" w:sz="4" w:space="0"/>
              <w:right w:val="single" w:color="auto" w:sz="4" w:space="0"/>
            </w:tcBorders>
            <w:vAlign w:val="center"/>
          </w:tcPr>
          <w:p w14:paraId="243B40D8">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300</w:t>
            </w:r>
          </w:p>
        </w:tc>
        <w:tc>
          <w:tcPr>
            <w:tcW w:w="490" w:type="dxa"/>
            <w:tcBorders>
              <w:top w:val="single" w:color="auto" w:sz="4" w:space="0"/>
              <w:left w:val="single" w:color="auto" w:sz="4" w:space="0"/>
              <w:bottom w:val="single" w:color="auto" w:sz="4" w:space="0"/>
              <w:right w:val="single" w:color="auto" w:sz="4" w:space="0"/>
            </w:tcBorders>
            <w:vAlign w:val="center"/>
          </w:tcPr>
          <w:p w14:paraId="397CA9FA">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盏</w:t>
            </w:r>
          </w:p>
        </w:tc>
        <w:tc>
          <w:tcPr>
            <w:tcW w:w="379" w:type="pct"/>
            <w:tcBorders>
              <w:top w:val="single" w:color="auto" w:sz="4" w:space="0"/>
              <w:left w:val="single" w:color="auto" w:sz="4" w:space="0"/>
              <w:bottom w:val="single" w:color="auto" w:sz="4" w:space="0"/>
            </w:tcBorders>
            <w:vAlign w:val="center"/>
          </w:tcPr>
          <w:p w14:paraId="3A1025FF">
            <w:pPr>
              <w:snapToGrid w:val="0"/>
              <w:jc w:val="center"/>
              <w:rPr>
                <w:rFonts w:hint="eastAsia" w:ascii="宋体" w:hAnsi="宋体" w:eastAsia="宋体" w:cs="宋体"/>
                <w:szCs w:val="21"/>
              </w:rPr>
            </w:pPr>
          </w:p>
        </w:tc>
        <w:tc>
          <w:tcPr>
            <w:tcW w:w="489" w:type="pct"/>
            <w:tcBorders>
              <w:top w:val="single" w:color="auto" w:sz="4" w:space="0"/>
              <w:left w:val="single" w:color="auto" w:sz="4" w:space="0"/>
              <w:bottom w:val="single" w:color="auto" w:sz="4" w:space="0"/>
            </w:tcBorders>
            <w:vAlign w:val="center"/>
          </w:tcPr>
          <w:p w14:paraId="0851A364">
            <w:pPr>
              <w:snapToGrid w:val="0"/>
              <w:jc w:val="center"/>
              <w:rPr>
                <w:rFonts w:hint="eastAsia" w:ascii="宋体" w:hAnsi="宋体" w:eastAsia="宋体" w:cs="宋体"/>
                <w:szCs w:val="21"/>
              </w:rPr>
            </w:pPr>
          </w:p>
        </w:tc>
        <w:tc>
          <w:tcPr>
            <w:tcW w:w="285" w:type="pct"/>
            <w:tcBorders>
              <w:top w:val="single" w:color="auto" w:sz="4" w:space="0"/>
              <w:left w:val="single" w:color="auto" w:sz="4" w:space="0"/>
              <w:bottom w:val="single" w:color="auto" w:sz="4" w:space="0"/>
            </w:tcBorders>
            <w:shd w:val="clear" w:color="auto" w:fill="auto"/>
            <w:vAlign w:val="center"/>
          </w:tcPr>
          <w:p w14:paraId="72B3F904">
            <w:pPr>
              <w:snapToGrid w:val="0"/>
              <w:jc w:val="left"/>
              <w:rPr>
                <w:rFonts w:hint="eastAsia" w:ascii="宋体" w:hAnsi="宋体" w:eastAsia="宋体" w:cs="宋体"/>
                <w:szCs w:val="21"/>
              </w:rPr>
            </w:pPr>
          </w:p>
        </w:tc>
        <w:tc>
          <w:tcPr>
            <w:tcW w:w="290" w:type="pct"/>
            <w:tcBorders>
              <w:top w:val="single" w:color="auto" w:sz="4" w:space="0"/>
              <w:left w:val="single" w:color="auto" w:sz="4" w:space="0"/>
              <w:bottom w:val="single" w:color="auto" w:sz="4" w:space="0"/>
            </w:tcBorders>
            <w:shd w:val="clear" w:color="auto" w:fill="auto"/>
            <w:vAlign w:val="center"/>
          </w:tcPr>
          <w:p w14:paraId="57113A93">
            <w:pPr>
              <w:snapToGrid w:val="0"/>
              <w:jc w:val="left"/>
              <w:rPr>
                <w:rFonts w:hint="eastAsia" w:ascii="宋体" w:hAnsi="宋体" w:eastAsia="宋体" w:cs="宋体"/>
                <w:szCs w:val="21"/>
              </w:rPr>
            </w:pPr>
          </w:p>
        </w:tc>
      </w:tr>
      <w:tr w14:paraId="41F07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0"/>
            <w:tcBorders>
              <w:top w:val="single" w:color="auto" w:sz="4" w:space="0"/>
              <w:bottom w:val="single" w:color="auto" w:sz="4" w:space="0"/>
            </w:tcBorders>
            <w:vAlign w:val="center"/>
          </w:tcPr>
          <w:p w14:paraId="48E3936A">
            <w:pPr>
              <w:widowControl/>
              <w:snapToGrid w:val="0"/>
              <w:jc w:val="left"/>
              <w:textAlignment w:val="center"/>
              <w:rPr>
                <w:rFonts w:hint="eastAsia" w:ascii="宋体" w:hAnsi="宋体" w:cs="宋体"/>
                <w:kern w:val="0"/>
                <w:szCs w:val="21"/>
              </w:rPr>
            </w:pPr>
            <w:r>
              <w:rPr>
                <w:rFonts w:hint="eastAsia" w:ascii="宋体" w:hAnsi="宋体" w:cs="宋体"/>
                <w:kern w:val="0"/>
                <w:szCs w:val="21"/>
              </w:rPr>
              <w:t>报价合计(包含税费</w:t>
            </w:r>
            <w:r>
              <w:rPr>
                <w:rFonts w:hint="eastAsia" w:ascii="宋体" w:hAnsi="宋体" w:cs="宋体"/>
                <w:kern w:val="0"/>
                <w:szCs w:val="21"/>
                <w:lang w:eastAsia="zh-CN"/>
              </w:rPr>
              <w:t>、</w:t>
            </w:r>
            <w:r>
              <w:rPr>
                <w:rFonts w:hint="eastAsia" w:ascii="宋体" w:hAnsi="宋体" w:cs="宋体"/>
                <w:kern w:val="0"/>
                <w:szCs w:val="21"/>
                <w:lang w:val="en-US" w:eastAsia="zh-CN"/>
              </w:rPr>
              <w:t>运输、安装</w:t>
            </w:r>
            <w:r>
              <w:rPr>
                <w:rFonts w:hint="eastAsia" w:ascii="宋体" w:hAnsi="宋体" w:cs="宋体"/>
                <w:kern w:val="0"/>
                <w:szCs w:val="21"/>
              </w:rPr>
              <w:t>等所有费用):(大写)人民币</w:t>
            </w:r>
            <w:r>
              <w:rPr>
                <w:rFonts w:hint="eastAsia" w:ascii="宋体" w:hAnsi="宋体" w:cs="宋体"/>
                <w:kern w:val="0"/>
                <w:szCs w:val="21"/>
                <w:u w:val="single"/>
              </w:rPr>
              <w:t xml:space="preserve">                            </w:t>
            </w:r>
            <w:r>
              <w:rPr>
                <w:rFonts w:hint="eastAsia" w:ascii="宋体" w:hAnsi="宋体" w:cs="宋体"/>
                <w:kern w:val="0"/>
                <w:szCs w:val="21"/>
              </w:rPr>
              <w:t>元（小写：</w:t>
            </w:r>
            <w:r>
              <w:rPr>
                <w:rFonts w:hint="eastAsia" w:ascii="宋体" w:hAnsi="宋体" w:cs="宋体"/>
                <w:kern w:val="0"/>
                <w:szCs w:val="21"/>
                <w:u w:val="single"/>
              </w:rPr>
              <w:t xml:space="preserve">             </w:t>
            </w:r>
            <w:r>
              <w:rPr>
                <w:rFonts w:hint="eastAsia" w:ascii="宋体" w:hAnsi="宋体" w:cs="宋体"/>
                <w:kern w:val="0"/>
                <w:szCs w:val="21"/>
              </w:rPr>
              <w:t xml:space="preserve"> 元）</w:t>
            </w:r>
          </w:p>
        </w:tc>
      </w:tr>
      <w:tr w14:paraId="4FC7C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0"/>
            <w:tcBorders>
              <w:top w:val="single" w:color="auto" w:sz="4" w:space="0"/>
              <w:bottom w:val="single" w:color="auto" w:sz="4" w:space="0"/>
            </w:tcBorders>
            <w:vAlign w:val="center"/>
          </w:tcPr>
          <w:p w14:paraId="1D55B8C7">
            <w:pPr>
              <w:widowControl/>
              <w:snapToGrid w:val="0"/>
              <w:jc w:val="left"/>
              <w:textAlignment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商务要求：</w:t>
            </w:r>
          </w:p>
        </w:tc>
      </w:tr>
      <w:tr w14:paraId="3339E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0"/>
            <w:tcBorders>
              <w:top w:val="single" w:color="auto" w:sz="4" w:space="0"/>
              <w:bottom w:val="single" w:color="auto" w:sz="4" w:space="0"/>
            </w:tcBorders>
            <w:vAlign w:val="center"/>
          </w:tcPr>
          <w:p w14:paraId="078071BC">
            <w:pPr>
              <w:widowControl/>
              <w:numPr>
                <w:ilvl w:val="0"/>
                <w:numId w:val="2"/>
              </w:numPr>
              <w:snapToGrid w:val="0"/>
              <w:jc w:val="left"/>
              <w:textAlignment w:val="center"/>
              <w:rPr>
                <w:rFonts w:hint="eastAsia"/>
                <w:lang w:val="en-US" w:eastAsia="zh-CN"/>
              </w:rPr>
            </w:pPr>
            <w:r>
              <w:rPr>
                <w:rFonts w:hint="eastAsia"/>
                <w:lang w:val="en-US" w:eastAsia="zh-CN"/>
              </w:rPr>
              <w:t>供货要求：成交供应商自收到采购人通知之日起15日内完成完成供货，负责安装并将更换下来的器材搬运到指定位置</w:t>
            </w:r>
            <w:bookmarkStart w:id="0" w:name="_GoBack"/>
            <w:bookmarkEnd w:id="0"/>
            <w:r>
              <w:rPr>
                <w:rFonts w:hint="eastAsia"/>
                <w:lang w:val="en-US" w:eastAsia="zh-CN"/>
              </w:rPr>
              <w:t>。</w:t>
            </w:r>
          </w:p>
          <w:p w14:paraId="606B4627">
            <w:pPr>
              <w:widowControl/>
              <w:numPr>
                <w:ilvl w:val="0"/>
                <w:numId w:val="2"/>
              </w:numPr>
              <w:snapToGrid w:val="0"/>
              <w:jc w:val="left"/>
              <w:textAlignment w:val="center"/>
              <w:rPr>
                <w:rFonts w:hint="eastAsia"/>
                <w:lang w:val="en-US" w:eastAsia="zh-CN"/>
              </w:rPr>
            </w:pPr>
            <w:r>
              <w:rPr>
                <w:rFonts w:hint="eastAsia"/>
                <w:lang w:val="en-US" w:eastAsia="zh-CN"/>
              </w:rPr>
              <w:t>质保期：自双方代表在货物验收单上签字之日起12个月。</w:t>
            </w:r>
          </w:p>
          <w:p w14:paraId="5BC9E7BF">
            <w:pPr>
              <w:widowControl/>
              <w:numPr>
                <w:ilvl w:val="0"/>
                <w:numId w:val="2"/>
              </w:numPr>
              <w:snapToGrid w:val="0"/>
              <w:jc w:val="left"/>
              <w:textAlignment w:val="center"/>
              <w:rPr>
                <w:rFonts w:hint="eastAsia"/>
                <w:lang w:val="en-US" w:eastAsia="zh-CN"/>
              </w:rPr>
            </w:pPr>
            <w:r>
              <w:rPr>
                <w:rFonts w:hint="eastAsia"/>
                <w:lang w:val="en-US" w:eastAsia="zh-CN"/>
              </w:rPr>
              <w:t>有下列情形之一的视为无效报价：</w:t>
            </w:r>
          </w:p>
          <w:p w14:paraId="60701C57">
            <w:pPr>
              <w:widowControl/>
              <w:numPr>
                <w:ilvl w:val="0"/>
                <w:numId w:val="0"/>
              </w:numPr>
              <w:snapToGrid w:val="0"/>
              <w:jc w:val="left"/>
              <w:textAlignment w:val="center"/>
              <w:rPr>
                <w:rFonts w:hint="eastAsia"/>
                <w:lang w:val="en-US" w:eastAsia="zh-CN"/>
              </w:rPr>
            </w:pPr>
            <w:r>
              <w:rPr>
                <w:rFonts w:hint="eastAsia"/>
                <w:lang w:val="en-US" w:eastAsia="zh-CN"/>
              </w:rPr>
              <w:t>（1）报价文件必须字迹清晰，凡因字迹不清晰导致容易引起歧义的，作无效报价处理；</w:t>
            </w:r>
          </w:p>
          <w:p w14:paraId="5D3DDC5B">
            <w:pPr>
              <w:widowControl/>
              <w:numPr>
                <w:ilvl w:val="0"/>
                <w:numId w:val="0"/>
              </w:numPr>
              <w:snapToGrid w:val="0"/>
              <w:jc w:val="left"/>
              <w:textAlignment w:val="center"/>
              <w:rPr>
                <w:rFonts w:hint="eastAsia"/>
                <w:lang w:val="en-US" w:eastAsia="zh-CN"/>
              </w:rPr>
            </w:pPr>
            <w:r>
              <w:rPr>
                <w:rFonts w:hint="eastAsia"/>
                <w:lang w:val="en-US" w:eastAsia="zh-CN"/>
              </w:rPr>
              <w:t>（2）报价文件未按规定签章的作无效报价处理；</w:t>
            </w:r>
          </w:p>
          <w:p w14:paraId="184CD707">
            <w:pPr>
              <w:widowControl/>
              <w:numPr>
                <w:ilvl w:val="0"/>
                <w:numId w:val="0"/>
              </w:numPr>
              <w:snapToGrid w:val="0"/>
              <w:jc w:val="left"/>
              <w:textAlignment w:val="center"/>
              <w:rPr>
                <w:rFonts w:hint="eastAsia"/>
                <w:lang w:val="en-US" w:eastAsia="zh-CN"/>
              </w:rPr>
            </w:pPr>
            <w:r>
              <w:rPr>
                <w:rFonts w:hint="eastAsia"/>
                <w:lang w:val="en-US" w:eastAsia="zh-CN"/>
              </w:rPr>
              <w:t>（3）报价超过本项目上限控制价、单项合计金额或总价计算错误的作无效报价处理；</w:t>
            </w:r>
          </w:p>
          <w:p w14:paraId="2D282E55">
            <w:pPr>
              <w:widowControl/>
              <w:numPr>
                <w:ilvl w:val="0"/>
                <w:numId w:val="0"/>
              </w:numPr>
              <w:snapToGrid w:val="0"/>
              <w:jc w:val="left"/>
              <w:textAlignment w:val="center"/>
              <w:rPr>
                <w:rFonts w:hint="eastAsia"/>
                <w:lang w:val="en-US" w:eastAsia="zh-CN"/>
              </w:rPr>
            </w:pPr>
            <w:r>
              <w:rPr>
                <w:rFonts w:hint="eastAsia"/>
                <w:lang w:val="en-US" w:eastAsia="zh-CN"/>
              </w:rPr>
              <w:t>（4）未按照报价表标明的具体品牌、参数和要求作出实质性响应的作无效报价处理；</w:t>
            </w:r>
          </w:p>
          <w:p w14:paraId="5E6DB4F4">
            <w:pPr>
              <w:widowControl/>
              <w:numPr>
                <w:ilvl w:val="0"/>
                <w:numId w:val="0"/>
              </w:numPr>
              <w:snapToGrid w:val="0"/>
              <w:jc w:val="left"/>
              <w:textAlignment w:val="center"/>
              <w:rPr>
                <w:rFonts w:hint="eastAsia"/>
                <w:lang w:val="en-US" w:eastAsia="zh-CN"/>
              </w:rPr>
            </w:pPr>
            <w:r>
              <w:rPr>
                <w:rFonts w:hint="eastAsia"/>
                <w:lang w:val="en-US" w:eastAsia="zh-CN"/>
              </w:rPr>
              <w:t>（5）私自更改删除报价文件内容的作无效报价处理；</w:t>
            </w:r>
          </w:p>
          <w:p w14:paraId="4153A19D">
            <w:pPr>
              <w:widowControl/>
              <w:numPr>
                <w:ilvl w:val="0"/>
                <w:numId w:val="0"/>
              </w:numPr>
              <w:snapToGrid w:val="0"/>
              <w:jc w:val="left"/>
              <w:textAlignment w:val="center"/>
              <w:rPr>
                <w:rFonts w:hint="eastAsia"/>
                <w:lang w:val="en-US" w:eastAsia="zh-CN"/>
              </w:rPr>
            </w:pPr>
            <w:r>
              <w:rPr>
                <w:rFonts w:hint="eastAsia"/>
                <w:lang w:val="en-US" w:eastAsia="zh-CN"/>
              </w:rPr>
              <w:t>4.供货地点：广西财经学院相思湖校区。</w:t>
            </w:r>
          </w:p>
          <w:p w14:paraId="6DCA2106">
            <w:pPr>
              <w:widowControl/>
              <w:numPr>
                <w:ilvl w:val="0"/>
                <w:numId w:val="0"/>
              </w:numPr>
              <w:snapToGrid w:val="0"/>
              <w:jc w:val="left"/>
              <w:textAlignment w:val="center"/>
              <w:rPr>
                <w:rFonts w:hint="eastAsia"/>
                <w:lang w:val="en-US" w:eastAsia="zh-CN"/>
              </w:rPr>
            </w:pPr>
            <w:r>
              <w:rPr>
                <w:rFonts w:hint="eastAsia"/>
                <w:lang w:val="en-US" w:eastAsia="zh-CN"/>
              </w:rPr>
              <w:t>5.付款方式：本项目无预付款，成交人供货安装调试完毕并通过验收后向采购人提供与合同金额一致的有效发票，采购人提请按相关程序一次性拨付100％合同款项。</w:t>
            </w:r>
          </w:p>
          <w:p w14:paraId="34AAC45E">
            <w:pPr>
              <w:widowControl/>
              <w:numPr>
                <w:ilvl w:val="0"/>
                <w:numId w:val="0"/>
              </w:numPr>
              <w:snapToGrid w:val="0"/>
              <w:jc w:val="left"/>
              <w:textAlignment w:val="center"/>
              <w:rPr>
                <w:rFonts w:hint="eastAsia"/>
                <w:lang w:val="en-US" w:eastAsia="zh-CN"/>
              </w:rPr>
            </w:pPr>
            <w:r>
              <w:rPr>
                <w:rFonts w:hint="eastAsia"/>
                <w:lang w:val="en-US" w:eastAsia="zh-CN"/>
              </w:rPr>
              <w:t>6.报价文件内容包括：</w:t>
            </w:r>
          </w:p>
          <w:p w14:paraId="0C28AC30">
            <w:pPr>
              <w:widowControl/>
              <w:numPr>
                <w:ilvl w:val="0"/>
                <w:numId w:val="0"/>
              </w:numPr>
              <w:snapToGrid w:val="0"/>
              <w:jc w:val="left"/>
              <w:textAlignment w:val="center"/>
              <w:rPr>
                <w:rFonts w:hint="eastAsia"/>
                <w:lang w:val="en-US" w:eastAsia="zh-CN"/>
              </w:rPr>
            </w:pPr>
            <w:r>
              <w:rPr>
                <w:rFonts w:hint="eastAsia"/>
                <w:lang w:val="en-US" w:eastAsia="zh-CN"/>
              </w:rPr>
              <w:t>（1）报价表；</w:t>
            </w:r>
          </w:p>
          <w:p w14:paraId="01F8B574">
            <w:pPr>
              <w:widowControl/>
              <w:numPr>
                <w:ilvl w:val="0"/>
                <w:numId w:val="0"/>
              </w:numPr>
              <w:snapToGrid w:val="0"/>
              <w:jc w:val="left"/>
              <w:textAlignment w:val="center"/>
              <w:rPr>
                <w:rFonts w:hint="eastAsia"/>
                <w:lang w:val="en-US" w:eastAsia="zh-CN"/>
              </w:rPr>
            </w:pPr>
            <w:r>
              <w:rPr>
                <w:rFonts w:hint="eastAsia"/>
                <w:lang w:val="en-US" w:eastAsia="zh-CN"/>
              </w:rPr>
              <w:t>（2）营业执照复印件；</w:t>
            </w:r>
          </w:p>
          <w:p w14:paraId="16FE2BC2">
            <w:pPr>
              <w:widowControl/>
              <w:numPr>
                <w:ilvl w:val="0"/>
                <w:numId w:val="0"/>
              </w:numPr>
              <w:snapToGrid w:val="0"/>
              <w:jc w:val="left"/>
              <w:textAlignment w:val="center"/>
              <w:rPr>
                <w:rFonts w:hint="eastAsia"/>
                <w:lang w:val="en-US" w:eastAsia="zh-CN"/>
              </w:rPr>
            </w:pPr>
            <w:r>
              <w:rPr>
                <w:rFonts w:hint="eastAsia"/>
                <w:lang w:val="en-US" w:eastAsia="zh-CN"/>
              </w:rPr>
              <w:t>（3）法定代表人身份证复印件、法定代表人授权委托书及被授权人有效身份证正反面复印件（委托时必须提供）；</w:t>
            </w:r>
          </w:p>
          <w:p w14:paraId="64939B63">
            <w:pPr>
              <w:widowControl/>
              <w:numPr>
                <w:ilvl w:val="0"/>
                <w:numId w:val="0"/>
              </w:numPr>
              <w:snapToGrid w:val="0"/>
              <w:ind w:firstLine="420" w:firstLineChars="200"/>
              <w:jc w:val="left"/>
              <w:textAlignment w:val="center"/>
              <w:rPr>
                <w:rFonts w:hint="default"/>
                <w:lang w:val="en-US" w:eastAsia="zh-CN"/>
              </w:rPr>
            </w:pPr>
            <w:r>
              <w:rPr>
                <w:rFonts w:hint="eastAsia"/>
                <w:lang w:val="en-US" w:eastAsia="zh-CN"/>
              </w:rPr>
              <w:t>以上所有报价文件都必须提供并加盖单位公章，否则按照无效报价处理。</w:t>
            </w:r>
          </w:p>
        </w:tc>
      </w:tr>
    </w:tbl>
    <w:p w14:paraId="70E57DED">
      <w:pPr>
        <w:spacing w:line="320" w:lineRule="exact"/>
        <w:rPr>
          <w:rFonts w:hint="eastAsia" w:ascii="楷体" w:hAnsi="楷体" w:eastAsia="楷体"/>
          <w:b/>
          <w:bCs/>
          <w:sz w:val="24"/>
        </w:rPr>
      </w:pPr>
    </w:p>
    <w:p w14:paraId="56094A34">
      <w:pPr>
        <w:spacing w:line="320" w:lineRule="exact"/>
        <w:rPr>
          <w:rFonts w:hint="eastAsia" w:ascii="楷体" w:hAnsi="楷体" w:eastAsia="楷体"/>
          <w:b/>
          <w:bCs/>
          <w:sz w:val="24"/>
        </w:rPr>
      </w:pPr>
      <w:r>
        <w:rPr>
          <w:rFonts w:hint="eastAsia" w:ascii="楷体" w:hAnsi="楷体" w:eastAsia="楷体"/>
          <w:b/>
          <w:bCs/>
          <w:sz w:val="24"/>
          <w:lang w:val="en-US" w:eastAsia="zh-CN"/>
        </w:rPr>
        <w:t>相</w:t>
      </w:r>
      <w:r>
        <w:rPr>
          <w:rFonts w:hint="eastAsia" w:ascii="楷体" w:hAnsi="楷体" w:eastAsia="楷体"/>
          <w:b/>
          <w:bCs/>
          <w:sz w:val="24"/>
        </w:rPr>
        <w:t>关要求：</w:t>
      </w:r>
    </w:p>
    <w:p w14:paraId="7079BFBD">
      <w:pPr>
        <w:spacing w:line="320" w:lineRule="exact"/>
        <w:rPr>
          <w:rFonts w:hint="eastAsia" w:ascii="楷体" w:hAnsi="楷体" w:eastAsia="楷体"/>
          <w:b/>
          <w:bCs/>
          <w:color w:val="000000" w:themeColor="text1"/>
          <w:sz w:val="24"/>
          <w14:textFill>
            <w14:solidFill>
              <w14:schemeClr w14:val="tx1"/>
            </w14:solidFill>
          </w14:textFill>
        </w:rPr>
      </w:pPr>
      <w:r>
        <w:rPr>
          <w:rFonts w:hint="eastAsia" w:ascii="楷体" w:hAnsi="楷体" w:eastAsia="楷体"/>
          <w:b/>
          <w:bCs/>
          <w:color w:val="000000" w:themeColor="text1"/>
          <w:sz w:val="24"/>
          <w14:textFill>
            <w14:solidFill>
              <w14:schemeClr w14:val="tx1"/>
            </w14:solidFill>
          </w14:textFill>
        </w:rPr>
        <w:t>1.报价包含</w:t>
      </w:r>
      <w:r>
        <w:rPr>
          <w:rFonts w:hint="eastAsia" w:ascii="楷体" w:hAnsi="楷体" w:eastAsia="楷体"/>
          <w:b/>
          <w:bCs/>
          <w:color w:val="000000" w:themeColor="text1"/>
          <w:sz w:val="24"/>
          <w:lang w:val="en-US" w:eastAsia="zh-CN"/>
          <w14:textFill>
            <w14:solidFill>
              <w14:schemeClr w14:val="tx1"/>
            </w14:solidFill>
          </w14:textFill>
        </w:rPr>
        <w:t>安</w:t>
      </w:r>
      <w:r>
        <w:rPr>
          <w:rFonts w:hint="eastAsia" w:ascii="楷体" w:hAnsi="楷体" w:eastAsia="楷体"/>
          <w:b/>
          <w:bCs/>
          <w:color w:val="000000" w:themeColor="text1"/>
          <w:sz w:val="24"/>
          <w14:textFill>
            <w14:solidFill>
              <w14:schemeClr w14:val="tx1"/>
            </w14:solidFill>
          </w14:textFill>
        </w:rPr>
        <w:t>装、装卸、运输、调换、利润、税金、保险、协调、售后服务费用等各项应有费用。</w:t>
      </w:r>
    </w:p>
    <w:p w14:paraId="385006A1">
      <w:pPr>
        <w:spacing w:line="320" w:lineRule="exact"/>
        <w:rPr>
          <w:rFonts w:ascii="楷体" w:hAnsi="楷体" w:eastAsia="楷体"/>
          <w:b/>
          <w:bCs/>
          <w:sz w:val="24"/>
        </w:rPr>
      </w:pPr>
      <w:r>
        <w:rPr>
          <w:rFonts w:hint="eastAsia" w:ascii="楷体" w:hAnsi="楷体" w:eastAsia="楷体"/>
          <w:b/>
          <w:bCs/>
          <w:sz w:val="24"/>
        </w:rPr>
        <w:t>2.报价超过本项目上限控制价、单项合计金额或总价计算错误的作无效报价处理。</w:t>
      </w:r>
    </w:p>
    <w:p w14:paraId="494948A2">
      <w:pPr>
        <w:spacing w:line="320" w:lineRule="exact"/>
        <w:rPr>
          <w:rFonts w:hint="eastAsia" w:ascii="楷体" w:hAnsi="楷体" w:eastAsia="楷体"/>
          <w:b/>
          <w:bCs/>
          <w:sz w:val="24"/>
        </w:rPr>
      </w:pPr>
      <w:r>
        <w:rPr>
          <w:rFonts w:hint="eastAsia" w:ascii="楷体" w:hAnsi="楷体" w:eastAsia="楷体"/>
          <w:b/>
          <w:bCs/>
          <w:sz w:val="24"/>
        </w:rPr>
        <w:t>3.成交供应商须按采购人的要求</w:t>
      </w:r>
      <w:r>
        <w:rPr>
          <w:rFonts w:hint="eastAsia" w:ascii="楷体" w:hAnsi="楷体" w:eastAsia="楷体"/>
          <w:b/>
          <w:bCs/>
          <w:sz w:val="24"/>
          <w:lang w:val="en-US" w:eastAsia="zh-CN"/>
        </w:rPr>
        <w:t>供货</w:t>
      </w:r>
      <w:r>
        <w:rPr>
          <w:rFonts w:hint="eastAsia" w:ascii="楷体" w:hAnsi="楷体" w:eastAsia="楷体"/>
          <w:b/>
          <w:bCs/>
          <w:sz w:val="24"/>
        </w:rPr>
        <w:t>，否则采购人有权终止</w:t>
      </w:r>
      <w:r>
        <w:rPr>
          <w:rFonts w:hint="eastAsia" w:ascii="楷体" w:hAnsi="楷体" w:eastAsia="楷体"/>
          <w:b/>
          <w:bCs/>
          <w:sz w:val="24"/>
          <w:lang w:val="en-US" w:eastAsia="zh-CN"/>
        </w:rPr>
        <w:t>采购</w:t>
      </w:r>
      <w:r>
        <w:rPr>
          <w:rFonts w:hint="eastAsia" w:ascii="楷体" w:hAnsi="楷体" w:eastAsia="楷体"/>
          <w:b/>
          <w:bCs/>
          <w:sz w:val="24"/>
        </w:rPr>
        <w:t xml:space="preserve">。 </w:t>
      </w:r>
    </w:p>
    <w:p w14:paraId="585B7288">
      <w:pPr>
        <w:spacing w:line="320" w:lineRule="exact"/>
        <w:rPr>
          <w:rFonts w:hint="eastAsia" w:ascii="楷体" w:hAnsi="楷体" w:eastAsia="楷体"/>
          <w:b/>
          <w:bCs/>
          <w:sz w:val="24"/>
        </w:rPr>
      </w:pPr>
      <w:r>
        <w:rPr>
          <w:rFonts w:hint="eastAsia" w:ascii="楷体" w:hAnsi="楷体" w:eastAsia="楷体"/>
          <w:b/>
          <w:bCs/>
          <w:sz w:val="24"/>
          <w:lang w:val="en-US" w:eastAsia="zh-CN"/>
        </w:rPr>
        <w:t>4.如货物出现质量问题，广西财经学院保卫工作部有权终止采购并要求成交供应商承担责任并赔偿损失；</w:t>
      </w:r>
      <w:r>
        <w:rPr>
          <w:rFonts w:hint="eastAsia" w:ascii="楷体" w:hAnsi="楷体" w:eastAsia="楷体"/>
          <w:b/>
          <w:bCs/>
          <w:sz w:val="24"/>
        </w:rPr>
        <w:t xml:space="preserve">                       </w:t>
      </w:r>
    </w:p>
    <w:p w14:paraId="0531769C">
      <w:pPr>
        <w:spacing w:line="320" w:lineRule="exact"/>
        <w:rPr>
          <w:rFonts w:hint="default" w:ascii="仿宋_GB2312" w:hAnsi="仿宋" w:eastAsia="仿宋_GB2312"/>
          <w:b/>
          <w:sz w:val="24"/>
          <w:lang w:val="en-US" w:eastAsia="zh-CN"/>
        </w:rPr>
      </w:pPr>
      <w:r>
        <w:rPr>
          <w:rFonts w:hint="eastAsia" w:ascii="仿宋_GB2312" w:hAnsi="仿宋" w:eastAsia="仿宋_GB2312"/>
          <w:b/>
          <w:sz w:val="24"/>
          <w:lang w:val="en-US" w:eastAsia="zh-CN"/>
        </w:rPr>
        <w:t>5.应急灯和安全出口指示牌的安装必须要在墙上打孔用钉子固定。</w:t>
      </w:r>
    </w:p>
    <w:p w14:paraId="1D5FAF19">
      <w:pPr>
        <w:spacing w:line="560" w:lineRule="exact"/>
        <w:rPr>
          <w:rFonts w:ascii="仿宋_GB2312" w:hAnsi="宋体" w:eastAsia="仿宋_GB2312" w:cs="宋体"/>
          <w:kern w:val="0"/>
          <w:sz w:val="28"/>
          <w:szCs w:val="28"/>
        </w:rPr>
      </w:pPr>
    </w:p>
    <w:p w14:paraId="597FC71B">
      <w:pPr>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报价公司</w:t>
      </w:r>
      <w:r>
        <w:rPr>
          <w:rFonts w:hint="eastAsia" w:ascii="仿宋_GB2312" w:hAnsi="宋体" w:eastAsia="仿宋_GB2312" w:cs="宋体"/>
          <w:kern w:val="0"/>
          <w:sz w:val="28"/>
          <w:szCs w:val="28"/>
          <w:lang w:val="en-US" w:eastAsia="zh-CN"/>
        </w:rPr>
        <w:t>名称</w:t>
      </w:r>
      <w:r>
        <w:rPr>
          <w:rFonts w:hint="eastAsia" w:ascii="仿宋_GB2312" w:hAnsi="宋体" w:eastAsia="仿宋_GB2312" w:cs="宋体"/>
          <w:kern w:val="0"/>
          <w:sz w:val="28"/>
          <w:szCs w:val="28"/>
        </w:rPr>
        <w:t xml:space="preserve">（盖公章）：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法定代表人</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或授权代理人）</w:t>
      </w:r>
      <w:r>
        <w:rPr>
          <w:rFonts w:hint="eastAsia" w:ascii="仿宋_GB2312" w:hAnsi="宋体" w:eastAsia="仿宋_GB2312" w:cs="宋体"/>
          <w:kern w:val="0"/>
          <w:sz w:val="28"/>
          <w:szCs w:val="28"/>
        </w:rPr>
        <w:t xml:space="preserve">签字：                  </w:t>
      </w:r>
    </w:p>
    <w:p w14:paraId="58537050">
      <w:pPr>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14:paraId="7E9024E1">
      <w:pPr>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联系人及电话：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报价时间：      年   月  日</w:t>
      </w:r>
    </w:p>
    <w:p w14:paraId="65675181">
      <w:pPr>
        <w:widowControl/>
        <w:jc w:val="left"/>
        <w:rPr>
          <w:rFonts w:hint="eastAsia"/>
        </w:rPr>
      </w:pPr>
    </w:p>
    <w:sectPr>
      <w:footerReference r:id="rId3" w:type="default"/>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BBE4">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6641A">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B6641A">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p w14:paraId="6667DFD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E3C4C"/>
    <w:multiLevelType w:val="singleLevel"/>
    <w:tmpl w:val="B0DE3C4C"/>
    <w:lvl w:ilvl="0" w:tentative="0">
      <w:start w:val="1"/>
      <w:numFmt w:val="decimal"/>
      <w:lvlText w:val="%1."/>
      <w:lvlJc w:val="left"/>
      <w:pPr>
        <w:tabs>
          <w:tab w:val="left" w:pos="312"/>
        </w:tabs>
      </w:pPr>
    </w:lvl>
  </w:abstractNum>
  <w:abstractNum w:abstractNumId="1">
    <w:nsid w:val="45552D4A"/>
    <w:multiLevelType w:val="singleLevel"/>
    <w:tmpl w:val="45552D4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NDUwMDYwOTYxMzIzODI5ZDBiOWJlZDQyNTk2MTMifQ=="/>
  </w:docVars>
  <w:rsids>
    <w:rsidRoot w:val="00323E91"/>
    <w:rsid w:val="000027AE"/>
    <w:rsid w:val="00016A7D"/>
    <w:rsid w:val="000216FB"/>
    <w:rsid w:val="00021B2D"/>
    <w:rsid w:val="00027F1F"/>
    <w:rsid w:val="00037B90"/>
    <w:rsid w:val="00046182"/>
    <w:rsid w:val="00046F1E"/>
    <w:rsid w:val="00050118"/>
    <w:rsid w:val="00052505"/>
    <w:rsid w:val="00056B6E"/>
    <w:rsid w:val="00090ED3"/>
    <w:rsid w:val="000A6CB9"/>
    <w:rsid w:val="000B55BB"/>
    <w:rsid w:val="000B7B23"/>
    <w:rsid w:val="000B7F97"/>
    <w:rsid w:val="000C4097"/>
    <w:rsid w:val="000F2A4B"/>
    <w:rsid w:val="000F5B67"/>
    <w:rsid w:val="000F74F2"/>
    <w:rsid w:val="000F77D0"/>
    <w:rsid w:val="00100A11"/>
    <w:rsid w:val="00123869"/>
    <w:rsid w:val="00134604"/>
    <w:rsid w:val="00135FC8"/>
    <w:rsid w:val="00140A16"/>
    <w:rsid w:val="0014187B"/>
    <w:rsid w:val="00141C37"/>
    <w:rsid w:val="00142370"/>
    <w:rsid w:val="0014413E"/>
    <w:rsid w:val="00151127"/>
    <w:rsid w:val="00153DDC"/>
    <w:rsid w:val="0015556E"/>
    <w:rsid w:val="00155AF4"/>
    <w:rsid w:val="00160832"/>
    <w:rsid w:val="00163089"/>
    <w:rsid w:val="00163177"/>
    <w:rsid w:val="001634FD"/>
    <w:rsid w:val="001656BE"/>
    <w:rsid w:val="00180803"/>
    <w:rsid w:val="00183B3D"/>
    <w:rsid w:val="001A5B4E"/>
    <w:rsid w:val="001C3BBF"/>
    <w:rsid w:val="001E0C2D"/>
    <w:rsid w:val="001F5914"/>
    <w:rsid w:val="00212B58"/>
    <w:rsid w:val="00216841"/>
    <w:rsid w:val="0022300B"/>
    <w:rsid w:val="00225625"/>
    <w:rsid w:val="00226809"/>
    <w:rsid w:val="0023254C"/>
    <w:rsid w:val="002414EF"/>
    <w:rsid w:val="00247112"/>
    <w:rsid w:val="00247582"/>
    <w:rsid w:val="00254FDA"/>
    <w:rsid w:val="002668DB"/>
    <w:rsid w:val="00285203"/>
    <w:rsid w:val="002A25A0"/>
    <w:rsid w:val="002A5470"/>
    <w:rsid w:val="002B7636"/>
    <w:rsid w:val="002F13B3"/>
    <w:rsid w:val="002F1B00"/>
    <w:rsid w:val="00302AE6"/>
    <w:rsid w:val="00317C18"/>
    <w:rsid w:val="00323E91"/>
    <w:rsid w:val="003357FB"/>
    <w:rsid w:val="00337CC7"/>
    <w:rsid w:val="00342463"/>
    <w:rsid w:val="003439E1"/>
    <w:rsid w:val="00351FD3"/>
    <w:rsid w:val="003635CE"/>
    <w:rsid w:val="0038393F"/>
    <w:rsid w:val="003C6246"/>
    <w:rsid w:val="003D6090"/>
    <w:rsid w:val="003F706F"/>
    <w:rsid w:val="00403DF6"/>
    <w:rsid w:val="00404F2B"/>
    <w:rsid w:val="00406FE9"/>
    <w:rsid w:val="00411605"/>
    <w:rsid w:val="004145F3"/>
    <w:rsid w:val="004149AD"/>
    <w:rsid w:val="00420792"/>
    <w:rsid w:val="0042081A"/>
    <w:rsid w:val="00425992"/>
    <w:rsid w:val="00432CFB"/>
    <w:rsid w:val="00442BAF"/>
    <w:rsid w:val="004539C4"/>
    <w:rsid w:val="004540B3"/>
    <w:rsid w:val="004642BF"/>
    <w:rsid w:val="00470B3C"/>
    <w:rsid w:val="00476A12"/>
    <w:rsid w:val="00477BD4"/>
    <w:rsid w:val="00490E4C"/>
    <w:rsid w:val="004929F6"/>
    <w:rsid w:val="004930F4"/>
    <w:rsid w:val="004A4A47"/>
    <w:rsid w:val="004A6FC0"/>
    <w:rsid w:val="004B4559"/>
    <w:rsid w:val="004C4224"/>
    <w:rsid w:val="004E5EDD"/>
    <w:rsid w:val="00513C5A"/>
    <w:rsid w:val="005204A5"/>
    <w:rsid w:val="00535F80"/>
    <w:rsid w:val="005411A0"/>
    <w:rsid w:val="005417D3"/>
    <w:rsid w:val="00546C13"/>
    <w:rsid w:val="00563490"/>
    <w:rsid w:val="0059140A"/>
    <w:rsid w:val="005A31DC"/>
    <w:rsid w:val="005B47AE"/>
    <w:rsid w:val="005B4AB9"/>
    <w:rsid w:val="005B5894"/>
    <w:rsid w:val="005C2284"/>
    <w:rsid w:val="005C35B1"/>
    <w:rsid w:val="005C4EA5"/>
    <w:rsid w:val="005C6938"/>
    <w:rsid w:val="005D2EA4"/>
    <w:rsid w:val="005D5A03"/>
    <w:rsid w:val="005E0350"/>
    <w:rsid w:val="005E4CA1"/>
    <w:rsid w:val="005F00DF"/>
    <w:rsid w:val="005F4A3D"/>
    <w:rsid w:val="00600969"/>
    <w:rsid w:val="006103FE"/>
    <w:rsid w:val="00621B14"/>
    <w:rsid w:val="00653B85"/>
    <w:rsid w:val="00660D4F"/>
    <w:rsid w:val="00663B61"/>
    <w:rsid w:val="00667743"/>
    <w:rsid w:val="00671240"/>
    <w:rsid w:val="00674A14"/>
    <w:rsid w:val="006A7BF3"/>
    <w:rsid w:val="006B5DD6"/>
    <w:rsid w:val="006C0164"/>
    <w:rsid w:val="006C7A04"/>
    <w:rsid w:val="006D3955"/>
    <w:rsid w:val="006D71C0"/>
    <w:rsid w:val="006E1992"/>
    <w:rsid w:val="006E3C97"/>
    <w:rsid w:val="006F0958"/>
    <w:rsid w:val="006F0A20"/>
    <w:rsid w:val="007052C9"/>
    <w:rsid w:val="00710801"/>
    <w:rsid w:val="007278F0"/>
    <w:rsid w:val="00731465"/>
    <w:rsid w:val="007318BA"/>
    <w:rsid w:val="00745BAF"/>
    <w:rsid w:val="007618A8"/>
    <w:rsid w:val="00773663"/>
    <w:rsid w:val="007805A2"/>
    <w:rsid w:val="007840F3"/>
    <w:rsid w:val="007872DD"/>
    <w:rsid w:val="007A28F2"/>
    <w:rsid w:val="007A393D"/>
    <w:rsid w:val="007C038E"/>
    <w:rsid w:val="007C339D"/>
    <w:rsid w:val="007C4F24"/>
    <w:rsid w:val="007D1C04"/>
    <w:rsid w:val="007D4D5D"/>
    <w:rsid w:val="007E1B12"/>
    <w:rsid w:val="007E69A6"/>
    <w:rsid w:val="00811162"/>
    <w:rsid w:val="008225C5"/>
    <w:rsid w:val="008301E7"/>
    <w:rsid w:val="00832F27"/>
    <w:rsid w:val="0083436B"/>
    <w:rsid w:val="00843666"/>
    <w:rsid w:val="008476DC"/>
    <w:rsid w:val="0085434F"/>
    <w:rsid w:val="008610DA"/>
    <w:rsid w:val="008617B5"/>
    <w:rsid w:val="00873EBC"/>
    <w:rsid w:val="008902F3"/>
    <w:rsid w:val="00893EF8"/>
    <w:rsid w:val="00895696"/>
    <w:rsid w:val="008A5818"/>
    <w:rsid w:val="008B25A0"/>
    <w:rsid w:val="008C11D7"/>
    <w:rsid w:val="008D422A"/>
    <w:rsid w:val="008D575C"/>
    <w:rsid w:val="008F1DEE"/>
    <w:rsid w:val="008F38D8"/>
    <w:rsid w:val="00901244"/>
    <w:rsid w:val="009170D4"/>
    <w:rsid w:val="009211FB"/>
    <w:rsid w:val="009224B1"/>
    <w:rsid w:val="00932581"/>
    <w:rsid w:val="009456C0"/>
    <w:rsid w:val="00947199"/>
    <w:rsid w:val="0095096A"/>
    <w:rsid w:val="00961B3B"/>
    <w:rsid w:val="009701FD"/>
    <w:rsid w:val="00970BCF"/>
    <w:rsid w:val="00976FEC"/>
    <w:rsid w:val="009814A8"/>
    <w:rsid w:val="00982DF4"/>
    <w:rsid w:val="009853BC"/>
    <w:rsid w:val="009A0B95"/>
    <w:rsid w:val="009A0E0F"/>
    <w:rsid w:val="009A1999"/>
    <w:rsid w:val="009A7C17"/>
    <w:rsid w:val="009C5D40"/>
    <w:rsid w:val="009C6D64"/>
    <w:rsid w:val="009E0537"/>
    <w:rsid w:val="009E6360"/>
    <w:rsid w:val="009E6CC6"/>
    <w:rsid w:val="009F4EA0"/>
    <w:rsid w:val="00A046DC"/>
    <w:rsid w:val="00A1417F"/>
    <w:rsid w:val="00A17271"/>
    <w:rsid w:val="00A561B4"/>
    <w:rsid w:val="00A704D3"/>
    <w:rsid w:val="00A70957"/>
    <w:rsid w:val="00A71685"/>
    <w:rsid w:val="00A75B05"/>
    <w:rsid w:val="00A8358E"/>
    <w:rsid w:val="00A8380E"/>
    <w:rsid w:val="00A859A7"/>
    <w:rsid w:val="00A96F6D"/>
    <w:rsid w:val="00AB35C0"/>
    <w:rsid w:val="00AE189E"/>
    <w:rsid w:val="00AF00AF"/>
    <w:rsid w:val="00AF38C6"/>
    <w:rsid w:val="00AF64A1"/>
    <w:rsid w:val="00B01CA7"/>
    <w:rsid w:val="00B16098"/>
    <w:rsid w:val="00B24C50"/>
    <w:rsid w:val="00B24F82"/>
    <w:rsid w:val="00B30C04"/>
    <w:rsid w:val="00B55B1E"/>
    <w:rsid w:val="00B650A6"/>
    <w:rsid w:val="00B7027D"/>
    <w:rsid w:val="00B7522B"/>
    <w:rsid w:val="00B7588F"/>
    <w:rsid w:val="00B80791"/>
    <w:rsid w:val="00B836C7"/>
    <w:rsid w:val="00B8587E"/>
    <w:rsid w:val="00BA177A"/>
    <w:rsid w:val="00BA74EA"/>
    <w:rsid w:val="00BD41CE"/>
    <w:rsid w:val="00BE1600"/>
    <w:rsid w:val="00BE542F"/>
    <w:rsid w:val="00BF0888"/>
    <w:rsid w:val="00BF7B6A"/>
    <w:rsid w:val="00C12C41"/>
    <w:rsid w:val="00C2317B"/>
    <w:rsid w:val="00C3333A"/>
    <w:rsid w:val="00C66CA5"/>
    <w:rsid w:val="00C724C1"/>
    <w:rsid w:val="00C82971"/>
    <w:rsid w:val="00CB580F"/>
    <w:rsid w:val="00CC3BD9"/>
    <w:rsid w:val="00CD1BDC"/>
    <w:rsid w:val="00CD553E"/>
    <w:rsid w:val="00CE7D49"/>
    <w:rsid w:val="00CF0A14"/>
    <w:rsid w:val="00D11D81"/>
    <w:rsid w:val="00D12C6E"/>
    <w:rsid w:val="00D14C33"/>
    <w:rsid w:val="00D15DDB"/>
    <w:rsid w:val="00D25C69"/>
    <w:rsid w:val="00D402E5"/>
    <w:rsid w:val="00D439AA"/>
    <w:rsid w:val="00D569CE"/>
    <w:rsid w:val="00D66409"/>
    <w:rsid w:val="00D75B17"/>
    <w:rsid w:val="00D83BCC"/>
    <w:rsid w:val="00D96B09"/>
    <w:rsid w:val="00D970CF"/>
    <w:rsid w:val="00DA4877"/>
    <w:rsid w:val="00DB0F9C"/>
    <w:rsid w:val="00DB54F6"/>
    <w:rsid w:val="00DC5140"/>
    <w:rsid w:val="00DD02C3"/>
    <w:rsid w:val="00DE0EE1"/>
    <w:rsid w:val="00E02F42"/>
    <w:rsid w:val="00E104FB"/>
    <w:rsid w:val="00E168F2"/>
    <w:rsid w:val="00E22306"/>
    <w:rsid w:val="00E35747"/>
    <w:rsid w:val="00E46D14"/>
    <w:rsid w:val="00E7145D"/>
    <w:rsid w:val="00E7369C"/>
    <w:rsid w:val="00EA1FB5"/>
    <w:rsid w:val="00EB520F"/>
    <w:rsid w:val="00ED2847"/>
    <w:rsid w:val="00ED76A8"/>
    <w:rsid w:val="00EE28B9"/>
    <w:rsid w:val="00F05FF4"/>
    <w:rsid w:val="00F069B4"/>
    <w:rsid w:val="00F10DC0"/>
    <w:rsid w:val="00F14E39"/>
    <w:rsid w:val="00F21D5C"/>
    <w:rsid w:val="00F3216E"/>
    <w:rsid w:val="00F47803"/>
    <w:rsid w:val="00F52CB5"/>
    <w:rsid w:val="00F650D1"/>
    <w:rsid w:val="00F65C75"/>
    <w:rsid w:val="00F6776C"/>
    <w:rsid w:val="00F70814"/>
    <w:rsid w:val="00F74D96"/>
    <w:rsid w:val="00F84C0E"/>
    <w:rsid w:val="00F9362B"/>
    <w:rsid w:val="00F9737B"/>
    <w:rsid w:val="00FA538F"/>
    <w:rsid w:val="00FB38F7"/>
    <w:rsid w:val="00FB7891"/>
    <w:rsid w:val="00FC025D"/>
    <w:rsid w:val="00FD6B74"/>
    <w:rsid w:val="0128706F"/>
    <w:rsid w:val="01584D5D"/>
    <w:rsid w:val="01C3705A"/>
    <w:rsid w:val="022C0730"/>
    <w:rsid w:val="03271D0A"/>
    <w:rsid w:val="0381129E"/>
    <w:rsid w:val="03B52861"/>
    <w:rsid w:val="042145B2"/>
    <w:rsid w:val="044C2AFC"/>
    <w:rsid w:val="048E5512"/>
    <w:rsid w:val="04CD1B01"/>
    <w:rsid w:val="0503786E"/>
    <w:rsid w:val="06350ECF"/>
    <w:rsid w:val="06A84697"/>
    <w:rsid w:val="08131F58"/>
    <w:rsid w:val="090237F6"/>
    <w:rsid w:val="091B0743"/>
    <w:rsid w:val="097A7268"/>
    <w:rsid w:val="097E2958"/>
    <w:rsid w:val="09BA7FCB"/>
    <w:rsid w:val="09BC4298"/>
    <w:rsid w:val="0A2C39C3"/>
    <w:rsid w:val="0AAE38AA"/>
    <w:rsid w:val="0B4A69A3"/>
    <w:rsid w:val="0BDE12F0"/>
    <w:rsid w:val="0D261E54"/>
    <w:rsid w:val="0DC33CE1"/>
    <w:rsid w:val="0DFA2535"/>
    <w:rsid w:val="0E236E8B"/>
    <w:rsid w:val="0E756839"/>
    <w:rsid w:val="0E794085"/>
    <w:rsid w:val="0EC212E7"/>
    <w:rsid w:val="0EE80CB4"/>
    <w:rsid w:val="0F557518"/>
    <w:rsid w:val="10426AF1"/>
    <w:rsid w:val="10781DDA"/>
    <w:rsid w:val="117D4B05"/>
    <w:rsid w:val="121924CF"/>
    <w:rsid w:val="124E0633"/>
    <w:rsid w:val="13F67CD3"/>
    <w:rsid w:val="14B8222C"/>
    <w:rsid w:val="14CF6C0E"/>
    <w:rsid w:val="15281BE1"/>
    <w:rsid w:val="157A67FF"/>
    <w:rsid w:val="15BF72EB"/>
    <w:rsid w:val="15C0732C"/>
    <w:rsid w:val="168808AA"/>
    <w:rsid w:val="16A00669"/>
    <w:rsid w:val="1805626C"/>
    <w:rsid w:val="18121892"/>
    <w:rsid w:val="192E50A6"/>
    <w:rsid w:val="19663D04"/>
    <w:rsid w:val="1ACC4834"/>
    <w:rsid w:val="1B767A7C"/>
    <w:rsid w:val="1BBF11B9"/>
    <w:rsid w:val="1C4D4374"/>
    <w:rsid w:val="1C732ECF"/>
    <w:rsid w:val="1E370A85"/>
    <w:rsid w:val="1E3F2A4F"/>
    <w:rsid w:val="1E820572"/>
    <w:rsid w:val="1F0742BF"/>
    <w:rsid w:val="1F180825"/>
    <w:rsid w:val="1F6119F3"/>
    <w:rsid w:val="1F9115EE"/>
    <w:rsid w:val="1F927AB5"/>
    <w:rsid w:val="1FAA30B4"/>
    <w:rsid w:val="200645AA"/>
    <w:rsid w:val="21C6373D"/>
    <w:rsid w:val="22396A5B"/>
    <w:rsid w:val="223F0B3B"/>
    <w:rsid w:val="224903BB"/>
    <w:rsid w:val="225342BC"/>
    <w:rsid w:val="23341EB7"/>
    <w:rsid w:val="235C320F"/>
    <w:rsid w:val="23837435"/>
    <w:rsid w:val="23923810"/>
    <w:rsid w:val="23F772B1"/>
    <w:rsid w:val="262B6D98"/>
    <w:rsid w:val="276E68CF"/>
    <w:rsid w:val="27DF6184"/>
    <w:rsid w:val="285C1EF5"/>
    <w:rsid w:val="28CC1864"/>
    <w:rsid w:val="28F073BE"/>
    <w:rsid w:val="292479BE"/>
    <w:rsid w:val="2B783212"/>
    <w:rsid w:val="2C6D6374"/>
    <w:rsid w:val="2DFA155F"/>
    <w:rsid w:val="2E6E0074"/>
    <w:rsid w:val="2F0A47B3"/>
    <w:rsid w:val="2F2220C9"/>
    <w:rsid w:val="2F666780"/>
    <w:rsid w:val="31126A65"/>
    <w:rsid w:val="315C03B8"/>
    <w:rsid w:val="32255F33"/>
    <w:rsid w:val="32787510"/>
    <w:rsid w:val="32885059"/>
    <w:rsid w:val="330D4D86"/>
    <w:rsid w:val="33957634"/>
    <w:rsid w:val="35002757"/>
    <w:rsid w:val="35030D46"/>
    <w:rsid w:val="358911D0"/>
    <w:rsid w:val="35A06C1A"/>
    <w:rsid w:val="35A83224"/>
    <w:rsid w:val="378C575F"/>
    <w:rsid w:val="37B07CFE"/>
    <w:rsid w:val="389C3213"/>
    <w:rsid w:val="39100ECB"/>
    <w:rsid w:val="3AA12893"/>
    <w:rsid w:val="3B1905DF"/>
    <w:rsid w:val="3B2214A0"/>
    <w:rsid w:val="3D8579E4"/>
    <w:rsid w:val="3F31097D"/>
    <w:rsid w:val="3FA23ADF"/>
    <w:rsid w:val="40854B1C"/>
    <w:rsid w:val="40A2730F"/>
    <w:rsid w:val="428B361F"/>
    <w:rsid w:val="43403FCD"/>
    <w:rsid w:val="43881312"/>
    <w:rsid w:val="45766610"/>
    <w:rsid w:val="459E4F27"/>
    <w:rsid w:val="466359B8"/>
    <w:rsid w:val="467B049D"/>
    <w:rsid w:val="47B11D06"/>
    <w:rsid w:val="48CB0489"/>
    <w:rsid w:val="48D244A2"/>
    <w:rsid w:val="491832E6"/>
    <w:rsid w:val="492D4771"/>
    <w:rsid w:val="4AEF555D"/>
    <w:rsid w:val="4B5532C1"/>
    <w:rsid w:val="4BD3082A"/>
    <w:rsid w:val="4BF96069"/>
    <w:rsid w:val="4E067654"/>
    <w:rsid w:val="4E91564F"/>
    <w:rsid w:val="4EF944A0"/>
    <w:rsid w:val="4FB35908"/>
    <w:rsid w:val="4FEA7732"/>
    <w:rsid w:val="504F0D3A"/>
    <w:rsid w:val="507F6A31"/>
    <w:rsid w:val="51DB5D48"/>
    <w:rsid w:val="529247BF"/>
    <w:rsid w:val="52B96672"/>
    <w:rsid w:val="53EC4213"/>
    <w:rsid w:val="54826874"/>
    <w:rsid w:val="54CA52FE"/>
    <w:rsid w:val="54D970F9"/>
    <w:rsid w:val="5527793F"/>
    <w:rsid w:val="56141B00"/>
    <w:rsid w:val="56501DE3"/>
    <w:rsid w:val="58456A80"/>
    <w:rsid w:val="586C2386"/>
    <w:rsid w:val="58CF7DE7"/>
    <w:rsid w:val="594F5034"/>
    <w:rsid w:val="5A826571"/>
    <w:rsid w:val="5AD93E20"/>
    <w:rsid w:val="5AF772D4"/>
    <w:rsid w:val="5C3B1F78"/>
    <w:rsid w:val="5C4307BC"/>
    <w:rsid w:val="5C5751FB"/>
    <w:rsid w:val="5C732165"/>
    <w:rsid w:val="5CDB5A7D"/>
    <w:rsid w:val="5D786497"/>
    <w:rsid w:val="5E257683"/>
    <w:rsid w:val="5E8B3868"/>
    <w:rsid w:val="5EAA2089"/>
    <w:rsid w:val="603734F7"/>
    <w:rsid w:val="609D207B"/>
    <w:rsid w:val="60A778DC"/>
    <w:rsid w:val="610F5B2B"/>
    <w:rsid w:val="61435CBB"/>
    <w:rsid w:val="6187426C"/>
    <w:rsid w:val="62540537"/>
    <w:rsid w:val="62582B43"/>
    <w:rsid w:val="629D032B"/>
    <w:rsid w:val="62AA3C5F"/>
    <w:rsid w:val="62C055F2"/>
    <w:rsid w:val="641F27C1"/>
    <w:rsid w:val="64D03BE1"/>
    <w:rsid w:val="651D3527"/>
    <w:rsid w:val="65843523"/>
    <w:rsid w:val="65E035FB"/>
    <w:rsid w:val="65FC1A0C"/>
    <w:rsid w:val="662B6920"/>
    <w:rsid w:val="66EC0405"/>
    <w:rsid w:val="67CE160F"/>
    <w:rsid w:val="68486C4C"/>
    <w:rsid w:val="68D97CB5"/>
    <w:rsid w:val="68DB6283"/>
    <w:rsid w:val="69895387"/>
    <w:rsid w:val="69A5614D"/>
    <w:rsid w:val="6A052651"/>
    <w:rsid w:val="6A462E5B"/>
    <w:rsid w:val="6AD54CC0"/>
    <w:rsid w:val="6ADE1FDD"/>
    <w:rsid w:val="6B142956"/>
    <w:rsid w:val="6B3A3AE0"/>
    <w:rsid w:val="6B726DFF"/>
    <w:rsid w:val="6C3552CC"/>
    <w:rsid w:val="6C3A73B2"/>
    <w:rsid w:val="6D3E091B"/>
    <w:rsid w:val="6D714CE1"/>
    <w:rsid w:val="6EFF40BA"/>
    <w:rsid w:val="6F08090C"/>
    <w:rsid w:val="6F2F517E"/>
    <w:rsid w:val="6F9A0E00"/>
    <w:rsid w:val="6FB7699D"/>
    <w:rsid w:val="7097796C"/>
    <w:rsid w:val="71872601"/>
    <w:rsid w:val="71D25EC2"/>
    <w:rsid w:val="735B29A7"/>
    <w:rsid w:val="73625C20"/>
    <w:rsid w:val="746F6A71"/>
    <w:rsid w:val="7500352E"/>
    <w:rsid w:val="76467F03"/>
    <w:rsid w:val="76E77ABF"/>
    <w:rsid w:val="76F52F52"/>
    <w:rsid w:val="7728365D"/>
    <w:rsid w:val="77897CFC"/>
    <w:rsid w:val="78166BF8"/>
    <w:rsid w:val="781D3731"/>
    <w:rsid w:val="78341E80"/>
    <w:rsid w:val="785E3DC0"/>
    <w:rsid w:val="7863555C"/>
    <w:rsid w:val="78722DA6"/>
    <w:rsid w:val="78BD2B4B"/>
    <w:rsid w:val="78CF2934"/>
    <w:rsid w:val="79C14546"/>
    <w:rsid w:val="79D66271"/>
    <w:rsid w:val="7A6D78EC"/>
    <w:rsid w:val="7A972F90"/>
    <w:rsid w:val="7AFF70F3"/>
    <w:rsid w:val="7B4952E1"/>
    <w:rsid w:val="7C2B4CD6"/>
    <w:rsid w:val="7C2E4E83"/>
    <w:rsid w:val="7C72564A"/>
    <w:rsid w:val="7DA00A78"/>
    <w:rsid w:val="7E265F1C"/>
    <w:rsid w:val="7E27056A"/>
    <w:rsid w:val="7E4746F2"/>
    <w:rsid w:val="7E72421F"/>
    <w:rsid w:val="7EB0644D"/>
    <w:rsid w:val="7F247A4C"/>
    <w:rsid w:val="7F4D6AC4"/>
    <w:rsid w:val="7F9C78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6"/>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annotation text"/>
    <w:basedOn w:val="1"/>
    <w:link w:val="28"/>
    <w:qFormat/>
    <w:uiPriority w:val="0"/>
    <w:pPr>
      <w:jc w:val="left"/>
    </w:pPr>
  </w:style>
  <w:style w:type="paragraph" w:styleId="7">
    <w:name w:val="Body Text"/>
    <w:basedOn w:val="1"/>
    <w:next w:val="8"/>
    <w:qFormat/>
    <w:uiPriority w:val="1"/>
    <w:rPr>
      <w:rFonts w:ascii="宋体" w:hAnsi="宋体" w:eastAsia="宋体" w:cs="宋体"/>
      <w:szCs w:val="21"/>
    </w:rPr>
  </w:style>
  <w:style w:type="paragraph" w:customStyle="1" w:styleId="8">
    <w:name w:val="表"/>
    <w:basedOn w:val="1"/>
    <w:qFormat/>
    <w:uiPriority w:val="0"/>
    <w:pPr>
      <w:widowControl/>
      <w:spacing w:line="240" w:lineRule="auto"/>
      <w:ind w:firstLine="0" w:firstLineChars="0"/>
      <w:jc w:val="center"/>
    </w:pPr>
    <w:rPr>
      <w:sz w:val="21"/>
    </w:rPr>
  </w:style>
  <w:style w:type="paragraph" w:styleId="9">
    <w:name w:val="Plain Text"/>
    <w:basedOn w:val="1"/>
    <w:next w:val="5"/>
    <w:link w:val="32"/>
    <w:qFormat/>
    <w:uiPriority w:val="0"/>
    <w:rPr>
      <w:rFonts w:ascii="宋体" w:hAnsi="Courier New" w:eastAsia="宋体" w:cs="Times New Roman"/>
      <w:szCs w:val="20"/>
    </w:rPr>
  </w:style>
  <w:style w:type="paragraph" w:styleId="10">
    <w:name w:val="Balloon Text"/>
    <w:basedOn w:val="1"/>
    <w:link w:val="27"/>
    <w:qFormat/>
    <w:uiPriority w:val="0"/>
    <w:rPr>
      <w:sz w:val="18"/>
      <w:szCs w:val="18"/>
    </w:rPr>
  </w:style>
  <w:style w:type="paragraph" w:styleId="11">
    <w:name w:val="footer"/>
    <w:basedOn w:val="1"/>
    <w:link w:val="31"/>
    <w:qFormat/>
    <w:uiPriority w:val="99"/>
    <w:pPr>
      <w:tabs>
        <w:tab w:val="center" w:pos="4153"/>
        <w:tab w:val="right" w:pos="8306"/>
      </w:tabs>
      <w:snapToGrid w:val="0"/>
      <w:jc w:val="left"/>
    </w:pPr>
    <w:rPr>
      <w:sz w:val="18"/>
      <w:szCs w:val="18"/>
    </w:rPr>
  </w:style>
  <w:style w:type="paragraph" w:styleId="12">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29"/>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basedOn w:val="16"/>
    <w:semiHidden/>
    <w:unhideWhenUsed/>
    <w:qFormat/>
    <w:uiPriority w:val="0"/>
    <w:rPr>
      <w:color w:val="0000FF"/>
      <w:u w:val="single"/>
    </w:rPr>
  </w:style>
  <w:style w:type="character" w:styleId="19">
    <w:name w:val="annotation reference"/>
    <w:basedOn w:val="16"/>
    <w:qFormat/>
    <w:uiPriority w:val="0"/>
    <w:rPr>
      <w:sz w:val="21"/>
      <w:szCs w:val="21"/>
    </w:rPr>
  </w:style>
  <w:style w:type="paragraph" w:customStyle="1" w:styleId="20">
    <w:name w:val="_Style 3"/>
    <w:basedOn w:val="1"/>
    <w:next w:val="1"/>
    <w:qFormat/>
    <w:uiPriority w:val="34"/>
    <w:pPr>
      <w:ind w:firstLine="420" w:firstLineChars="200"/>
    </w:pPr>
    <w:rPr>
      <w:rFonts w:ascii="Calibri" w:hAnsi="Calibri" w:eastAsia="宋体" w:cs="Times New Roman"/>
      <w:szCs w:val="22"/>
    </w:rPr>
  </w:style>
  <w:style w:type="paragraph" w:customStyle="1" w:styleId="21">
    <w:name w:val="Table Paragraph"/>
    <w:basedOn w:val="1"/>
    <w:qFormat/>
    <w:uiPriority w:val="1"/>
    <w:rPr>
      <w:rFonts w:ascii="宋体" w:hAnsi="宋体" w:eastAsia="宋体" w:cs="宋体"/>
    </w:rPr>
  </w:style>
  <w:style w:type="paragraph" w:styleId="22">
    <w:name w:val="List Paragraph"/>
    <w:basedOn w:val="1"/>
    <w:qFormat/>
    <w:uiPriority w:val="34"/>
    <w:pPr>
      <w:ind w:firstLine="420" w:firstLineChars="200"/>
    </w:pPr>
  </w:style>
  <w:style w:type="character" w:customStyle="1" w:styleId="23">
    <w:name w:val="font01"/>
    <w:basedOn w:val="16"/>
    <w:qFormat/>
    <w:uiPriority w:val="0"/>
    <w:rPr>
      <w:rFonts w:ascii="微软雅黑" w:hAnsi="微软雅黑" w:eastAsia="微软雅黑" w:cs="微软雅黑"/>
      <w:color w:val="000000"/>
      <w:sz w:val="20"/>
      <w:szCs w:val="20"/>
      <w:u w:val="none"/>
    </w:rPr>
  </w:style>
  <w:style w:type="character" w:customStyle="1" w:styleId="24">
    <w:name w:val="font11"/>
    <w:basedOn w:val="16"/>
    <w:qFormat/>
    <w:uiPriority w:val="0"/>
    <w:rPr>
      <w:rFonts w:hint="eastAsia" w:ascii="宋体" w:hAnsi="宋体" w:eastAsia="宋体" w:cs="宋体"/>
      <w:color w:val="000000"/>
      <w:sz w:val="20"/>
      <w:szCs w:val="20"/>
      <w:u w:val="none"/>
    </w:rPr>
  </w:style>
  <w:style w:type="character" w:customStyle="1" w:styleId="25">
    <w:name w:val="font81"/>
    <w:basedOn w:val="16"/>
    <w:qFormat/>
    <w:uiPriority w:val="0"/>
    <w:rPr>
      <w:rFonts w:hint="eastAsia" w:ascii="宋体" w:hAnsi="宋体" w:eastAsia="宋体" w:cs="宋体"/>
      <w:color w:val="FF0000"/>
      <w:sz w:val="28"/>
      <w:szCs w:val="28"/>
      <w:u w:val="none"/>
    </w:rPr>
  </w:style>
  <w:style w:type="character" w:customStyle="1" w:styleId="26">
    <w:name w:val="font71"/>
    <w:basedOn w:val="16"/>
    <w:qFormat/>
    <w:uiPriority w:val="0"/>
    <w:rPr>
      <w:rFonts w:hint="eastAsia" w:ascii="宋体" w:hAnsi="宋体" w:eastAsia="宋体" w:cs="宋体"/>
      <w:color w:val="000000"/>
      <w:sz w:val="28"/>
      <w:szCs w:val="28"/>
      <w:u w:val="none"/>
    </w:rPr>
  </w:style>
  <w:style w:type="character" w:customStyle="1" w:styleId="27">
    <w:name w:val="批注框文本 字符"/>
    <w:basedOn w:val="16"/>
    <w:link w:val="10"/>
    <w:qFormat/>
    <w:uiPriority w:val="0"/>
    <w:rPr>
      <w:rFonts w:asciiTheme="minorHAnsi" w:hAnsiTheme="minorHAnsi" w:eastAsiaTheme="minorEastAsia" w:cstheme="minorBidi"/>
      <w:kern w:val="2"/>
      <w:sz w:val="18"/>
      <w:szCs w:val="18"/>
    </w:rPr>
  </w:style>
  <w:style w:type="character" w:customStyle="1" w:styleId="28">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13"/>
    <w:qFormat/>
    <w:uiPriority w:val="0"/>
    <w:rPr>
      <w:rFonts w:asciiTheme="minorHAnsi" w:hAnsiTheme="minorHAnsi" w:eastAsiaTheme="minorEastAsia" w:cstheme="minorBidi"/>
      <w:b/>
      <w:bCs/>
      <w:kern w:val="2"/>
      <w:sz w:val="21"/>
      <w:szCs w:val="24"/>
    </w:rPr>
  </w:style>
  <w:style w:type="character" w:customStyle="1" w:styleId="30">
    <w:name w:val="页眉 字符"/>
    <w:basedOn w:val="16"/>
    <w:link w:val="12"/>
    <w:qFormat/>
    <w:uiPriority w:val="99"/>
    <w:rPr>
      <w:rFonts w:asciiTheme="minorHAnsi" w:hAnsiTheme="minorHAnsi" w:eastAsiaTheme="minorEastAsia" w:cstheme="minorBidi"/>
      <w:kern w:val="2"/>
      <w:sz w:val="18"/>
      <w:szCs w:val="18"/>
    </w:rPr>
  </w:style>
  <w:style w:type="character" w:customStyle="1" w:styleId="31">
    <w:name w:val="页脚 字符"/>
    <w:basedOn w:val="16"/>
    <w:link w:val="11"/>
    <w:qFormat/>
    <w:uiPriority w:val="99"/>
    <w:rPr>
      <w:rFonts w:asciiTheme="minorHAnsi" w:hAnsiTheme="minorHAnsi" w:eastAsiaTheme="minorEastAsia" w:cstheme="minorBidi"/>
      <w:kern w:val="2"/>
      <w:sz w:val="18"/>
      <w:szCs w:val="18"/>
    </w:rPr>
  </w:style>
  <w:style w:type="character" w:customStyle="1" w:styleId="32">
    <w:name w:val="纯文本 字符"/>
    <w:basedOn w:val="16"/>
    <w:link w:val="9"/>
    <w:qFormat/>
    <w:uiPriority w:val="0"/>
    <w:rPr>
      <w:rFonts w:ascii="宋体" w:hAnsi="Courier New"/>
      <w:kern w:val="2"/>
      <w:sz w:val="21"/>
    </w:rPr>
  </w:style>
  <w:style w:type="character" w:customStyle="1" w:styleId="33">
    <w:name w:val="font51"/>
    <w:basedOn w:val="16"/>
    <w:qFormat/>
    <w:uiPriority w:val="0"/>
    <w:rPr>
      <w:rFonts w:hint="eastAsia" w:ascii="宋体" w:hAnsi="宋体" w:eastAsia="宋体" w:cs="宋体"/>
      <w:color w:val="000000"/>
      <w:sz w:val="12"/>
      <w:szCs w:val="12"/>
      <w:u w:val="none"/>
    </w:rPr>
  </w:style>
  <w:style w:type="character" w:customStyle="1" w:styleId="34">
    <w:name w:val="font121"/>
    <w:basedOn w:val="16"/>
    <w:qFormat/>
    <w:uiPriority w:val="0"/>
    <w:rPr>
      <w:rFonts w:hint="eastAsia" w:ascii="宋体" w:hAnsi="宋体" w:eastAsia="宋体" w:cs="宋体"/>
      <w:b/>
      <w:bCs/>
      <w:color w:val="000000"/>
      <w:sz w:val="12"/>
      <w:szCs w:val="12"/>
      <w:u w:val="none"/>
    </w:rPr>
  </w:style>
  <w:style w:type="paragraph" w:customStyle="1" w:styleId="3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6">
    <w:name w:val="标题 3 字符"/>
    <w:basedOn w:val="16"/>
    <w:link w:val="4"/>
    <w:semiHidden/>
    <w:qFormat/>
    <w:uiPriority w:val="0"/>
    <w:rPr>
      <w:rFonts w:asciiTheme="minorHAnsi" w:hAnsiTheme="minorHAnsi" w:eastAsiaTheme="minorEastAsia" w:cstheme="minorBidi"/>
      <w:b/>
      <w:bCs/>
      <w:kern w:val="2"/>
      <w:sz w:val="32"/>
      <w:szCs w:val="32"/>
    </w:rPr>
  </w:style>
  <w:style w:type="paragraph" w:customStyle="1" w:styleId="37">
    <w:name w:val="Char Char Char3"/>
    <w:basedOn w:val="1"/>
    <w:qFormat/>
    <w:uiPriority w:val="0"/>
    <w:pPr>
      <w:widowControl/>
      <w:spacing w:after="160" w:line="240" w:lineRule="exact"/>
      <w:jc w:val="left"/>
    </w:pPr>
    <w:rPr>
      <w:rFonts w:ascii="Verdana" w:hAnsi="Verdana"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B9D55-1CF2-4E3A-9667-8CDBF73A2A13}">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1233</Words>
  <Characters>1344</Characters>
  <Lines>31</Lines>
  <Paragraphs>8</Paragraphs>
  <TotalTime>3</TotalTime>
  <ScaleCrop>false</ScaleCrop>
  <LinksUpToDate>false</LinksUpToDate>
  <CharactersWithSpaces>1508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2024-09-27T01:19:00Z</dcterms:created>
  <dc:creator>Administrator</dc:creator>
  <cp:lastModifiedBy>蔡蔡</cp:lastModifiedBy>
  <cp:lastPrinted>2023-06-08T03:29:00Z</cp:lastPrinted>
  <dcterms:modified xsi:type="dcterms:W3CDTF">2026-04-01T07:37:09Z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BBCDAB5E66364F5F92E33395ABAF277B_13</vt:lpwstr>
  </property>
  <property fmtid="{D5CDD505-2E9C-101B-9397-08002B2CF9AE}" pid="4" name="KSOTemplateDocerSaveRecord">
    <vt:lpwstr>eyJoZGlkIjoiODAzMDMyMjllOTFjNGY3OGIxODc3YjBhYjA3OTgwNmQiLCJ1c2VySWQiOiI0NDkxMjQ5OTQifQ==</vt:lpwstr>
  </property>
</Properties>
</file>