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71B6B">
      <w:pPr>
        <w:jc w:val="center"/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武鸣校区部分区域新增信息化综合布线货物采购</w:t>
      </w:r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报价表</w:t>
      </w:r>
      <w:bookmarkStart w:id="0" w:name="_GoBack"/>
      <w:bookmarkEnd w:id="0"/>
    </w:p>
    <w:tbl>
      <w:tblPr>
        <w:tblStyle w:val="2"/>
        <w:tblW w:w="137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36"/>
        <w:gridCol w:w="795"/>
        <w:gridCol w:w="885"/>
        <w:gridCol w:w="6196"/>
        <w:gridCol w:w="1455"/>
        <w:gridCol w:w="1585"/>
      </w:tblGrid>
      <w:tr w14:paraId="70F2A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E3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Theme="minorEastAsia" w:hAnsi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cstheme="minorEastAsia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cstheme="minorEastAsia"/>
                <w:sz w:val="21"/>
                <w:szCs w:val="21"/>
                <w:lang w:val="en-US" w:eastAsia="zh-CN" w:bidi="ar"/>
              </w:rPr>
              <w:t>货物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参数及要求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cstheme="minorEastAsia"/>
                <w:sz w:val="21"/>
                <w:szCs w:val="21"/>
                <w:lang w:val="en-US" w:eastAsia="zh-CN" w:bidi="ar"/>
              </w:rPr>
              <w:t>单价（元）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Theme="minorEastAsia" w:hAnsi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cstheme="minorEastAsia"/>
                <w:sz w:val="21"/>
                <w:szCs w:val="21"/>
                <w:lang w:val="en-US" w:eastAsia="zh-CN" w:bidi="ar"/>
              </w:rPr>
              <w:t>金额</w:t>
            </w:r>
          </w:p>
        </w:tc>
      </w:tr>
      <w:tr w14:paraId="5FF27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芯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ODF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D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1.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符合标准：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YD/T 778-2011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材质：优质冷轧钢板整体喷塑；钢板厚度：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1.0mm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3.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可熔光纤数量：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≤12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芯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4.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配件：支持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FC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LC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ST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SC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四种类型耦合器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5.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绝缘电阻：＞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1000MΩ/500V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DC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耐电压：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3000V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DC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/1min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不击穿，无飞弧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6.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使用温度：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-40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～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70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℃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；湿度：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≤85%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+30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℃）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4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A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</w:p>
        </w:tc>
      </w:tr>
      <w:tr w14:paraId="48CCC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芯主光缆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米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4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、护套材质：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PVC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、光缆外径：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1-6.3mm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、涂层直径：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245±7μm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，包层直径：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125±1.0μm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、使用温度：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-10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～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60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℃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、纤芯颜色：蓝、橙、绿、棕、灰、白、红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黄、紫、粉红、青绿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、光纤类型：单模光纤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7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、衰减系数：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@1310nm≤0.36dB/km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@1383nm≤0.35dB/km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@1550≤0.22dB/km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@1625nm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≤0.30dB/km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、光纤衰减不均匀性：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≤0.05dB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、宏弯损耗：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@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30mm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直径）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≤0.1dB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、敷设方式：室内穿管、桥架敷设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、敷设最小弯曲半径：动态弯曲半径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≥20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倍光缆外径静态弯曲半径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≥10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倍光缆外径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、敷设拉力：建议敷设时短期拉力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≤660N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芯以下指标）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13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、使用拉力：建议使用时长期拉力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≤200N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芯以下指标）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、敷设压扁力：建议敷设时短期压扁力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≤1000N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芯以下指标）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15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、使用压扁力：建议使用时长期压扁力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≤300N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芯以下指标）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16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、施工温度：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～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40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℃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6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5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</w:p>
        </w:tc>
      </w:tr>
      <w:tr w14:paraId="2BC1C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比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16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分光器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A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1.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机架式分光器，接口：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SC/FC/LC-UPC/APC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波长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1260-1650mm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3.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温度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-40~80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摄氏度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4.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外壳材质：冷轧钢板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5.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接口数量：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分或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分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--2/4/8/16/32/64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2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6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</w:p>
        </w:tc>
      </w:tr>
      <w:tr w14:paraId="2D7B1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芯光缆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米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5CD8">
            <w:pPr>
              <w:keepNext w:val="0"/>
              <w:keepLines w:val="0"/>
              <w:widowControl/>
              <w:suppressLineNumbers w:val="0"/>
              <w:spacing w:after="360" w:afterAutospacing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、护套材质：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PVC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、光缆外径：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1-6.3mm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、涂层直径：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245±7μm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，包层直径：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125±1.0μm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、使用温度：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-10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～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60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℃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、纤芯颜色：蓝、橙、绿、棕、灰、白、红、、黄、紫、粉红、青绿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、光纤类型：单模光纤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7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、衰减系数：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@1310nm≤0.36dB/km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@1383nm≤0.35dB/km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@1550≤0.22dB/km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@1625nm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≤0.30dB/km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、光纤衰减不均匀性：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≤0.05dB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、宏弯损耗：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@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100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30mm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直径）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≤0.1dB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、敷设方式：室内穿管、桥架敷设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11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、敷设最小弯曲半径：动态弯曲半径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≥20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倍光缆外径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静态弯曲半径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≥10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倍光缆外径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、敷设拉力：建议敷设时短期拉力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≤660N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芯以下指标）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13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、使用拉力：建议使用时长期拉力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≤200N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芯以下指标）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、敷设压扁力：建议敷设时短期压扁力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≤1000N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芯以下指标）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15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、使用压扁力：建议使用时长期压扁力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≤300N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芯以下指标）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16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、施工温度：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～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40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℃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3CBB">
            <w:pPr>
              <w:keepNext w:val="0"/>
              <w:keepLines w:val="0"/>
              <w:widowControl/>
              <w:suppressLineNumbers w:val="0"/>
              <w:spacing w:after="360" w:afterAutospacing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E787">
            <w:pPr>
              <w:keepNext w:val="0"/>
              <w:keepLines w:val="0"/>
              <w:widowControl/>
              <w:suppressLineNumbers w:val="0"/>
              <w:spacing w:after="360" w:afterAutospacing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</w:p>
        </w:tc>
      </w:tr>
      <w:tr w14:paraId="2F6D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6U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机柜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2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600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宽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*450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深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*370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高，厚度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1.0mm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，钢化玻璃前门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块，方螺钉螺母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套，左右门可拆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8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7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</w:p>
        </w:tc>
      </w:tr>
      <w:tr w14:paraId="44E0E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cstheme="minorEastAsia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电源线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3x1.5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米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0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 3*1.5mm²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0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3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8E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多媒体箱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0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入户多媒体箱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300*400*100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C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A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</w:p>
        </w:tc>
      </w:tr>
      <w:tr w14:paraId="527A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只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2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1.插孔数量：10位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2.额定电压：250V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3.额定电流：10A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4.额定功率：2500W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5.配备总控开关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6.外壳材质：阻燃、耐高温工程塑料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4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A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95D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cstheme="minorEastAsia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熔纤配套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A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光纤耦合器、尾纤、SC光纤跳线等熔纤必要配件以及光纤熔纤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B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5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E5D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网线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米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3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、护套材质：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PVC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2、成品外径：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6.4±0.2mm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、导体：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99.99%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纯铜。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4、导体直径：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≥23AWG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5、导体绝缘外径：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1.02±0.05mm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、特性阻抗：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100±15Ω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7、导体间介电强度：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DC,1min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1Kv/1min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、工作电容最大值：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≤5.6nF/100m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9、单根导体最大电阻：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≤7.6Ω/100m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、线对直流电阻不平衡性：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≤2.5%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11、敷设弯曲半径：敷设弯曲半径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≥8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倍线缆外径。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、敷设拉力：敷设时短期拉力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≤110N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13、使用拉力：使用时长期拉力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≤20N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、施工温度：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～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40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℃。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15、使用温度：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-10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～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60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℃。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16、六类及以上标准网线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5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9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</w:p>
        </w:tc>
      </w:tr>
      <w:tr w14:paraId="78B20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六类单口信息面板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1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1、面板颜色：象牙白。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2、端口数：1P。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3、带弹性防尘门，有效阻止灰尘和其他污染物进入。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4、面板材质：ABS工程塑料，结实耐用。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5、外形尺寸：86X86mm。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6、可安装三类、超五类、六类、超六类。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7、使用温度：-10°C~60°C。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8、含一个六类非屏蔽模块：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（1)匹配线规：22-24AWG；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(2)模块组成:RJ45插座;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(3)标签:自带明显T568A和T568B标签；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(4)连接片采用镀金铜铍合金；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(5)插拔次数:&gt;2500次，端接寿命：&gt;200次;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(6)强度要求、耐抗击强冲击。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7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F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E47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3m成品网线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1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1.支持的数据传输速率至少应达到1Gbps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2.长度：3米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3.导体应采用23AWG规格的无氧铜（OFC），裸铜直径约为0.57mm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4.网线内部应包含十字骨架，用于分离四对双绞线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5.外皮材料应为低烟无卤（LSZH）材质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6.线缆两端应配有高质量的RJ45水晶头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5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2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278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5m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六类成品网线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2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1.支持的数据传输速率至少应达到1Gbps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2.长度：5米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3.导体应采用23AWG规格的无氧铜（OFC），裸铜直径约为0.57mm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4.网线内部应包含十字骨架，用于分离四对双绞线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5.外皮材料应为低烟无卤（LSZH）材质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6.线缆两端应配有高质量的RJ45水晶头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8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5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03F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10m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六类成品网线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7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1.支持的数据传输速率至少应达到1Gbps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2.长度：10米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3.导体应采用23AWG规格的无氧铜（OFC），裸铜直径约为0.57mm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4.网线内部应包含十字骨架，用于分离四对双绞线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5.外皮材料应为低烟无卤（LSZH）材质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6.线缆两端应配有高质量的RJ45水晶头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6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2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1AC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辅材人工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批</w:t>
            </w:r>
          </w:p>
        </w:tc>
        <w:tc>
          <w:tcPr>
            <w:tcW w:w="6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6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97间教室及报告厅、153间办公室信息点安装以及上述货物的安装辅材：扎带，标签，螺丝，pvc线槽，水晶头，网络信息底盒、分光器、ap安装架等国标配件，包含施工、安装以及按照甲方要求设备调试的人工费用，并按综合布线国家标准出测试报告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F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E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F76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30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小写金额：￥</w:t>
            </w:r>
          </w:p>
        </w:tc>
      </w:tr>
    </w:tbl>
    <w:p w14:paraId="29E72B55">
      <w:pPr>
        <w:jc w:val="both"/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</w:pPr>
    </w:p>
    <w:p w14:paraId="23CC9939">
      <w:pPr>
        <w:jc w:val="center"/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C6B39"/>
    <w:rsid w:val="23B6163F"/>
    <w:rsid w:val="379508A6"/>
    <w:rsid w:val="3B8C6B39"/>
    <w:rsid w:val="4CFF2F84"/>
    <w:rsid w:val="55146E0E"/>
    <w:rsid w:val="61B5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6">
    <w:name w:val="font41"/>
    <w:basedOn w:val="3"/>
    <w:qFormat/>
    <w:uiPriority w:val="0"/>
    <w:rPr>
      <w:rFonts w:ascii="仿宋_GB2312" w:eastAsia="仿宋_GB2312" w:cs="仿宋_GB2312"/>
      <w:color w:val="000000"/>
      <w:sz w:val="36"/>
      <w:szCs w:val="36"/>
      <w:u w:val="none"/>
    </w:rPr>
  </w:style>
  <w:style w:type="character" w:customStyle="1" w:styleId="7">
    <w:name w:val="font61"/>
    <w:basedOn w:val="3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8">
    <w:name w:val="font71"/>
    <w:basedOn w:val="3"/>
    <w:qFormat/>
    <w:uiPriority w:val="0"/>
    <w:rPr>
      <w:rFonts w:hint="default" w:ascii="Times New Roman" w:hAnsi="Times New Roman" w:cs="Times New Roman"/>
      <w:color w:val="FF0000"/>
      <w:sz w:val="36"/>
      <w:szCs w:val="36"/>
      <w:u w:val="none"/>
    </w:rPr>
  </w:style>
  <w:style w:type="character" w:customStyle="1" w:styleId="9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1874</Words>
  <Characters>2520</Characters>
  <Lines>0</Lines>
  <Paragraphs>0</Paragraphs>
  <TotalTime>47</TotalTime>
  <ScaleCrop>false</ScaleCrop>
  <LinksUpToDate>false</LinksUpToDate>
  <CharactersWithSpaces>2566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2025-08-03T01:51:00Z</dcterms:created>
  <dc:creator>lhd612</dc:creator>
  <cp:lastModifiedBy>lhd612</cp:lastModifiedBy>
  <dcterms:modified xsi:type="dcterms:W3CDTF">2025-08-03T02:47:51Z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2BB9B80879074A4CAAC22FD0EBBC5297_11</vt:lpwstr>
  </property>
  <property fmtid="{D5CDD505-2E9C-101B-9397-08002B2CF9AE}" pid="4" name="KSOTemplateDocerSaveRecord">
    <vt:lpwstr>eyJoZGlkIjoiZGI0NDEzYzdlNTVmMmRkYzdkZWRjNDc0MTFjN2YzODgiLCJ1c2VySWQiOiI4MTU1NTU1NTAifQ==</vt:lpwstr>
  </property>
</Properties>
</file>