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C8C26">
      <w:pPr>
        <w:widowControl w:val="0"/>
        <w:autoSpaceDE w:val="0"/>
        <w:autoSpaceDN w:val="0"/>
        <w:spacing w:before="146" w:line="514" w:lineRule="exact"/>
        <w:rPr>
          <w:rFonts w:ascii="仿宋" w:hAnsi="仿宋" w:eastAsia="仿宋" w:cs="仿宋_GB2312"/>
          <w:b/>
          <w:bCs/>
          <w:color w:val="000000"/>
          <w:spacing w:val="13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pacing w:val="13"/>
          <w:sz w:val="32"/>
          <w:szCs w:val="32"/>
          <w:lang w:eastAsia="zh-CN"/>
        </w:rPr>
        <w:t>附件1</w:t>
      </w:r>
    </w:p>
    <w:p w14:paraId="0EAE5901">
      <w:pPr>
        <w:widowControl w:val="0"/>
        <w:spacing w:line="540" w:lineRule="exact"/>
        <w:jc w:val="center"/>
        <w:rPr>
          <w:rFonts w:ascii="方正小标宋简体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年广西财经学院第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届学生运动会</w:t>
      </w:r>
    </w:p>
    <w:p w14:paraId="24B8168D">
      <w:pPr>
        <w:widowControl w:val="0"/>
        <w:spacing w:line="54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羽毛球混合团体赛竞赛规程</w:t>
      </w:r>
    </w:p>
    <w:p w14:paraId="44B4D511">
      <w:pPr>
        <w:widowControl w:val="0"/>
        <w:spacing w:line="54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</w:p>
    <w:p w14:paraId="011763F8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举办单位</w:t>
      </w:r>
    </w:p>
    <w:p w14:paraId="70DC713C">
      <w:pPr>
        <w:pStyle w:val="9"/>
        <w:widowControl w:val="0"/>
        <w:spacing w:line="560" w:lineRule="exact"/>
        <w:ind w:left="0" w:leftChars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主办：广西财经学院</w:t>
      </w:r>
    </w:p>
    <w:p w14:paraId="0BBA14E4">
      <w:pPr>
        <w:pStyle w:val="9"/>
        <w:widowControl w:val="0"/>
        <w:spacing w:line="240" w:lineRule="auto"/>
        <w:ind w:left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承办：体育经济与管理学院</w:t>
      </w:r>
    </w:p>
    <w:p w14:paraId="7E95DDCE">
      <w:pPr>
        <w:pStyle w:val="9"/>
        <w:widowControl w:val="0"/>
        <w:spacing w:line="560" w:lineRule="exact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协办：广西财经学院羽毛球协会</w:t>
      </w:r>
    </w:p>
    <w:p w14:paraId="75C870F4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比赛时间及地点</w:t>
      </w:r>
    </w:p>
    <w:p w14:paraId="1D275FBC">
      <w:pPr>
        <w:pStyle w:val="9"/>
        <w:widowControl w:val="0"/>
        <w:spacing w:line="560" w:lineRule="exact"/>
        <w:ind w:left="0" w:leftChars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bookmarkStart w:id="0" w:name="_Hlk100780269"/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（一）比赛时间：2025年5月27日—6月3日</w:t>
      </w:r>
    </w:p>
    <w:bookmarkEnd w:id="0"/>
    <w:p w14:paraId="21DF5785">
      <w:pPr>
        <w:pStyle w:val="9"/>
        <w:widowControl w:val="0"/>
        <w:spacing w:line="240" w:lineRule="auto"/>
        <w:ind w:left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（二）比赛地点：相思湖校区牙瑞球馆、明秀校区体育馆</w:t>
      </w:r>
    </w:p>
    <w:p w14:paraId="55E6BCD1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比赛项目</w:t>
      </w:r>
    </w:p>
    <w:p w14:paraId="506452A6">
      <w:pPr>
        <w:pStyle w:val="9"/>
        <w:widowControl w:val="0"/>
        <w:spacing w:line="560" w:lineRule="exact"/>
        <w:ind w:left="720" w:firstLine="0" w:firstLineChars="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混合团体赛：男子双打、女子双打、混合双打。</w:t>
      </w:r>
    </w:p>
    <w:p w14:paraId="740FC108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报名条件及报名办法</w:t>
      </w:r>
    </w:p>
    <w:p w14:paraId="6A19B2F4">
      <w:pPr>
        <w:pStyle w:val="9"/>
        <w:widowControl w:val="0"/>
        <w:numPr>
          <w:ilvl w:val="0"/>
          <w:numId w:val="2"/>
        </w:numPr>
        <w:spacing w:line="240" w:lineRule="auto"/>
        <w:ind w:left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原则上以二级学院为单位组队参赛。报名人员须是广西财经学院在读本科生（含专升本）、研究生，且持有广西财经学院有效学生证。如果MPACC中心单独组队参赛，其所获积分不计入各二级学院全年运动积分排行榜。</w:t>
      </w:r>
    </w:p>
    <w:p w14:paraId="4F9D9DBB">
      <w:pPr>
        <w:pStyle w:val="9"/>
        <w:widowControl w:val="0"/>
        <w:spacing w:line="240" w:lineRule="auto"/>
        <w:ind w:left="0" w:firstLine="640" w:firstLineChars="200"/>
        <w:jc w:val="both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（二）各参赛队均以所在学校各院名称为球队命名。每队限报领队1人，教练员1人，可报运动员男女各6人共12人。在一场团体赛中每个队员只能参加一项比赛，不得兼项。</w:t>
      </w:r>
    </w:p>
    <w:p w14:paraId="235518E2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（三）报名方式</w:t>
      </w:r>
    </w:p>
    <w:p w14:paraId="70498FF2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1.各参赛队伍于2025年5月23日前扫报名二维码进入报名通道填报。</w:t>
      </w:r>
    </w:p>
    <w:p w14:paraId="028EE78A">
      <w:pPr>
        <w:pStyle w:val="9"/>
        <w:ind w:left="0" w:leftChars="0" w:firstLine="0" w:firstLineChars="0"/>
        <w:jc w:val="center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drawing>
          <wp:inline distT="0" distB="0" distL="114300" distR="114300">
            <wp:extent cx="2421890" cy="2336800"/>
            <wp:effectExtent l="0" t="0" r="16510" b="6350"/>
            <wp:docPr id="1" name="图片 1" descr="微信图片_2025051418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4183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96C8"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（报名通道）</w:t>
      </w:r>
    </w:p>
    <w:p w14:paraId="4D2D5E48">
      <w:pPr>
        <w:numPr>
          <w:ilvl w:val="0"/>
          <w:numId w:val="0"/>
        </w:numPr>
        <w:ind w:left="5" w:leftChars="0" w:firstLine="537" w:firstLineChars="168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2.各参赛队请于2025年5月23日前</w:t>
      </w:r>
      <w:bookmarkStart w:id="1" w:name="_GoBack"/>
      <w:bookmarkEnd w:id="1"/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将报名表电子版发送至邮箱：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instrText xml:space="preserve"> HYPERLINK "mailto:1263768782@qq.com" </w:instrTex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511314124@qq.com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。各队报名后请加入工作联系QQ群（2025年财院羽毛球混合团赛赛工作群），群号：820666438。进群后请修改备注名为：队名＋联系人；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随时查看比赛秩序册和相关事项。</w:t>
      </w:r>
    </w:p>
    <w:p w14:paraId="5998E321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竞赛办法</w:t>
      </w:r>
    </w:p>
    <w:p w14:paraId="0957011E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（一）混合团体赛，分为第一阶段分赛区小组循环赛、第二阶段交叉淘汰赛两个阶段。</w:t>
      </w:r>
    </w:p>
    <w:p w14:paraId="06DD8024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（二）第一阶段分赛区小组循环赛。</w:t>
      </w:r>
    </w:p>
    <w:p w14:paraId="61B60B11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1.设相思湖（分A、B两个小组）和明秀（分C、D两个小组）两个分赛区，进行小组单循环赛，由比赛组委会按赛区抽签分组；各小组前两名出线，进入第二阶段交叉淘汰赛。</w:t>
      </w:r>
    </w:p>
    <w:p w14:paraId="61926D21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2.相思湖分赛区：经济与贸易学院、财政与公共管理学院、金融与保险学院、商务外国语学院、工商管理学院、管理科学与工程学院、新闻与文化传播学院、法学院。</w:t>
      </w:r>
    </w:p>
    <w:p w14:paraId="35126D69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3.明秀分赛区： 中国—东盟统计学院、大数据与人工智能学院、数学与数量经济学院、会计与审计学院、国际教育学院、体育经济与管理学院、MPAcc教育中心。</w:t>
      </w:r>
    </w:p>
    <w:p w14:paraId="46E24FEE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（三）第二阶段交叉淘汰赛。</w:t>
      </w:r>
    </w:p>
    <w:p w14:paraId="0B83A673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各小组前两名进行交叉淘汰赛（上半区：A1&amp;D2、CI&amp;B2；下半区：B1&amp;C2、D1&amp;A2），最终决出一至八名。</w:t>
      </w:r>
    </w:p>
    <w:p w14:paraId="37120D6B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（四）混合团体赛采用三场两胜制。第一阶段必须打满三场，第二阶段先胜两场即结束比赛。</w:t>
      </w:r>
    </w:p>
    <w:p w14:paraId="15A024D5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（五）混合团体赛的比赛出场顺序为：男子双打、女子双打、混合双打。</w:t>
      </w:r>
    </w:p>
    <w:p w14:paraId="48219BEC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（六）第一阶段小组单循环赛的计分方法：按胜次、净胜场、净胜局、净胜分、抽签排出名次。</w:t>
      </w:r>
    </w:p>
    <w:p w14:paraId="5CAB50F2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规则与用球</w:t>
      </w:r>
    </w:p>
    <w:p w14:paraId="3C00B48D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（一）采用国家体育总局审定的最新《羽毛球竞赛规则》及最新规定。</w:t>
      </w:r>
    </w:p>
    <w:p w14:paraId="2AE21340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（二）比赛均采用每局21分制，三局两胜制。</w:t>
      </w:r>
    </w:p>
    <w:p w14:paraId="2C4E4F77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（三）首场参赛运动员赛前10分钟向本场裁判员报到：以后场序参赛运动员应在上一场序的第一局比赛结束后10分钟内向本场裁判员报到。逾时仍未到者该场作弃权论处。</w:t>
      </w:r>
    </w:p>
    <w:p w14:paraId="4AAED82F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（四）比赛用球：由组委会提供。</w:t>
      </w:r>
    </w:p>
    <w:p w14:paraId="788C97A1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（五）运动员在比赛进行中受伤的规定：</w:t>
      </w:r>
    </w:p>
    <w:p w14:paraId="27C92180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1．如经大会医生检查，简单处理并经运动员确认能继续比赛，则比赛立即恢复，不得延误；如检查并经运动员确认不能进行比赛，经裁判长批准后判该运动员该场比赛因伤正常弃权。</w:t>
      </w:r>
    </w:p>
    <w:p w14:paraId="765F5791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2．在同一场比赛中，该运动员因伤不得再次要求医生作伤情处理。如不能继续比赛，经裁判长批准后判该运动员该场比赛因伤正常弃权。</w:t>
      </w:r>
    </w:p>
    <w:p w14:paraId="6D9DBAE0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（六）裁判长根据比赛进度，有权对比赛场序、场地进行调动。</w:t>
      </w:r>
    </w:p>
    <w:p w14:paraId="39277A6A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（七）如运动员比赛连场，休息10分钟，以上一场比赛结束时间计算。</w:t>
      </w:r>
    </w:p>
    <w:p w14:paraId="371471F9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eastAsia="zh-CN"/>
        </w:rPr>
        <w:t>录取名次与奖励</w:t>
      </w:r>
    </w:p>
    <w:p w14:paraId="2C88A1C5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1.混合团体赛前八名颁发奖状。</w:t>
      </w:r>
    </w:p>
    <w:p w14:paraId="420353BC">
      <w:pPr>
        <w:pStyle w:val="9"/>
        <w:ind w:firstLine="566" w:firstLineChars="177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2.混合团体赛奖励前三名；第一名600元、第二名500元、第三名400元。</w:t>
      </w:r>
    </w:p>
    <w:p w14:paraId="4E4655DB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裁判员选派</w:t>
      </w:r>
    </w:p>
    <w:p w14:paraId="7B2A2D41">
      <w:pPr>
        <w:widowControl w:val="0"/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裁判长及裁判员由体育经济与管理学院选派。</w:t>
      </w:r>
    </w:p>
    <w:p w14:paraId="020F6D43">
      <w:pPr>
        <w:pStyle w:val="9"/>
        <w:widowControl w:val="0"/>
        <w:numPr>
          <w:ilvl w:val="0"/>
          <w:numId w:val="1"/>
        </w:numPr>
        <w:tabs>
          <w:tab w:val="left" w:pos="1134"/>
        </w:tabs>
        <w:spacing w:line="560" w:lineRule="exact"/>
        <w:ind w:left="153" w:leftChars="0" w:firstLine="567" w:firstLineChars="0"/>
        <w:jc w:val="both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其它事项</w:t>
      </w:r>
    </w:p>
    <w:p w14:paraId="3B14CE31">
      <w:pPr>
        <w:pStyle w:val="9"/>
        <w:widowControl w:val="0"/>
        <w:numPr>
          <w:ilvl w:val="0"/>
          <w:numId w:val="3"/>
        </w:numPr>
        <w:tabs>
          <w:tab w:val="left" w:pos="1560"/>
        </w:tabs>
        <w:spacing w:line="560" w:lineRule="exact"/>
        <w:ind w:left="0" w:firstLine="560" w:firstLineChars="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所有参赛选手必须购买人身意外伤害保险，签署参赛运动员安全责任书。</w:t>
      </w:r>
    </w:p>
    <w:p w14:paraId="7A69D77C">
      <w:pPr>
        <w:pStyle w:val="9"/>
        <w:widowControl w:val="0"/>
        <w:numPr>
          <w:ilvl w:val="0"/>
          <w:numId w:val="3"/>
        </w:numPr>
        <w:tabs>
          <w:tab w:val="left" w:pos="1560"/>
        </w:tabs>
        <w:spacing w:line="560" w:lineRule="exact"/>
        <w:ind w:left="0" w:firstLine="560" w:firstLineChars="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联系电话：0771-3850264；指导老师：兰诚、吕景章。</w:t>
      </w:r>
    </w:p>
    <w:p w14:paraId="2F274E8C">
      <w:pPr>
        <w:pStyle w:val="10"/>
        <w:spacing w:line="360" w:lineRule="auto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sz w:val="32"/>
          <w:szCs w:val="32"/>
        </w:rPr>
        <w:t>（</w:t>
      </w:r>
      <w:r>
        <w:rPr>
          <w:rStyle w:val="11"/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Style w:val="11"/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-SA"/>
        </w:rPr>
        <w:t>本规程由体育经济与管理学院负责解释。</w:t>
      </w:r>
    </w:p>
    <w:p w14:paraId="51AEBC8B">
      <w:pPr>
        <w:pStyle w:val="10"/>
        <w:spacing w:line="360" w:lineRule="auto"/>
        <w:ind w:firstLine="435"/>
        <w:rPr>
          <w:rStyle w:val="11"/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 w14:paraId="465D16D2">
      <w:pPr>
        <w:pStyle w:val="10"/>
        <w:spacing w:line="360" w:lineRule="auto"/>
        <w:ind w:firstLine="5056" w:firstLineChars="1580"/>
        <w:rPr>
          <w:rStyle w:val="11"/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 w:ascii="仿宋" w:hAnsi="仿宋" w:eastAsia="仿宋" w:cs="仿宋"/>
          <w:sz w:val="32"/>
          <w:szCs w:val="32"/>
        </w:rPr>
        <w:t xml:space="preserve">   202</w:t>
      </w:r>
      <w:r>
        <w:rPr>
          <w:rStyle w:val="11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" w:hAnsi="仿宋" w:eastAsia="仿宋" w:cs="仿宋"/>
          <w:sz w:val="32"/>
          <w:szCs w:val="32"/>
        </w:rPr>
        <w:t>年5月</w:t>
      </w:r>
      <w:r>
        <w:rPr>
          <w:rStyle w:val="11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11"/>
          <w:rFonts w:hint="eastAsia" w:ascii="仿宋" w:hAnsi="仿宋" w:eastAsia="仿宋" w:cs="仿宋"/>
          <w:sz w:val="32"/>
          <w:szCs w:val="32"/>
        </w:rPr>
        <w:t>日</w:t>
      </w:r>
    </w:p>
    <w:p w14:paraId="12617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5D5D7"/>
    <w:multiLevelType w:val="singleLevel"/>
    <w:tmpl w:val="8CE5D5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8A26F2"/>
    <w:multiLevelType w:val="multilevel"/>
    <w:tmpl w:val="018A26F2"/>
    <w:lvl w:ilvl="0" w:tentative="0">
      <w:start w:val="1"/>
      <w:numFmt w:val="japaneseCounting"/>
      <w:lvlText w:val="%1、"/>
      <w:lvlJc w:val="left"/>
      <w:pPr>
        <w:ind w:left="87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3" w:hanging="420"/>
      </w:pPr>
    </w:lvl>
    <w:lvl w:ilvl="2" w:tentative="0">
      <w:start w:val="1"/>
      <w:numFmt w:val="lowerRoman"/>
      <w:lvlText w:val="%3."/>
      <w:lvlJc w:val="right"/>
      <w:pPr>
        <w:ind w:left="1413" w:hanging="420"/>
      </w:pPr>
    </w:lvl>
    <w:lvl w:ilvl="3" w:tentative="0">
      <w:start w:val="1"/>
      <w:numFmt w:val="decimal"/>
      <w:lvlText w:val="%4."/>
      <w:lvlJc w:val="left"/>
      <w:pPr>
        <w:ind w:left="1833" w:hanging="420"/>
      </w:pPr>
    </w:lvl>
    <w:lvl w:ilvl="4" w:tentative="0">
      <w:start w:val="1"/>
      <w:numFmt w:val="lowerLetter"/>
      <w:lvlText w:val="%5)"/>
      <w:lvlJc w:val="left"/>
      <w:pPr>
        <w:ind w:left="2253" w:hanging="420"/>
      </w:pPr>
    </w:lvl>
    <w:lvl w:ilvl="5" w:tentative="0">
      <w:start w:val="1"/>
      <w:numFmt w:val="lowerRoman"/>
      <w:lvlText w:val="%6."/>
      <w:lvlJc w:val="right"/>
      <w:pPr>
        <w:ind w:left="2673" w:hanging="420"/>
      </w:pPr>
    </w:lvl>
    <w:lvl w:ilvl="6" w:tentative="0">
      <w:start w:val="1"/>
      <w:numFmt w:val="decimal"/>
      <w:lvlText w:val="%7."/>
      <w:lvlJc w:val="left"/>
      <w:pPr>
        <w:ind w:left="3093" w:hanging="420"/>
      </w:pPr>
    </w:lvl>
    <w:lvl w:ilvl="7" w:tentative="0">
      <w:start w:val="1"/>
      <w:numFmt w:val="lowerLetter"/>
      <w:lvlText w:val="%8)"/>
      <w:lvlJc w:val="left"/>
      <w:pPr>
        <w:ind w:left="3513" w:hanging="420"/>
      </w:pPr>
    </w:lvl>
    <w:lvl w:ilvl="8" w:tentative="0">
      <w:start w:val="1"/>
      <w:numFmt w:val="lowerRoman"/>
      <w:lvlText w:val="%9."/>
      <w:lvlJc w:val="right"/>
      <w:pPr>
        <w:ind w:left="3933" w:hanging="420"/>
      </w:pPr>
    </w:lvl>
  </w:abstractNum>
  <w:abstractNum w:abstractNumId="2">
    <w:nsid w:val="43BE0240"/>
    <w:multiLevelType w:val="multilevel"/>
    <w:tmpl w:val="43BE0240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 w:ascii="仿宋" w:hAnsi="仿宋" w:eastAsia="仿宋" w:cs="仿宋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0MjA2MmM2OTQ0OThjNWY0ZTkyMGYwZmZmNDM2NGEifQ=="/>
  </w:docVars>
  <w:rsids>
    <w:rsidRoot w:val="00054259"/>
    <w:rsid w:val="00024152"/>
    <w:rsid w:val="00054259"/>
    <w:rsid w:val="00055014"/>
    <w:rsid w:val="00091CC8"/>
    <w:rsid w:val="001930A9"/>
    <w:rsid w:val="001A236C"/>
    <w:rsid w:val="001F1560"/>
    <w:rsid w:val="0028607E"/>
    <w:rsid w:val="002D3C46"/>
    <w:rsid w:val="003026DC"/>
    <w:rsid w:val="003047A3"/>
    <w:rsid w:val="003C3F88"/>
    <w:rsid w:val="003E7536"/>
    <w:rsid w:val="00415FD6"/>
    <w:rsid w:val="004428ED"/>
    <w:rsid w:val="004F6EA4"/>
    <w:rsid w:val="00561A72"/>
    <w:rsid w:val="005936AA"/>
    <w:rsid w:val="00594F2F"/>
    <w:rsid w:val="005C2942"/>
    <w:rsid w:val="00625BF7"/>
    <w:rsid w:val="00632C9D"/>
    <w:rsid w:val="006663A8"/>
    <w:rsid w:val="007A1350"/>
    <w:rsid w:val="0080454C"/>
    <w:rsid w:val="008575B3"/>
    <w:rsid w:val="008F5C53"/>
    <w:rsid w:val="009A5B06"/>
    <w:rsid w:val="009F791D"/>
    <w:rsid w:val="00A0089F"/>
    <w:rsid w:val="00A75958"/>
    <w:rsid w:val="00A96971"/>
    <w:rsid w:val="00BB3368"/>
    <w:rsid w:val="00CF7E84"/>
    <w:rsid w:val="00DB0504"/>
    <w:rsid w:val="00F30EA9"/>
    <w:rsid w:val="00F81195"/>
    <w:rsid w:val="00F914F6"/>
    <w:rsid w:val="01E61330"/>
    <w:rsid w:val="01FC7DA6"/>
    <w:rsid w:val="03D270B5"/>
    <w:rsid w:val="05052B5C"/>
    <w:rsid w:val="08CB13EB"/>
    <w:rsid w:val="0A876E4C"/>
    <w:rsid w:val="0A9C5944"/>
    <w:rsid w:val="0AD90520"/>
    <w:rsid w:val="0BC7635B"/>
    <w:rsid w:val="0ECC6FC2"/>
    <w:rsid w:val="0EEE4F9E"/>
    <w:rsid w:val="12B409FA"/>
    <w:rsid w:val="19A54BF8"/>
    <w:rsid w:val="1B9E773C"/>
    <w:rsid w:val="1E7F2486"/>
    <w:rsid w:val="201E3957"/>
    <w:rsid w:val="23DA5DE6"/>
    <w:rsid w:val="253B0B07"/>
    <w:rsid w:val="2A062578"/>
    <w:rsid w:val="2BAB67AC"/>
    <w:rsid w:val="2F2C3040"/>
    <w:rsid w:val="3A77753E"/>
    <w:rsid w:val="3F966FB6"/>
    <w:rsid w:val="3FF02304"/>
    <w:rsid w:val="46797035"/>
    <w:rsid w:val="47C46FB6"/>
    <w:rsid w:val="4C1958EE"/>
    <w:rsid w:val="510065DD"/>
    <w:rsid w:val="526710EF"/>
    <w:rsid w:val="557C11BD"/>
    <w:rsid w:val="5A9A0B79"/>
    <w:rsid w:val="5E1831B8"/>
    <w:rsid w:val="5E9A6F09"/>
    <w:rsid w:val="5F6277ED"/>
    <w:rsid w:val="64F011FD"/>
    <w:rsid w:val="68825E00"/>
    <w:rsid w:val="68CF78C1"/>
    <w:rsid w:val="6DCE5641"/>
    <w:rsid w:val="772269FE"/>
    <w:rsid w:val="77883822"/>
    <w:rsid w:val="78DC4D75"/>
    <w:rsid w:val="7A9A5111"/>
    <w:rsid w:val="7DAD18D7"/>
    <w:rsid w:val="7E0E6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宋体" w:hAnsi="宋体"/>
      <w:sz w:val="26"/>
      <w:szCs w:val="26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正文文本 Char"/>
    <w:basedOn w:val="6"/>
    <w:link w:val="2"/>
    <w:qFormat/>
    <w:uiPriority w:val="1"/>
    <w:rPr>
      <w:rFonts w:ascii="宋体" w:hAnsi="宋体" w:cs="Times New Roman"/>
      <w:kern w:val="0"/>
      <w:sz w:val="26"/>
      <w:szCs w:val="26"/>
      <w:lang w:eastAsia="en-US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0">
    <w:name w:val="UserStyle_0"/>
    <w:basedOn w:val="1"/>
    <w:qFormat/>
    <w:uiPriority w:val="0"/>
    <w:pPr>
      <w:jc w:val="both"/>
    </w:pPr>
    <w:rPr>
      <w:rFonts w:eastAsia="宋体"/>
      <w:sz w:val="21"/>
      <w:szCs w:val="21"/>
      <w:lang w:eastAsia="zh-CN"/>
    </w:rPr>
  </w:style>
  <w:style w:type="character" w:customStyle="1" w:styleId="11">
    <w:name w:val="NormalCharacter"/>
    <w:qFormat/>
    <w:uiPriority w:val="0"/>
    <w:rPr>
      <w:rFonts w:hint="default" w:ascii="Times New Roman" w:hAnsi="Times New Roman" w:eastAsia="宋体" w:cs="Times New Roman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1404</Words>
  <Characters>1499</Characters>
  <Lines>11</Lines>
  <Paragraphs>3</Paragraphs>
  <TotalTime>25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2023-05-17T13:55:00Z</dcterms:created>
  <dc:creator>dell</dc:creator>
  <cp:lastModifiedBy>QQP</cp:lastModifiedBy>
  <dcterms:modified xsi:type="dcterms:W3CDTF">2025-05-15T09:19:44Z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4F01496D1FBD4ED8A4590092A65C3726</vt:lpwstr>
  </property>
  <property fmtid="{D5CDD505-2E9C-101B-9397-08002B2CF9AE}" pid="4" name="KSOTemplateDocerSaveRecord">
    <vt:lpwstr>eyJoZGlkIjoiMWExOTFiYTUwNWIzMjA1NTIyYTMwNmUwOGMyMjQ2ZjEiLCJ1c2VySWQiOiIyODAzNjM2MTYifQ==</vt:lpwstr>
  </property>
</Properties>
</file>