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="1" w:tblpY="1621"/>
        <w:tblW w:w="531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"/>
        <w:gridCol w:w="1098"/>
        <w:gridCol w:w="4082"/>
        <w:gridCol w:w="643"/>
        <w:gridCol w:w="609"/>
        <w:gridCol w:w="725"/>
        <w:gridCol w:w="727"/>
        <w:gridCol w:w="8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left"/>
              <w:textAlignment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2"/>
                <w:szCs w:val="21"/>
                <w:lang w:bidi="ar"/>
              </w:rPr>
              <w:t>附件1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广西财经学院大数据与人工智能学院2026年国产GPU卡及其配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套的采购项目报价单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1"/>
                <w:lang w:bidi="ar"/>
              </w:rPr>
              <w:t>（上限控制价：￥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1"/>
                <w:lang w:val="en-US" w:eastAsia="zh-CN" w:bidi="ar"/>
              </w:rPr>
              <w:t>788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1"/>
                <w:lang w:bidi="ar"/>
              </w:rPr>
              <w:t>000.00元）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规格参数</w:t>
            </w:r>
          </w:p>
        </w:tc>
        <w:tc>
          <w:tcPr>
            <w:tcW w:w="3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品牌要求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（元）</w:t>
            </w: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（元）</w:t>
            </w: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响应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val="en-US" w:eastAsia="zh-CN" w:bidi="ar"/>
              </w:rPr>
              <w:t>国产GPU卡及其配套</w:t>
            </w:r>
          </w:p>
        </w:tc>
        <w:tc>
          <w:tcPr>
            <w:tcW w:w="2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一、总体技术要求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★1、本次采购设备为国产AI推理加速卡8张，需适配服务器机架式安装，支持人工智能推理、视频智能分析、大模型轻量化推理、算法运算等业务场景。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2、设备总线接口必须支持PCIe 4.0及向下兼容规范，满足高速数据传输带宽要求。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3、产品形态为标准全高全长双槽位PCIe结构，适配通用服务器机箱风道及安装空间，采用标准机箱固定卡扣设计。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二、核心算力性能要求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★1、 单卡FP16、BF16半精度浮点算力不低于280 TFLOPS，支持大模型、多模态模型推理运算。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★2、设备FP32单精度浮点算力不低于75 TFLOPS，满足通用AI算法并行计算需求。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三、显存及带宽性能要求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★1、 板载高速HBM显存容量不低于64GB。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★2、 显存带宽不低于1600GB/s，满足高并发、高吞吐AI推理数据读写需求。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四、功耗散热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★1、 设备最大工作功耗不高于350W，适配标准服务器电源供电规范。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2、 采用被动式高效散热结构，无风扇设计，依托服务器机箱风道完成整体散热，运行稳定、低噪音、低故障率。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3、 设备工作环境温度区间为5℃-45℃，满足机房全年恒温恒湿运行环境要求。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五、人工智能视觉SDK创新工具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1.支持人脸检测：快速检测图片中的人脸并标记出人脸坐标；支持同时检测多张人脸；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★2.支持人脸关键点检测：精准定位包括脸颊、眉、眼、口、鼻等人脸五官及轮廓的不少于106个关键点，供货时需提供视频演示证明。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3.支持人体检测：快速检测图片中的人体并标记出人体坐标；支持同时检测多张人体。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4.支持人体关键点检测：精准定位人体的不少于14个关键点，包括头、肩膀、手臂、腰、腿等关键点；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5.支持人脸特征提取：提取人脸特征信息。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6.支持手部检测：检测图像中的所有手部。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7.支持手部关键点检测：精准定位手部手指的不少于5个主要关键点；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★8.支持手部动作识别：识别多种手势的动作和方向，可识别的动作包括V字、点赞、五指、拳头、666等手势的平移（上下左右），供货时提供视频演示证明。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9.支持通用特征提取：提取图像的通用特征。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10.支持将照片渲染成有艺术风格的画作，支持的风格转换包括Wave、Sketch、Mononoke等。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★11.支持人脸识别互动游戏软件，供货时提供以下完整内容视频演示证明：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①支持通过识别人脸在画面中的上下移动，控制小鸟的上下位移，人脸向上位移则小鸟往上飞，人脸向下位移则小鸟往下飞；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②支持小鸟穿过柱子且不撞上时进行计分，每穿过一根柱子即得1分，得分支持累计；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③支持小鸟撞到柱子时则终止游戏。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★12．支持真人肢体识别互动游戏软件，供货时提供以下完整内容视频演示证明：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①运行软件后将出现一个对话框并显示两个画面，一个画面显示摄像头所拍摄的实时画面，一个画面显示白色小人动画；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②支持通过识别真人肢体动作在画面中的移动，控制白色小人的肢体移动，真人手臂向上位移则白色小人手部向上位移，真人大腿左右位移则白色小人左右位移；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③支持识别真人的肢体关键点，并用红点标记出头、脖子、肩膀、手臂、腰等关键位置；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④支持识别真人在画面中的位置，并用黑框标记出人体的整体范围；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⑤支持根据真人动作进行判断，包含如拳击、举重等动作，并用中文或英文表达动作结果。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★13．支持手部动作识别互动游戏软件，投标时提供以下完整内容视频演示证明：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①运行软件后将出项两个对话框，一个显示摄像头所拍摄的实时画面并将画面中的手进行绿框标记，一个显示打地鼠的游戏画面。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②支持通过识别手的位置在画面中的上下移动，控制小宠物的上下左右位移，手向上位移则小宠物往上移动，手向左移动则小宠物向左移动；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③支持通过识别手的张开与握拳，控制小宠物执行抓捕地鼠的动作，握拳后冒出来的地鼠将被抓取从画面中消失；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④支持地鼠随机从画面9个洞中进行出现，且每次出现的数量和位置均为随机；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⑤支持使用笔记本自带摄像头或USB摄像头进行实时画面捕捉；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⑥为确保交互界面美观，出现的小宠物和地鼠为不同配色，画面包含植物、花卉等装饰图案。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六、安全软件系统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1.产品可以纯软件交付，包含管理控制中心软件及终端客户端软件，其中管理控制中心可云化部署；同时也支持硬件管理平台交付；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2.管理平台支持在64位的Centos7或ubuntu操作系统环境部署；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3.服务器客户端支持Windows Server 2003/Windows Server 2008/Windows Server 2008 R2/Windows Server 2012/Windows Server 2016；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4.★支持全网风险展示，包括但不限于未处理的勒索病毒数量、暴力破解数量、WebShell后门数量、高危漏洞及其各自影响的终端数量（投标时提供产品功能截图并加盖投标人公章）；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5.支持按“最近7天”、“最近30天”、“最近三个月”不同时间维度展示病毒查杀事件爆发趋势和病毒TOP5排行榜，并展示对应的事件数及终端数；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6.★支持同时展示跟同品牌安全检测与响应平台、下一代防火墙、安全感知平台、上网行为管理，云端SOC平台，SAAS化管理平台的联动状态（投标时提供产品功能截图并加盖投标人公章）；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7.★支持跳转链接至云端安全威胁响应系统，针对已发生的威胁提供详细的分析结果，包含威胁分析、网络行为、静态分析、分析环境和影响分析（投标时提供产品功能截图并加盖投标人公章）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8.支持终端自动分组管理，新接入的终端可以根据网段自动分配到对应的分组；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9.支持收集并展示单个终端的硬件信息，包括CPU、内存、硬盘、主板、网卡、声卡及显卡信息；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10.支持对系统高危端口执行一键封堵；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11.★支持客户端的错峰升级或灰度升级，可根据实际情况控制客户端同时升级的最大数量，避免大量终端程序同时更新造成网络拥堵或I/O风暴；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12.支持配置不同的权限角色，支持超级管理员、普通管理员（管理）、审计管理员（查看）三种权限，并配置可管辖的终端范围，支持管理员账号限制IP登录；支持管理员账号采用用户名密码和USBKey双因素认证；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13.支持本地查杀缓存，具备二级缓存机制：终端侧使用全盘文件缓存，加速本地二次扫描速度，减少对本地虚拟化环境的资源消耗；管理平台侧使用全网文件缓存，加速云查杀速度，减少通过互联网进行云查杀的带宽消耗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14.★基于勒索病毒攻击过程，建立多维度立体防护机制，提供事前入侵防御-事中反加密-事后检测响应的完整防护体系，展示勒索病毒处置情况，对勒索病毒及变种实现专门有效防御（投标时提供产品功能截图并加盖投标人公章）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15.★支持基于威胁情报的病毒文件哈希值、行为、域名、网络连接等各项终端系统层、应用层行为数据在全网终端发起搜索，挖掘潜伏攻击，快速定位出全网终端感染该威胁的情况；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16.扩展支持与同厂商的网络防火墙进行安全联动，管理员可以在网络防火墙管理界面下发快速查杀任务，并查看任务状态、结果并进行处置，支持在管理平台查询和统计联动信息；</w:t>
            </w:r>
          </w:p>
          <w:p>
            <w:pPr>
              <w:widowControl/>
              <w:spacing w:line="280" w:lineRule="exac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17.★支持对勒索入侵的主流方式RDP暴破做全方位保护，包括RDP登录校验、RDP文件加白二次校验等功能（投标时提供产品功能截图证明并加盖投标人公章）</w:t>
            </w:r>
          </w:p>
          <w:p>
            <w:pPr>
              <w:widowControl/>
              <w:spacing w:line="280" w:lineRule="exac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1"/>
                <w:lang w:bidi="ar"/>
              </w:rPr>
              <w:t>18.★流量线详情支持展示该流量线对应的控制策略；图形化显示服务器间流量关系，包括访问详情、流量趋势等。</w:t>
            </w:r>
          </w:p>
        </w:tc>
        <w:tc>
          <w:tcPr>
            <w:tcW w:w="35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昇腾、燧原、寒武纪</w:t>
            </w:r>
          </w:p>
        </w:tc>
        <w:tc>
          <w:tcPr>
            <w:tcW w:w="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cs="宋体" w:asciiTheme="minorEastAsia" w:hAnsi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cs="仿宋" w:asciiTheme="minorEastAsia" w:hAnsiTheme="minorEastAsia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合计报价金额（人民币大写）</w:t>
            </w:r>
            <w:r>
              <w:rPr>
                <w:rFonts w:hint="eastAsia" w:cs="仿宋" w:asciiTheme="minorEastAsia" w:hAnsiTheme="minorEastAsia"/>
                <w:color w:val="000000" w:themeColor="text1"/>
                <w:sz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  <w:r>
              <w:rPr>
                <w:rFonts w:hint="eastAsia" w:cs="仿宋" w:asciiTheme="minorEastAsia" w:hAnsiTheme="minorEastAsia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 xml:space="preserve">（¥ </w:t>
            </w:r>
            <w:r>
              <w:rPr>
                <w:rFonts w:hint="eastAsia" w:cs="仿宋" w:asciiTheme="minorEastAsia" w:hAnsiTheme="minorEastAsia"/>
                <w:color w:val="000000" w:themeColor="text1"/>
                <w:sz w:val="28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cs="仿宋" w:asciiTheme="minorEastAsia" w:hAnsiTheme="minorEastAsia"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宋体" w:hAnsi="宋体" w:eastAsia="宋体" w:cs="宋体"/>
                <w:b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单位名称（盖章）：                                    日期：</w:t>
            </w:r>
          </w:p>
          <w:p>
            <w:pPr>
              <w:rPr>
                <w:rFonts w:ascii="宋体" w:hAnsi="宋体" w:eastAsia="宋体" w:cs="宋体"/>
                <w:b/>
                <w:sz w:val="24"/>
              </w:rPr>
            </w:pPr>
          </w:p>
          <w:p>
            <w:pPr>
              <w:rPr>
                <w:rFonts w:ascii="宋体" w:hAnsi="宋体" w:eastAsia="宋体" w:cs="宋体"/>
                <w:b/>
                <w:sz w:val="24"/>
              </w:rPr>
            </w:pPr>
          </w:p>
          <w:p>
            <w:pPr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法定代表人（或委托代理人）签字：                 联系人及电话：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C3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2026-09-22T12:31:10Z</dcterms:created>
  <dc:creator>阳</dc:creator>
  <cp:lastModifiedBy>阳</cp:lastModifiedBy>
  <dcterms:modified xsi:type="dcterms:W3CDTF">2026-09-22T12:31:18Z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