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DBC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0263D4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广西财经学院中国-东盟统计学院中国—东盟“AI+统计”实验室一期项目硬件环境建设项目（财经大数据重点实验室计算能力提升项目目录外）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项目报价表</w:t>
      </w:r>
    </w:p>
    <w:p w14:paraId="21AE7D7B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项目名称：中国—东盟“AI+统计”实验室一期项目硬件环境建设项目（财经大数据重点实验室计算能力提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升项目目录外）</w:t>
      </w:r>
    </w:p>
    <w:p w14:paraId="3ACB53FB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本项目上限控制价: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59000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.00元</w:t>
      </w:r>
    </w:p>
    <w:tbl>
      <w:tblPr>
        <w:tblStyle w:val="2"/>
        <w:tblW w:w="10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21"/>
        <w:gridCol w:w="638"/>
        <w:gridCol w:w="638"/>
        <w:gridCol w:w="4362"/>
        <w:gridCol w:w="826"/>
        <w:gridCol w:w="826"/>
        <w:gridCol w:w="826"/>
      </w:tblGrid>
      <w:tr w14:paraId="3D41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C5B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B52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设备名称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978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EC8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128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2"/>
                <w:lang w:bidi="ar"/>
              </w:rPr>
              <w:t>技术参数及配置要求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0A6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DD7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A89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是否响应</w:t>
            </w:r>
          </w:p>
        </w:tc>
      </w:tr>
      <w:tr w14:paraId="2BBC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1F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D8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汇聚交换机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4B2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A1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台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E6E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1.高性能硬件基础：整机交换容量≥2.5Tbps，包转发性能≥1600Mpps。关键CPU及转发芯片采用国产芯片。</w:t>
            </w:r>
          </w:p>
          <w:p w14:paraId="1EE2C7F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2.丰富接口与高可靠：设备提供≥48个10GE光口与≥6个40GE光口。采用模块化设计，配备≥4个可插拔风扇及≥1个可插拔电源，保障稳定运行。</w:t>
            </w:r>
          </w:p>
          <w:p w14:paraId="7F596A3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3.全面的网络协议与组网：支持静态路由、RIP、OSPF、BGP等主流路由协议及策略路由。支持基于BGP EVPN的VXLAN，可实现集中式与分布式组网。支持ERPS环网协议，收敛时间&lt;30ms。</w:t>
            </w:r>
          </w:p>
          <w:p w14:paraId="04D607B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4.智能策略与安全管控：支持“业务随行”功能，实现用户网络策略与位置、IP地址解耦。可作为策略控制点，对接入用户进行统一的访问策略管理与执行。具备终端类型识别、防仿冒及应用识别能力。</w:t>
            </w:r>
          </w:p>
          <w:p w14:paraId="4160D7A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5.可视化运维管理：支持Netstream流量分析、Telemetry数据采集，并内置Web网管界面，便于监控与管理。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2AE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4E3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08F6">
            <w:pPr>
              <w:widowControl/>
              <w:jc w:val="right"/>
              <w:textAlignment w:val="center"/>
              <w:rPr>
                <w:rFonts w:hint="eastAsia" w:ascii="Times New Roman" w:hAnsi="Times New Roman" w:cs="Times New Roman"/>
              </w:rPr>
            </w:pPr>
          </w:p>
        </w:tc>
      </w:tr>
      <w:tr w14:paraId="0492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49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6D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接入交换机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2D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850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台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AACB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1.硬件性能与端口：采用存储-转发交换方式，传输速率10/100/1000Mbps自适应。背板带宽≥96Gbps，包转发率≥71.4Mpps，保障数据处理能力。提供≥48个10/100/1000Base-T电口及4个千兆SFP光口，满足高密度接入与上联需求。</w:t>
            </w:r>
          </w:p>
          <w:p w14:paraId="1A14191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2.智能交换与管理：支持4K VLAN，支持基于端口、MAC、协议及IP子网等多种方式划分VLAN。支持完善的QoS策略，包括端口/流限速、4优先级队列及基于802.1p/DSCP的调度。支持IGMP Snooping组播管理，最大支持256个组播组，优化组播流量。</w:t>
            </w:r>
          </w:p>
          <w:p w14:paraId="21B17D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3.多样化管理方式：支持WEB网管、CLI命令行及SNMP v1/v2c/v3多种管理协议，便于灵活部署与监控。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CFB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97B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1A44">
            <w:pPr>
              <w:widowControl/>
              <w:jc w:val="right"/>
              <w:textAlignment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2775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F3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56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服务器机柜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74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7B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台</w:t>
            </w:r>
          </w:p>
        </w:tc>
        <w:tc>
          <w:tcPr>
            <w:tcW w:w="4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D7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1.基本规格与配件：标准42U黑色机柜，外形尺寸为800mm（宽）×1200mm（深）×2000mm（高），兼容19英寸国际标准。机柜内配置理线架、若干束线圈、40个1U假面板及≥1个固定层板。</w:t>
            </w:r>
          </w:p>
          <w:p w14:paraId="05FEBC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2.结构与散热设计：采用前进风、后出风设计。前门为单开通风网孔门，后门为双开外开式通风网孔门，开孔率均≥70%。柜门与侧板可拆卸，开启角度≥120°，便于安装维护。</w:t>
            </w:r>
          </w:p>
          <w:p w14:paraId="4FA61EB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3.材料与工艺：主体采用高强度优质冷轧钢板及镀锌板制造，满足防腐防锈要求。非承重部件板材厚度≥1.0mm，承重立柱板材厚度≥2.0mm。</w:t>
            </w:r>
          </w:p>
          <w:p w14:paraId="08C531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4.承重与防护：静态承载能力≥2000kg，整机防护等级不低于IP20。符合YD5083-2005《电信设备抗地震性能检测规范》要求。</w:t>
            </w:r>
          </w:p>
          <w:p w14:paraId="5912AB4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5.安全接地：机柜设有不少于2个主接地点，并为PDU或配电单元提供独立的专用接地点，确保接地安全可靠。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76E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A32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11E2">
            <w:pPr>
              <w:widowControl/>
              <w:jc w:val="right"/>
              <w:textAlignment w:val="center"/>
              <w:rPr>
                <w:rFonts w:hint="eastAsia" w:ascii="Times New Roman" w:hAnsi="Times New Roman" w:cs="Times New Roman"/>
              </w:rPr>
            </w:pPr>
          </w:p>
        </w:tc>
      </w:tr>
    </w:tbl>
    <w:p w14:paraId="631719BD"/>
    <w:p w14:paraId="697D6B36"/>
    <w:p w14:paraId="48E79C9F"/>
    <w:tbl>
      <w:tblPr>
        <w:tblStyle w:val="3"/>
        <w:tblW w:w="11010" w:type="dxa"/>
        <w:tblInd w:w="-1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0"/>
      </w:tblGrid>
      <w:tr w14:paraId="2261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0" w:type="dxa"/>
          </w:tcPr>
          <w:p w14:paraId="18A5430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商务要求</w:t>
            </w:r>
          </w:p>
        </w:tc>
      </w:tr>
      <w:tr w14:paraId="7321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0" w:type="dxa"/>
          </w:tcPr>
          <w:p w14:paraId="50D9FD7A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报价含包装、装卸、运输、调换、利润、税金、保险、协调、售后服务费、相关文件规定及合同包含的所有风险、责任等各项应有费用。报价超过本项目预算价作无效报价处理。</w:t>
            </w:r>
          </w:p>
          <w:p w14:paraId="296AB70C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供货时间:自合同签订后，接到采购人通知之日起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日内交付货物。</w:t>
            </w:r>
          </w:p>
          <w:p w14:paraId="65F35A68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质保期:</w:t>
            </w:r>
          </w:p>
          <w:p w14:paraId="63657612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(1)设备必须是全新原厂正品。</w:t>
            </w:r>
          </w:p>
          <w:p w14:paraId="3BD5990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(2)质保要求按国家有关产品“三包”规定执行“三包”政策，质保期以通过项目最终验收的验收报告签字日开始计算。</w:t>
            </w:r>
          </w:p>
          <w:p w14:paraId="65FF75E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vertAlign w:val="baseline"/>
              </w:rPr>
              <w:t>3)质保期内由于质量问题导致设备损坏的，成交供应商必须提供保修、人工及更换备件的上门服务，并提供终身维护。</w:t>
            </w:r>
          </w:p>
          <w:p w14:paraId="6E5F9C9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质保期内采购人不再支付任何费用。</w:t>
            </w:r>
          </w:p>
          <w:p w14:paraId="5BACFB8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供货方式:现场交货(成交人必须当面交货)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0258F1D1">
            <w:pPr>
              <w:numPr>
                <w:ilvl w:val="0"/>
                <w:numId w:val="1"/>
              </w:num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供货地点:具体地点由采购方指定(广西财经学院</w:t>
            </w:r>
            <w:r>
              <w:rPr>
                <w:rFonts w:hint="eastAsia"/>
                <w:vertAlign w:val="baseline"/>
                <w:lang w:val="en-US" w:eastAsia="zh-CN"/>
              </w:rPr>
              <w:t>相思湖</w:t>
            </w:r>
            <w:r>
              <w:rPr>
                <w:rFonts w:hint="eastAsia"/>
                <w:vertAlign w:val="baseline"/>
              </w:rPr>
              <w:t>校区)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36B1716B">
            <w:pPr>
              <w:numPr>
                <w:ilvl w:val="0"/>
                <w:numId w:val="1"/>
              </w:num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付款方式:如货物存在质量问题或与采购规格不一致，供应商须在2个工作日内完成更换。验收通过，采购人自收到成交人发票之日起</w:t>
            </w:r>
            <w:r>
              <w:rPr>
                <w:rFonts w:hint="eastAsia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vertAlign w:val="baseline"/>
              </w:rPr>
              <w:t>十个工作日内，由采购人一次性付清成交人合同总金额100%的款项(无预付款)。</w:t>
            </w:r>
          </w:p>
          <w:p w14:paraId="6B4CCF54">
            <w:pPr>
              <w:numPr>
                <w:ilvl w:val="0"/>
                <w:numId w:val="1"/>
              </w:num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标“</w:t>
            </w:r>
            <w:r>
              <w:rPr>
                <w:rFonts w:hint="eastAsia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</w:rPr>
              <w:t>”的参数为必须满足的实质性参数，若不满足作无效报价处理。其它参数负偏离累计不得超过五项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</w:tbl>
    <w:p w14:paraId="73B5D995"/>
    <w:p w14:paraId="68276F19"/>
    <w:p w14:paraId="0BFAD7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报价公司（盖公章）：                              法定代表人签字：</w:t>
      </w:r>
    </w:p>
    <w:p w14:paraId="65ED358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报价时间：    年   月   日                       联系人及电话：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05C27"/>
    <w:multiLevelType w:val="singleLevel"/>
    <w:tmpl w:val="6DF05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A6D22"/>
    <w:rsid w:val="0EE25D53"/>
    <w:rsid w:val="2E8812BD"/>
    <w:rsid w:val="2FB03011"/>
    <w:rsid w:val="4EA66627"/>
    <w:rsid w:val="64CD55BF"/>
    <w:rsid w:val="734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1496</Words>
  <Characters>1792</Characters>
  <Lines>0</Lines>
  <Paragraphs>0</Paragraphs>
  <TotalTime>6</TotalTime>
  <ScaleCrop>false</ScaleCrop>
  <LinksUpToDate>false</LinksUpToDate>
  <CharactersWithSpaces>1861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2026-05-18T10:18:00Z</dcterms:created>
  <dc:creator>你有一条未读消息</dc:creator>
  <cp:lastModifiedBy>你有一条未读消息</cp:lastModifiedBy>
  <cp:lastPrinted>2026-05-19T01:06:00Z</cp:lastPrinted>
  <dcterms:modified xsi:type="dcterms:W3CDTF">2026-05-19T06:54:05Z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4E0792C70EDD4D59AC0DD52F3654E2D1_11</vt:lpwstr>
  </property>
  <property fmtid="{D5CDD505-2E9C-101B-9397-08002B2CF9AE}" pid="4" name="KSOTemplateDocerSaveRecord">
    <vt:lpwstr>eyJoZGlkIjoiMGFhM2E5MzE5YTEwOWFlMTJmZmM0ZGQ0YzAyNWU4YjQiLCJ1c2VySWQiOiI0NjEyMzQ2MTgifQ==</vt:lpwstr>
  </property>
</Properties>
</file>