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76183"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4BAE07F5">
      <w:pPr>
        <w:spacing w:line="520" w:lineRule="exact"/>
        <w:jc w:val="center"/>
        <w:rPr>
          <w:rFonts w:hint="eastAsia" w:ascii="方正小标宋简体" w:hAnsi="仿宋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bCs/>
          <w:sz w:val="36"/>
          <w:szCs w:val="36"/>
          <w:lang w:val="en-US" w:eastAsia="zh-CN"/>
        </w:rPr>
        <w:t>2026年广西财经学院图书馆电子资源数据库</w:t>
      </w:r>
    </w:p>
    <w:p w14:paraId="2526651E">
      <w:pPr>
        <w:spacing w:line="520" w:lineRule="exact"/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  <w:lang w:val="en-US" w:eastAsia="zh-CN"/>
        </w:rPr>
        <w:t>校外访问服务采购项目报价表</w:t>
      </w:r>
    </w:p>
    <w:p w14:paraId="0B092E24">
      <w:pPr>
        <w:jc w:val="left"/>
        <w:rPr>
          <w:rFonts w:ascii="仿宋_GB2312" w:hAnsi="仿宋"/>
          <w:b/>
          <w:sz w:val="24"/>
          <w:szCs w:val="36"/>
        </w:rPr>
      </w:pPr>
    </w:p>
    <w:p w14:paraId="5C1E5B51">
      <w:pPr>
        <w:jc w:val="left"/>
        <w:rPr>
          <w:rFonts w:hint="default" w:ascii="仿宋_GB2312" w:hAnsi="仿宋"/>
          <w:b/>
          <w:sz w:val="24"/>
          <w:szCs w:val="36"/>
          <w:lang w:val="en-US"/>
        </w:rPr>
      </w:pPr>
      <w:r>
        <w:rPr>
          <w:rFonts w:hint="eastAsia" w:ascii="仿宋_GB2312" w:hAnsi="仿宋"/>
          <w:b/>
          <w:sz w:val="24"/>
          <w:szCs w:val="36"/>
        </w:rPr>
        <w:t>项目名称：2026年广西财经学院图书馆电子资源数据库校外访问服务采购</w:t>
      </w:r>
    </w:p>
    <w:p w14:paraId="4B78B96D">
      <w:pPr>
        <w:jc w:val="left"/>
        <w:rPr>
          <w:rFonts w:ascii="仿宋_GB2312" w:hAnsi="仿宋"/>
          <w:b/>
          <w:sz w:val="24"/>
          <w:szCs w:val="36"/>
        </w:rPr>
      </w:pPr>
      <w:r>
        <w:rPr>
          <w:rFonts w:hint="eastAsia" w:ascii="仿宋_GB2312" w:hAnsi="仿宋"/>
          <w:b/>
          <w:sz w:val="24"/>
          <w:szCs w:val="36"/>
        </w:rPr>
        <w:t>本项目上限控制价：</w:t>
      </w:r>
      <w:r>
        <w:rPr>
          <w:rFonts w:hint="eastAsia" w:ascii="仿宋_GB2312" w:hAnsi="仿宋"/>
          <w:b/>
          <w:sz w:val="24"/>
          <w:szCs w:val="36"/>
          <w:lang w:val="en-US" w:eastAsia="zh-CN"/>
        </w:rPr>
        <w:t>42</w:t>
      </w:r>
      <w:r>
        <w:rPr>
          <w:rFonts w:hint="eastAsia" w:ascii="仿宋_GB2312" w:hAnsi="仿宋"/>
          <w:b/>
          <w:sz w:val="24"/>
          <w:szCs w:val="36"/>
        </w:rPr>
        <w:t>000.00元</w:t>
      </w:r>
    </w:p>
    <w:tbl>
      <w:tblPr>
        <w:tblStyle w:val="3"/>
        <w:tblpPr w:leftFromText="180" w:rightFromText="180" w:vertAnchor="text" w:tblpXSpec="center" w:tblpY="167"/>
        <w:tblW w:w="101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229"/>
        <w:gridCol w:w="363"/>
        <w:gridCol w:w="360"/>
        <w:gridCol w:w="747"/>
        <w:gridCol w:w="786"/>
        <w:gridCol w:w="400"/>
        <w:gridCol w:w="437"/>
      </w:tblGrid>
      <w:tr w14:paraId="22E39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noWrap/>
            <w:vAlign w:val="center"/>
          </w:tcPr>
          <w:p w14:paraId="48E3C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6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AEAEA"/>
            <w:noWrap/>
            <w:vAlign w:val="center"/>
          </w:tcPr>
          <w:p w14:paraId="098C1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具体参数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及要求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AEAEA"/>
            <w:noWrap/>
            <w:vAlign w:val="center"/>
          </w:tcPr>
          <w:p w14:paraId="4E7DD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AEAEA"/>
            <w:noWrap/>
            <w:vAlign w:val="center"/>
          </w:tcPr>
          <w:p w14:paraId="2E182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AEAEA"/>
            <w:noWrap/>
            <w:vAlign w:val="center"/>
          </w:tcPr>
          <w:p w14:paraId="033B1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AEAEA"/>
            <w:noWrap/>
            <w:vAlign w:val="center"/>
          </w:tcPr>
          <w:p w14:paraId="72BC9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合计金额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AEAEA"/>
            <w:noWrap/>
            <w:vAlign w:val="center"/>
          </w:tcPr>
          <w:p w14:paraId="4E673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是否响应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AEAEA"/>
            <w:noWrap/>
            <w:vAlign w:val="center"/>
          </w:tcPr>
          <w:p w14:paraId="58E96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FD50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D0F1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2026年广西财经学院图书馆电子资源数据库校外访问服务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63F0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本技术要求为项目采购核心技术标准，投标人所投产品须完全满足或优于以下全部技术参数及功能要求，所有带★标识条款为核心实质性响应条款，不满足则视为无效投标。</w:t>
            </w:r>
          </w:p>
          <w:p w14:paraId="22FF849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知识产权要求：投标人所投平台产品须为自主研发，拥有完整、合法、无争议的自主知识产权，具备中华人民共和国国家版权局核发的计算机软件著作权登记证书，且证书权属须为投标人或其原厂授权主体，不存在知识产权侵权、权属纠纷等问题。</w:t>
            </w:r>
          </w:p>
          <w:p w14:paraId="0660D85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部署与系统适配要求：支持虚拟服务器部署模式，兼容市面通用的UNIX、WINDOWS、LINUX全系列主流服务器操作系统；支持服务器开机自启配置，可实现软件服务随服务器系统自动启动、异常重启恢复，保障服务持续稳定运行。</w:t>
            </w:r>
          </w:p>
          <w:p w14:paraId="574AA70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3.浏览器及终端兼容要求：全面兼容IE、Opera、FireFox、Chrome等主流电脑端浏览器，同时适配Android、IOS移动端设备自带浏览器，确保不同终端、不同浏览器访问平台均无适配异常、功能可用、页面正常展示。</w:t>
            </w:r>
          </w:p>
          <w:p w14:paraId="155E264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4.统一入口与身份认证对接要求：平台须设置唯一统一访问入口，支持与采购人学校现有统一身份认证系统，实现无缝对接、数据互通；馆外用户完成统一身份认证核验后，可无障碍、无二次验证访问平台全站授权资源，实现内外网访问权限统一管控。</w:t>
            </w:r>
          </w:p>
          <w:p w14:paraId="1A498D84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5.移动端自适应适配要求：平台前端用户界面具备智能自适应能力，可自动适配手机、PAD等各类移动终端设备的屏幕尺寸、分辨率，针对移动端操作场景完成界面布局、操作按钮、展示内容专项优化，保障移动端浏览及操作体验。</w:t>
            </w:r>
          </w:p>
          <w:p w14:paraId="7079645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资源导航与信息发布功能：平台需配置专属电子资源导航页面，具备常态化信息发布能力，可实时、动态发布平台公告、电子资源库更新通知、使用教程、帮助说明、运维提示等各类信息，支持管理员自主编辑、发布、下架各类公示内容。</w:t>
            </w:r>
          </w:p>
          <w:p w14:paraId="20F609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资源库字段自定义管理功能：后台支持对电子资源库基础字段进行全维度管理，默认支持资源库名称、简称、别名、供应商厂商、资源简介、官方访问地址等基础信息的新增、编辑、修改、删除操作；同时支持管理员根据使用需求自主自定义新增任意字段，可配置字段名称、字段类型、展示样式，满足个性化资源管理需求。</w:t>
            </w:r>
          </w:p>
          <w:p w14:paraId="555B5DB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8.资源有效期智能管理功能：支持对各电子资源库设置采购、试用服务的有效到期时间，到期自动下架。</w:t>
            </w:r>
          </w:p>
          <w:p w14:paraId="7C24B8E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无客户端远程访问技术要求：采用行业先进URL改写代理技术，摒弃传统VPN远程接入模式的操作繁琐、兼容性差等问题；读者无需下载、安装任何客户端、插件、驱动程序，通过任意终端标准浏览器即可直接访问平台全部授权资源，实现轻量化远程访问。</w:t>
            </w:r>
          </w:p>
          <w:p w14:paraId="4F3AA2A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10.访问链路安全加密要求：平台远程访问改写地址全程采用加密机制，对访问链接、传输数据进行加密防护，有效防止地址篡改、链路劫持、数据窃听等网络安全风险，保障平台访问链路及数据传输安全合规。</w:t>
            </w:r>
          </w:p>
          <w:p w14:paraId="14748AA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11.恶意访问防护管控功能：具备完善的网络安全防护机制，搭载防恶意登录、防批量恶意下载防护模块；可实时监测异常登录、高频批量下载、恶意爬虫抓取等违规行为，支持管理员手动或系统自动实时封杀恶意账号、异常IP地址，可设置封禁时长、记录违规日志，保障平台资源安全及服务稳定性。</w:t>
            </w:r>
          </w:p>
          <w:p w14:paraId="0367BF4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★12.后台多IP轮询调度功能：平台后台具备多IP轮询调度能力，支持配置多个服务IP地址，通过轮询机制智能分配访问请求，均衡服务访问压力，规避单点IP拥堵、故障导致的服务中断问题，提升平台访问稳定性。</w:t>
            </w:r>
          </w:p>
          <w:p w14:paraId="3DA2DD34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多维度资源数据统计功能：系统支持按自定义时间段（日、周、月、季度、年度、自定义时段）开展数据统计，可精准统计电子资源库首页访问次数、检索操作次数、明细链接点击次数、文献全文下载次数等核心业务数据，支持数据明细溯源、日志留存。</w:t>
            </w:r>
          </w:p>
          <w:p w14:paraId="5819AB1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14.可视化统计图表生成功能：基于统计数据支持自动生成多种类型可视化统计图表，包含饼图、柱状图、曲线图、二维数据表格等，图表数据实时同步、可预览、可导出、可打印，满足数据分析及汇报展示需求。</w:t>
            </w:r>
          </w:p>
          <w:p w14:paraId="1B7BC5D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15.电子资源大数据可视化展示功能：搭载电子资源统计分析大数据展示模块，可对平台资源使用数据、用户行为数据、资源热度数据等进行汇聚、分析、整合，通过大数据可视化界面集中展示核心运营数据，直观呈现平台资源使用整体情况、用户访问特征、资源利用效率等信息。</w:t>
            </w:r>
          </w:p>
          <w:p w14:paraId="24F30CF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16.电子资源实时监控预警功能：具备全方位电子资源监控能力，可7×24小时实时监测各电子资源库的在线状态、访问可用性、响应速度、链接有效性等健康指标；当出现资源失效、链接异常、服务中断、访问故障等问题时，系统可自动预警，及时向管理员后台推送告警提示，同时可对读者前端展示资源异常提示，保障服务可控。</w:t>
            </w:r>
          </w:p>
          <w:p w14:paraId="0F7EAE14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17.负载均衡与集群部署要求：平台原生支持负载均衡技术架构，兼容两台及以上服务器集群部署模式，可合理分摊业务访问压力，提升平台并发承载能力、容错能力与运行稳定性，支持后续服务器扩容、架构升级。</w:t>
            </w:r>
          </w:p>
          <w:p w14:paraId="67156DA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18.数据接口开放能力：平台需提供标准化API接口或可读数据库视图，支持读取用户资源使用全量行为数据，包含但不限于用户学号/工号身份信息、检索关键词、资源浏览记录、数据下载地址、访问时长、操作时间等核心数据，接口数据传输安全、格式规范，支持对接第三方数据分析、校园智慧平台等系统。</w:t>
            </w:r>
          </w:p>
          <w:p w14:paraId="35E2D9E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19.反向代理与动态域名服务要求：平台数据库对外服务统一采用反向代理技术，隐藏真实服务地址，规避网络攻击风险；配套采用动态域名解析服务，保障外网访问地址稳定、解析精准，提升对外服务的安全性与可达性。</w:t>
            </w:r>
          </w:p>
          <w:p w14:paraId="37842E4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20.服务期限要求：本项目整体服务有效期为自项目验收合格之日起1年，服务期内投标人须全程提供免费运维、故障修复、功能优化、技术咨询、安全防护升级等配套服务。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FCB85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F8D84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2F9859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项/年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A80A0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77272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D0FCC2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989BF1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93C270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687C60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680CEA7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A42CCB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1680DC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317D3A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D8668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9EA38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64C0CC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F3E2F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F51DC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BC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FF06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F3F437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报价合计（包含税费等所有费用）：（大写）人民币</w:t>
            </w:r>
            <w:r>
              <w:rPr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元（</w:t>
            </w: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ascii="微软雅黑" w:hAnsi="微软雅黑" w:eastAsia="微软雅黑"/>
                <w:color w:val="000000" w:themeColor="text1"/>
                <w:sz w:val="21"/>
                <w:szCs w:val="21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微软雅黑" w:hAnsi="微软雅黑" w:eastAsia="微软雅黑"/>
                <w:color w:val="000000" w:themeColor="text1"/>
                <w:sz w:val="21"/>
                <w:szCs w:val="21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元）</w:t>
            </w:r>
          </w:p>
          <w:p w14:paraId="1013088E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BB4DBC">
      <w:pPr>
        <w:spacing w:line="320" w:lineRule="exact"/>
        <w:rPr>
          <w:rFonts w:ascii="仿宋_GB2312" w:hAnsi="仿宋"/>
          <w:b/>
          <w:sz w:val="24"/>
        </w:rPr>
      </w:pPr>
      <w:r>
        <w:rPr>
          <w:rFonts w:hint="eastAsia" w:ascii="仿宋_GB2312" w:hAnsi="仿宋"/>
          <w:b/>
          <w:sz w:val="24"/>
        </w:rPr>
        <w:t>有关要求：</w:t>
      </w:r>
    </w:p>
    <w:p w14:paraId="75915853">
      <w:pPr>
        <w:spacing w:line="320" w:lineRule="exact"/>
        <w:ind w:firstLine="480" w:firstLineChars="200"/>
        <w:rPr>
          <w:rFonts w:ascii="仿宋_GB2312" w:hAnsi="Calibri"/>
          <w:sz w:val="24"/>
        </w:rPr>
      </w:pPr>
      <w:r>
        <w:rPr>
          <w:rFonts w:hint="eastAsia" w:ascii="仿宋_GB2312" w:hAnsi="Calibri"/>
          <w:sz w:val="24"/>
        </w:rPr>
        <w:t xml:space="preserve">1.报价含运输、拆卸、安装、搬运、清理现场、废旧处理、维修人工费、税发票等所有费用。 </w:t>
      </w:r>
    </w:p>
    <w:p w14:paraId="4C723A20">
      <w:pPr>
        <w:spacing w:line="320" w:lineRule="exact"/>
        <w:ind w:firstLine="480" w:firstLineChars="200"/>
        <w:rPr>
          <w:rFonts w:ascii="仿宋_GB2312" w:hAnsi="Calibri"/>
          <w:sz w:val="24"/>
        </w:rPr>
      </w:pPr>
      <w:r>
        <w:rPr>
          <w:rFonts w:hint="eastAsia" w:ascii="仿宋_GB2312" w:hAnsi="Calibri"/>
          <w:sz w:val="24"/>
        </w:rPr>
        <w:t>2.报价超过本项目上限控制价作无效投标处理。</w:t>
      </w:r>
    </w:p>
    <w:p w14:paraId="7F7A1B71">
      <w:pPr>
        <w:spacing w:line="320" w:lineRule="exact"/>
        <w:ind w:firstLine="480" w:firstLineChars="200"/>
        <w:rPr>
          <w:rFonts w:ascii="仿宋_GB2312" w:hAnsi="Calibri"/>
          <w:sz w:val="24"/>
        </w:rPr>
      </w:pPr>
      <w:r>
        <w:rPr>
          <w:rFonts w:hint="eastAsia" w:ascii="仿宋_GB2312" w:hAnsi="Calibri"/>
          <w:sz w:val="24"/>
        </w:rPr>
        <w:t xml:space="preserve">3.成交供应商须按采购人的要求供货，否则采购人有权拒收。                </w:t>
      </w:r>
    </w:p>
    <w:p w14:paraId="67E69D10">
      <w:pPr>
        <w:spacing w:line="320" w:lineRule="exact"/>
        <w:ind w:firstLine="480" w:firstLineChars="200"/>
        <w:rPr>
          <w:rFonts w:ascii="仿宋_GB2312" w:hAnsi="Calibri"/>
          <w:color w:val="000000"/>
          <w:sz w:val="24"/>
        </w:rPr>
      </w:pPr>
      <w:r>
        <w:rPr>
          <w:rFonts w:hint="eastAsia" w:ascii="仿宋_GB2312" w:hAnsi="Calibri"/>
          <w:color w:val="000000"/>
          <w:sz w:val="24"/>
        </w:rPr>
        <w:t>4.供应商应按清单中的项目自行备货，根据我方的实际使用需求进行供货，并负责安装到位，确保正常使用。</w:t>
      </w:r>
    </w:p>
    <w:p w14:paraId="3956F492">
      <w:pPr>
        <w:spacing w:line="320" w:lineRule="exact"/>
        <w:ind w:firstLine="480" w:firstLineChars="200"/>
        <w:rPr>
          <w:rFonts w:ascii="仿宋_GB2312" w:hAnsi="Calibri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5.</w:t>
      </w:r>
      <w:r>
        <w:rPr>
          <w:rFonts w:ascii="宋体" w:hAnsi="宋体" w:eastAsia="宋体" w:cs="宋体"/>
          <w:sz w:val="24"/>
        </w:rPr>
        <w:t>带</w:t>
      </w:r>
      <w:r>
        <w:rPr>
          <w:rFonts w:hint="eastAsia" w:ascii="宋体" w:hAnsi="宋体" w:eastAsia="宋体" w:cs="宋体"/>
        </w:rPr>
        <w:t>★</w:t>
      </w:r>
      <w:r>
        <w:rPr>
          <w:rFonts w:ascii="宋体" w:hAnsi="宋体" w:eastAsia="宋体" w:cs="宋体"/>
          <w:sz w:val="24"/>
        </w:rPr>
        <w:t>条款，</w:t>
      </w:r>
      <w:r>
        <w:rPr>
          <w:rFonts w:hint="eastAsia" w:ascii="宋体" w:hAnsi="宋体" w:eastAsia="宋体" w:cs="宋体"/>
          <w:sz w:val="24"/>
        </w:rPr>
        <w:t>报价人</w:t>
      </w:r>
      <w:r>
        <w:rPr>
          <w:rFonts w:ascii="宋体" w:hAnsi="宋体" w:eastAsia="宋体" w:cs="宋体"/>
          <w:sz w:val="24"/>
        </w:rPr>
        <w:t>必须响应</w:t>
      </w:r>
      <w:r>
        <w:rPr>
          <w:rFonts w:hint="eastAsia" w:ascii="宋体" w:hAnsi="宋体" w:eastAsia="宋体" w:cs="宋体"/>
          <w:sz w:val="24"/>
        </w:rPr>
        <w:t>；带</w:t>
      </w:r>
      <w:r>
        <w:rPr>
          <w:rFonts w:hint="eastAsia" w:ascii="宋体" w:hAnsi="宋体" w:eastAsia="宋体" w:cs="宋体"/>
        </w:rPr>
        <w:t>▲</w:t>
      </w:r>
      <w:r>
        <w:rPr>
          <w:rFonts w:ascii="宋体" w:hAnsi="宋体" w:eastAsia="宋体" w:cs="宋体"/>
          <w:sz w:val="24"/>
        </w:rPr>
        <w:t>条款，</w:t>
      </w:r>
      <w:r>
        <w:rPr>
          <w:rFonts w:hint="eastAsia" w:ascii="宋体" w:hAnsi="宋体" w:eastAsia="宋体" w:cs="宋体"/>
          <w:sz w:val="24"/>
        </w:rPr>
        <w:t>报价</w:t>
      </w:r>
      <w:r>
        <w:rPr>
          <w:rFonts w:ascii="宋体" w:hAnsi="宋体" w:eastAsia="宋体" w:cs="宋体"/>
          <w:sz w:val="24"/>
        </w:rPr>
        <w:t>不能负偏差</w:t>
      </w:r>
      <w:r>
        <w:rPr>
          <w:rFonts w:hint="eastAsia" w:ascii="宋体" w:hAnsi="宋体" w:eastAsia="宋体" w:cs="宋体"/>
          <w:sz w:val="24"/>
        </w:rPr>
        <w:t>。</w:t>
      </w:r>
    </w:p>
    <w:p w14:paraId="5022E19F">
      <w:pPr>
        <w:spacing w:line="560" w:lineRule="exact"/>
        <w:rPr>
          <w:rFonts w:ascii="仿宋_GB2312" w:hAnsi="宋体" w:cs="宋体"/>
          <w:b/>
          <w:bCs/>
          <w:sz w:val="28"/>
          <w:szCs w:val="28"/>
        </w:rPr>
      </w:pPr>
    </w:p>
    <w:p w14:paraId="485D9503">
      <w:pPr>
        <w:spacing w:line="560" w:lineRule="exact"/>
        <w:rPr>
          <w:rFonts w:ascii="仿宋_GB2312" w:hAnsi="宋体" w:cs="宋体"/>
          <w:b/>
          <w:bCs/>
          <w:sz w:val="28"/>
          <w:szCs w:val="28"/>
        </w:rPr>
      </w:pPr>
    </w:p>
    <w:p w14:paraId="51D15984">
      <w:pPr>
        <w:spacing w:line="560" w:lineRule="exact"/>
        <w:rPr>
          <w:rFonts w:ascii="仿宋_GB2312" w:hAnsi="宋体" w:cs="宋体"/>
          <w:b/>
          <w:bCs/>
          <w:sz w:val="28"/>
          <w:szCs w:val="28"/>
        </w:rPr>
      </w:pPr>
    </w:p>
    <w:p w14:paraId="2520547A">
      <w:pPr>
        <w:spacing w:line="560" w:lineRule="exact"/>
        <w:rPr>
          <w:rFonts w:ascii="仿宋_GB2312" w:hAnsi="宋体" w:cs="宋体"/>
          <w:b/>
          <w:bCs/>
          <w:sz w:val="28"/>
          <w:szCs w:val="28"/>
        </w:rPr>
      </w:pPr>
      <w:r>
        <w:rPr>
          <w:rFonts w:hint="eastAsia" w:ascii="仿宋_GB2312" w:hAnsi="宋体" w:cs="宋体"/>
          <w:b/>
          <w:bCs/>
          <w:sz w:val="28"/>
          <w:szCs w:val="28"/>
        </w:rPr>
        <w:t xml:space="preserve">报价公司（盖公章）：      </w:t>
      </w:r>
      <w:r>
        <w:rPr>
          <w:rFonts w:ascii="仿宋_GB2312" w:hAnsi="宋体" w:cs="宋体"/>
          <w:b/>
          <w:bCs/>
          <w:sz w:val="28"/>
          <w:szCs w:val="28"/>
        </w:rPr>
        <w:t xml:space="preserve">     </w:t>
      </w:r>
      <w:r>
        <w:rPr>
          <w:rFonts w:hint="eastAsia" w:ascii="仿宋_GB2312" w:hAnsi="宋体" w:cs="宋体"/>
          <w:b/>
          <w:bCs/>
          <w:sz w:val="28"/>
          <w:szCs w:val="28"/>
        </w:rPr>
        <w:t xml:space="preserve">  </w:t>
      </w:r>
      <w:bookmarkStart w:id="0" w:name="_GoBack"/>
      <w:bookmarkEnd w:id="0"/>
      <w:r>
        <w:rPr>
          <w:rFonts w:ascii="仿宋_GB2312" w:hAnsi="宋体" w:cs="宋体"/>
          <w:b/>
          <w:bCs/>
          <w:sz w:val="28"/>
          <w:szCs w:val="28"/>
        </w:rPr>
        <w:t xml:space="preserve">    </w:t>
      </w:r>
      <w:r>
        <w:rPr>
          <w:rFonts w:hint="eastAsia" w:ascii="仿宋_GB2312" w:hAnsi="宋体" w:cs="宋体"/>
          <w:b/>
          <w:bCs/>
          <w:sz w:val="28"/>
          <w:szCs w:val="28"/>
        </w:rPr>
        <w:t xml:space="preserve">法定代表人签字： </w:t>
      </w:r>
      <w:r>
        <w:rPr>
          <w:rFonts w:ascii="仿宋_GB2312" w:hAnsi="宋体" w:cs="宋体"/>
          <w:b/>
          <w:bCs/>
          <w:sz w:val="28"/>
          <w:szCs w:val="28"/>
        </w:rPr>
        <w:t xml:space="preserve">  </w:t>
      </w:r>
      <w:r>
        <w:rPr>
          <w:rFonts w:hint="eastAsia" w:ascii="仿宋_GB2312" w:hAnsi="宋体" w:cs="宋体"/>
          <w:b/>
          <w:bCs/>
          <w:sz w:val="28"/>
          <w:szCs w:val="28"/>
        </w:rPr>
        <w:t xml:space="preserve">    </w:t>
      </w:r>
    </w:p>
    <w:p w14:paraId="013DDEA6">
      <w:pPr>
        <w:spacing w:line="560" w:lineRule="exact"/>
        <w:rPr>
          <w:rFonts w:ascii="仿宋_GB2312" w:hAnsi="宋体" w:cs="宋体"/>
          <w:b/>
          <w:bCs/>
          <w:sz w:val="28"/>
          <w:szCs w:val="28"/>
        </w:rPr>
      </w:pPr>
    </w:p>
    <w:p w14:paraId="484F217F">
      <w:pPr>
        <w:spacing w:line="560" w:lineRule="exact"/>
        <w:rPr>
          <w:b/>
          <w:bCs/>
          <w:sz w:val="28"/>
          <w:szCs w:val="28"/>
        </w:rPr>
      </w:pPr>
      <w:r>
        <w:rPr>
          <w:rFonts w:hint="eastAsia" w:ascii="仿宋_GB2312" w:hAnsi="宋体" w:cs="宋体"/>
          <w:b/>
          <w:bCs/>
          <w:sz w:val="28"/>
          <w:szCs w:val="28"/>
        </w:rPr>
        <w:t>报价时间：</w:t>
      </w:r>
      <w:r>
        <w:rPr>
          <w:rFonts w:ascii="仿宋_GB2312" w:hAnsi="宋体" w:cs="宋体"/>
          <w:b/>
          <w:bCs/>
          <w:sz w:val="28"/>
          <w:szCs w:val="28"/>
        </w:rPr>
        <w:t xml:space="preserve"> </w:t>
      </w:r>
      <w:r>
        <w:rPr>
          <w:rFonts w:hint="eastAsia" w:ascii="仿宋_GB2312" w:hAnsi="宋体" w:cs="宋体"/>
          <w:b/>
          <w:bCs/>
          <w:sz w:val="28"/>
          <w:szCs w:val="28"/>
        </w:rPr>
        <w:t xml:space="preserve">年 </w:t>
      </w:r>
      <w:r>
        <w:rPr>
          <w:rFonts w:ascii="仿宋_GB2312" w:hAnsi="宋体" w:cs="宋体"/>
          <w:b/>
          <w:bCs/>
          <w:sz w:val="28"/>
          <w:szCs w:val="28"/>
        </w:rPr>
        <w:t xml:space="preserve"> </w:t>
      </w:r>
      <w:r>
        <w:rPr>
          <w:rFonts w:hint="eastAsia" w:ascii="仿宋_GB2312" w:hAnsi="宋体" w:cs="宋体"/>
          <w:b/>
          <w:bCs/>
          <w:sz w:val="28"/>
          <w:szCs w:val="28"/>
        </w:rPr>
        <w:t xml:space="preserve">月 </w:t>
      </w:r>
      <w:r>
        <w:rPr>
          <w:rFonts w:ascii="仿宋_GB2312" w:hAnsi="宋体" w:cs="宋体"/>
          <w:b/>
          <w:bCs/>
          <w:sz w:val="28"/>
          <w:szCs w:val="28"/>
        </w:rPr>
        <w:t xml:space="preserve"> </w:t>
      </w:r>
      <w:r>
        <w:rPr>
          <w:rFonts w:hint="eastAsia" w:ascii="仿宋_GB2312" w:hAnsi="宋体" w:cs="宋体"/>
          <w:b/>
          <w:bCs/>
          <w:sz w:val="28"/>
          <w:szCs w:val="28"/>
        </w:rPr>
        <w:t xml:space="preserve">日 </w:t>
      </w:r>
      <w:r>
        <w:rPr>
          <w:rFonts w:ascii="仿宋_GB2312" w:hAnsi="宋体" w:cs="宋体"/>
          <w:b/>
          <w:bCs/>
          <w:sz w:val="28"/>
          <w:szCs w:val="28"/>
        </w:rPr>
        <w:t xml:space="preserve">     </w:t>
      </w:r>
      <w:r>
        <w:rPr>
          <w:rFonts w:hint="eastAsia" w:ascii="仿宋_GB2312" w:hAnsi="宋体" w:cs="宋体"/>
          <w:b/>
          <w:bCs/>
          <w:sz w:val="28"/>
          <w:szCs w:val="28"/>
        </w:rPr>
        <w:t xml:space="preserve"> </w:t>
      </w:r>
      <w:r>
        <w:rPr>
          <w:rFonts w:ascii="仿宋_GB2312" w:hAnsi="宋体" w:cs="宋体"/>
          <w:b/>
          <w:bCs/>
          <w:sz w:val="28"/>
          <w:szCs w:val="28"/>
        </w:rPr>
        <w:t xml:space="preserve">     </w:t>
      </w:r>
      <w:r>
        <w:rPr>
          <w:rFonts w:hint="eastAsia" w:ascii="仿宋_GB2312" w:hAnsi="宋体" w:cs="宋体"/>
          <w:b/>
          <w:bCs/>
          <w:sz w:val="28"/>
          <w:szCs w:val="28"/>
        </w:rPr>
        <w:t xml:space="preserve"> </w:t>
      </w:r>
      <w:r>
        <w:rPr>
          <w:rFonts w:hint="eastAsia" w:ascii="仿宋_GB2312" w:hAnsi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cs="宋体"/>
          <w:b/>
          <w:bCs/>
          <w:sz w:val="28"/>
          <w:szCs w:val="28"/>
        </w:rPr>
        <w:t>联系人及电话：</w:t>
      </w:r>
    </w:p>
    <w:p w14:paraId="2AA2C0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B0ECC20-8917-4FB0-9DDF-2D0BA711948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6558BB6-4373-42E3-ACF2-5BC782D7FF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F7AB930-FC44-4222-8108-B195FF83F1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495CD3B-BAA0-4D68-8858-120CFCB1C9F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512F8F2A-438D-42BF-B70B-B11242DE47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ZmVjMjRlMmE5ZjRmYmZiOGMxYzI3MDdkZjY5MDMifQ=="/>
  </w:docVars>
  <w:rsids>
    <w:rsidRoot w:val="5E815C9E"/>
    <w:rsid w:val="0023516D"/>
    <w:rsid w:val="0A6C7832"/>
    <w:rsid w:val="0E5563F8"/>
    <w:rsid w:val="0F9A02A3"/>
    <w:rsid w:val="116B57DF"/>
    <w:rsid w:val="11D02E86"/>
    <w:rsid w:val="15D168FF"/>
    <w:rsid w:val="193E071D"/>
    <w:rsid w:val="1B750FCE"/>
    <w:rsid w:val="1DAF7665"/>
    <w:rsid w:val="22EB65AC"/>
    <w:rsid w:val="23E7405F"/>
    <w:rsid w:val="28166CC7"/>
    <w:rsid w:val="2C702EEC"/>
    <w:rsid w:val="35521BC3"/>
    <w:rsid w:val="3CF14E80"/>
    <w:rsid w:val="3D9019B5"/>
    <w:rsid w:val="42BF5376"/>
    <w:rsid w:val="480913D9"/>
    <w:rsid w:val="49155047"/>
    <w:rsid w:val="4AEF30A8"/>
    <w:rsid w:val="4AFD6EB4"/>
    <w:rsid w:val="4BE57662"/>
    <w:rsid w:val="4EB003EE"/>
    <w:rsid w:val="571C7B48"/>
    <w:rsid w:val="5ADF3EC2"/>
    <w:rsid w:val="5C146193"/>
    <w:rsid w:val="5E815C9E"/>
    <w:rsid w:val="5E985C63"/>
    <w:rsid w:val="62292D26"/>
    <w:rsid w:val="62F835B8"/>
    <w:rsid w:val="6A65484E"/>
    <w:rsid w:val="76A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annotation reference"/>
    <w:basedOn w:val="4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2051</Words>
  <Characters>2142</Characters>
  <Lines>0</Lines>
  <Paragraphs>0</Paragraphs>
  <TotalTime>5</TotalTime>
  <ScaleCrop>false</ScaleCrop>
  <LinksUpToDate>false</LinksUpToDate>
  <CharactersWithSpaces>2248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2023-10-09T09:14:00Z</dcterms:created>
  <dc:creator>元平</dc:creator>
  <cp:lastModifiedBy>耳朵飘扬</cp:lastModifiedBy>
  <dcterms:modified xsi:type="dcterms:W3CDTF">2026-06-10T03:24:51Z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17A087D11E1545E2885C1F4CD58DE9A1_11</vt:lpwstr>
  </property>
  <property fmtid="{D5CDD505-2E9C-101B-9397-08002B2CF9AE}" pid="4" name="KSOTemplateDocerSaveRecord">
    <vt:lpwstr>eyJoZGlkIjoiOTViMDFmOWE3ZjhhMmYxMWZiZDYxMmMzMWY5OWZmMGMiLCJ1c2VySWQiOiI2NjQyODMzMzUifQ==</vt:lpwstr>
  </property>
</Properties>
</file>