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B5153">
      <w:pPr>
        <w:jc w:val="left"/>
        <w:rPr>
          <w:rFonts w:hint="eastAsia" w:ascii="宋体" w:hAnsi="宋体"/>
          <w:sz w:val="28"/>
          <w:szCs w:val="28"/>
        </w:rPr>
      </w:pPr>
      <w:r>
        <w:rPr>
          <w:rFonts w:hint="eastAsia" w:ascii="宋体" w:hAnsi="宋体"/>
          <w:sz w:val="28"/>
          <w:szCs w:val="28"/>
        </w:rPr>
        <w:t>附件</w:t>
      </w:r>
      <w:r>
        <w:rPr>
          <w:rFonts w:ascii="宋体" w:hAnsi="宋体"/>
          <w:sz w:val="28"/>
          <w:szCs w:val="28"/>
        </w:rPr>
        <w:t>1</w:t>
      </w:r>
      <w:r>
        <w:rPr>
          <w:rFonts w:hint="eastAsia" w:ascii="宋体" w:hAnsi="宋体"/>
          <w:sz w:val="28"/>
          <w:szCs w:val="28"/>
        </w:rPr>
        <w:t>：</w:t>
      </w:r>
    </w:p>
    <w:p w14:paraId="5647795B">
      <w:pPr>
        <w:pStyle w:val="6"/>
        <w:widowControl/>
        <w:spacing w:beforeAutospacing="0" w:afterAutospacing="0" w:line="420" w:lineRule="atLeast"/>
        <w:jc w:val="center"/>
        <w:rPr>
          <w:rFonts w:hint="eastAsia" w:ascii="宋体" w:hAnsi="宋体"/>
          <w:b/>
          <w:sz w:val="36"/>
          <w:szCs w:val="36"/>
        </w:rPr>
      </w:pPr>
      <w:r>
        <w:rPr>
          <w:rFonts w:hint="eastAsia" w:ascii="宋体" w:hAnsi="宋体"/>
          <w:b/>
          <w:sz w:val="36"/>
          <w:szCs w:val="36"/>
        </w:rPr>
        <w:t>广西财经学院武鸣校区借用医科大田径场围网工程监理服务（重）询价采购报价单</w:t>
      </w:r>
    </w:p>
    <w:tbl>
      <w:tblPr>
        <w:tblStyle w:val="7"/>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0"/>
        <w:gridCol w:w="7992"/>
      </w:tblGrid>
      <w:tr w14:paraId="25C3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944" w:type="pct"/>
            <w:vAlign w:val="center"/>
          </w:tcPr>
          <w:p w14:paraId="4A725552">
            <w:pPr>
              <w:jc w:val="center"/>
              <w:rPr>
                <w:rFonts w:hint="eastAsia" w:ascii="宋体" w:hAnsi="宋体"/>
                <w:sz w:val="28"/>
                <w:szCs w:val="36"/>
              </w:rPr>
            </w:pPr>
            <w:r>
              <w:rPr>
                <w:rFonts w:ascii="宋体" w:hAnsi="宋体"/>
                <w:b/>
                <w:sz w:val="28"/>
                <w:szCs w:val="36"/>
              </w:rPr>
              <w:t>项目名称</w:t>
            </w:r>
          </w:p>
        </w:tc>
        <w:tc>
          <w:tcPr>
            <w:tcW w:w="4055" w:type="pct"/>
            <w:vAlign w:val="center"/>
          </w:tcPr>
          <w:p w14:paraId="6C16F1B8">
            <w:pPr>
              <w:jc w:val="center"/>
              <w:rPr>
                <w:rFonts w:hint="eastAsia" w:ascii="宋体" w:hAnsi="宋体"/>
                <w:b/>
                <w:sz w:val="28"/>
                <w:szCs w:val="36"/>
              </w:rPr>
            </w:pPr>
            <w:r>
              <w:rPr>
                <w:rFonts w:ascii="宋体" w:hAnsi="宋体"/>
                <w:b/>
                <w:sz w:val="28"/>
                <w:szCs w:val="36"/>
              </w:rPr>
              <w:t>项目规模及服务内容</w:t>
            </w:r>
          </w:p>
        </w:tc>
      </w:tr>
      <w:tr w14:paraId="1B3BD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944" w:type="pct"/>
            <w:vAlign w:val="center"/>
          </w:tcPr>
          <w:p w14:paraId="45BB20F1">
            <w:pPr>
              <w:spacing w:line="560" w:lineRule="exact"/>
              <w:rPr>
                <w:rFonts w:hint="eastAsia" w:ascii="宋体" w:hAnsi="宋体"/>
                <w:b/>
                <w:sz w:val="28"/>
                <w:szCs w:val="36"/>
              </w:rPr>
            </w:pPr>
            <w:r>
              <w:rPr>
                <w:rFonts w:hint="eastAsia" w:ascii="仿宋_GB2312" w:hAnsi="仿宋_GB2312" w:eastAsia="仿宋_GB2312" w:cs="仿宋_GB2312"/>
                <w:sz w:val="24"/>
              </w:rPr>
              <w:t>广西财经学院武鸣校区借用医科大田径场围网工程监理服务（重）</w:t>
            </w:r>
            <w:bookmarkStart w:id="3" w:name="_GoBack"/>
            <w:bookmarkEnd w:id="3"/>
            <w:r>
              <w:rPr>
                <w:rFonts w:hint="eastAsia" w:ascii="仿宋_GB2312" w:hAnsi="仿宋_GB2312" w:eastAsia="仿宋_GB2312" w:cs="仿宋_GB2312"/>
                <w:sz w:val="24"/>
              </w:rPr>
              <w:t>项目</w:t>
            </w:r>
          </w:p>
        </w:tc>
        <w:tc>
          <w:tcPr>
            <w:tcW w:w="4055" w:type="pct"/>
            <w:vAlign w:val="center"/>
          </w:tcPr>
          <w:p w14:paraId="56620F6B">
            <w:pPr>
              <w:keepNext w:val="0"/>
              <w:keepLines w:val="0"/>
              <w:pageBreakBefore w:val="0"/>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（一）建设地点：</w:t>
            </w:r>
          </w:p>
          <w:p w14:paraId="692F48E2">
            <w:pPr>
              <w:keepNext w:val="0"/>
              <w:keepLines w:val="0"/>
              <w:pageBreakBefore w:val="0"/>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广西南宁市武鸣区武华路武鸣段336号。</w:t>
            </w:r>
          </w:p>
          <w:p w14:paraId="4840028C">
            <w:pPr>
              <w:keepNext w:val="0"/>
              <w:keepLines w:val="0"/>
              <w:pageBreakBefore w:val="0"/>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（二）建设规模：</w:t>
            </w:r>
          </w:p>
          <w:p w14:paraId="60C8C470">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lang w:eastAsia="zh-CN"/>
              </w:rPr>
            </w:pPr>
            <w:r>
              <w:rPr>
                <w:rFonts w:hint="eastAsia" w:ascii="仿宋" w:hAnsi="仿宋" w:eastAsia="仿宋" w:cs="仿宋"/>
                <w:bCs/>
                <w:sz w:val="24"/>
                <w:szCs w:val="24"/>
              </w:rPr>
              <w:t>沿校区田径场跑道外侧建设田径场围网</w:t>
            </w:r>
            <w:r>
              <w:rPr>
                <w:rFonts w:hint="eastAsia" w:ascii="仿宋" w:hAnsi="仿宋" w:eastAsia="仿宋" w:cs="仿宋"/>
                <w:bCs/>
                <w:sz w:val="24"/>
                <w:szCs w:val="24"/>
                <w:lang w:eastAsia="zh-CN"/>
              </w:rPr>
              <w:t>。</w:t>
            </w:r>
          </w:p>
          <w:p w14:paraId="228ABB2F">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（三）采购内容：</w:t>
            </w:r>
          </w:p>
          <w:p w14:paraId="790CFCD4">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自发出成交通知书之日起至广西财经学院武鸣校区借用医科大田径场围网工程缺陷责任期满为止的全过程监理服务。</w:t>
            </w:r>
          </w:p>
          <w:p w14:paraId="77904615">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（四）上限控制价：</w:t>
            </w:r>
          </w:p>
          <w:p w14:paraId="3CBE6EA7">
            <w:pPr>
              <w:pStyle w:val="6"/>
              <w:keepNext w:val="0"/>
              <w:keepLines w:val="0"/>
              <w:pageBreakBefore w:val="0"/>
              <w:widowControl/>
              <w:kinsoku/>
              <w:wordWrap w:val="0"/>
              <w:overflowPunct/>
              <w:topLinePunct w:val="0"/>
              <w:autoSpaceDE/>
              <w:autoSpaceDN/>
              <w:bidi w:val="0"/>
              <w:adjustRightInd/>
              <w:snapToGrid/>
              <w:spacing w:beforeAutospacing="0" w:afterAutospacing="0" w:line="240" w:lineRule="auto"/>
              <w:ind w:firstLine="480" w:firstLineChars="200"/>
              <w:jc w:val="both"/>
              <w:textAlignment w:val="auto"/>
              <w:rPr>
                <w:rFonts w:hint="eastAsia" w:ascii="仿宋" w:hAnsi="仿宋" w:eastAsia="仿宋" w:cs="仿宋"/>
                <w:bCs/>
                <w:kern w:val="2"/>
                <w:sz w:val="24"/>
                <w:szCs w:val="24"/>
              </w:rPr>
            </w:pPr>
            <w:r>
              <w:rPr>
                <w:rFonts w:hint="eastAsia" w:ascii="仿宋" w:hAnsi="仿宋" w:eastAsia="仿宋" w:cs="仿宋"/>
                <w:bCs/>
                <w:kern w:val="2"/>
                <w:sz w:val="24"/>
                <w:szCs w:val="24"/>
              </w:rPr>
              <w:t>人民币（大写）柒仟肆佰元整，（小写）¥</w:t>
            </w:r>
            <w:r>
              <w:rPr>
                <w:rFonts w:hint="eastAsia" w:ascii="仿宋" w:hAnsi="仿宋" w:eastAsia="仿宋" w:cs="仿宋"/>
                <w:bCs/>
                <w:kern w:val="2"/>
                <w:sz w:val="24"/>
                <w:szCs w:val="24"/>
                <w:lang w:val="en-US" w:eastAsia="zh-CN"/>
              </w:rPr>
              <w:t>7400</w:t>
            </w:r>
            <w:r>
              <w:rPr>
                <w:rFonts w:hint="eastAsia" w:ascii="仿宋" w:hAnsi="仿宋" w:eastAsia="仿宋" w:cs="仿宋"/>
                <w:bCs/>
                <w:kern w:val="2"/>
                <w:sz w:val="24"/>
                <w:szCs w:val="24"/>
              </w:rPr>
              <w:t>.00元。</w:t>
            </w:r>
          </w:p>
          <w:p w14:paraId="2B0408BB">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（五）服务周期：</w:t>
            </w:r>
          </w:p>
          <w:p w14:paraId="6CB48042">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kern w:val="2"/>
                <w:sz w:val="24"/>
                <w:szCs w:val="24"/>
              </w:rPr>
            </w:pPr>
            <w:r>
              <w:rPr>
                <w:rFonts w:hint="eastAsia" w:ascii="仿宋" w:hAnsi="仿宋" w:eastAsia="仿宋" w:cs="仿宋"/>
                <w:bCs/>
                <w:kern w:val="2"/>
                <w:sz w:val="24"/>
                <w:szCs w:val="24"/>
              </w:rPr>
              <w:t>自成交通知书发出之日起至本工程缺陷责任期满之日（以孰晚之日为准）止。</w:t>
            </w:r>
          </w:p>
          <w:p w14:paraId="637689A2">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（六）监理范围：</w:t>
            </w:r>
          </w:p>
          <w:p w14:paraId="2100CFAD">
            <w:pPr>
              <w:keepNext w:val="0"/>
              <w:keepLines w:val="0"/>
              <w:pageBreakBefore w:val="0"/>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运动场配套工程，田径场围网；以合同、设计图纸（含期间设计变更）及工程量清单所包含的全部详细施工内容为准。</w:t>
            </w:r>
          </w:p>
          <w:p w14:paraId="1B6F5B12">
            <w:pPr>
              <w:keepNext w:val="0"/>
              <w:keepLines w:val="0"/>
              <w:pageBreakBefore w:val="0"/>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
                <w:sz w:val="24"/>
                <w:szCs w:val="24"/>
              </w:rPr>
            </w:pPr>
            <w:r>
              <w:rPr>
                <w:rFonts w:ascii="仿宋" w:hAnsi="仿宋" w:eastAsia="仿宋" w:cs="仿宋"/>
                <w:b/>
                <w:sz w:val="24"/>
                <w:szCs w:val="24"/>
              </w:rPr>
              <w:t>（</w:t>
            </w:r>
            <w:r>
              <w:rPr>
                <w:rFonts w:hint="eastAsia" w:ascii="仿宋" w:hAnsi="仿宋" w:eastAsia="仿宋" w:cs="仿宋"/>
                <w:b/>
                <w:sz w:val="24"/>
                <w:szCs w:val="24"/>
              </w:rPr>
              <w:t>七</w:t>
            </w:r>
            <w:r>
              <w:rPr>
                <w:rFonts w:ascii="仿宋" w:hAnsi="仿宋" w:eastAsia="仿宋" w:cs="仿宋"/>
                <w:b/>
                <w:sz w:val="24"/>
                <w:szCs w:val="24"/>
              </w:rPr>
              <w:t>）</w:t>
            </w:r>
            <w:r>
              <w:rPr>
                <w:rFonts w:hint="eastAsia" w:ascii="仿宋" w:hAnsi="仿宋" w:eastAsia="仿宋" w:cs="仿宋"/>
                <w:b/>
                <w:sz w:val="24"/>
                <w:szCs w:val="24"/>
              </w:rPr>
              <w:t>监理服务内容</w:t>
            </w:r>
            <w:r>
              <w:rPr>
                <w:rFonts w:ascii="仿宋" w:hAnsi="仿宋" w:eastAsia="仿宋" w:cs="仿宋"/>
                <w:b/>
                <w:sz w:val="24"/>
                <w:szCs w:val="24"/>
              </w:rPr>
              <w:t>：</w:t>
            </w:r>
          </w:p>
          <w:p w14:paraId="04D38E0B">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kern w:val="2"/>
                <w:sz w:val="24"/>
                <w:szCs w:val="24"/>
              </w:rPr>
            </w:pPr>
            <w:r>
              <w:rPr>
                <w:rFonts w:hint="eastAsia" w:ascii="仿宋" w:hAnsi="仿宋" w:eastAsia="仿宋" w:cs="仿宋"/>
                <w:bCs/>
                <w:kern w:val="2"/>
                <w:sz w:val="24"/>
                <w:szCs w:val="24"/>
              </w:rPr>
              <w:t>广西财经学院武鸣校区借用医科大田径场围网工程项目施工阶段和保修阶段的监理服务。</w:t>
            </w:r>
          </w:p>
          <w:p w14:paraId="420E3DCF">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ascii="仿宋" w:hAnsi="仿宋" w:eastAsia="仿宋" w:cs="仿宋"/>
                <w:b/>
                <w:sz w:val="24"/>
                <w:szCs w:val="24"/>
              </w:rPr>
              <w:t>（</w:t>
            </w:r>
            <w:r>
              <w:rPr>
                <w:rFonts w:hint="eastAsia" w:ascii="仿宋" w:hAnsi="仿宋" w:eastAsia="仿宋" w:cs="仿宋"/>
                <w:b/>
                <w:sz w:val="24"/>
                <w:szCs w:val="24"/>
              </w:rPr>
              <w:t>八</w:t>
            </w:r>
            <w:r>
              <w:rPr>
                <w:rFonts w:ascii="仿宋" w:hAnsi="仿宋" w:eastAsia="仿宋" w:cs="仿宋"/>
                <w:b/>
                <w:sz w:val="24"/>
                <w:szCs w:val="24"/>
              </w:rPr>
              <w:t>）</w:t>
            </w:r>
            <w:r>
              <w:rPr>
                <w:rFonts w:hint="eastAsia" w:ascii="仿宋" w:hAnsi="仿宋" w:eastAsia="仿宋" w:cs="仿宋"/>
                <w:b/>
                <w:sz w:val="24"/>
                <w:szCs w:val="24"/>
              </w:rPr>
              <w:t>质量要求</w:t>
            </w:r>
            <w:r>
              <w:rPr>
                <w:rFonts w:ascii="仿宋" w:hAnsi="仿宋" w:eastAsia="仿宋" w:cs="仿宋"/>
                <w:b/>
                <w:sz w:val="24"/>
                <w:szCs w:val="24"/>
              </w:rPr>
              <w:t>：</w:t>
            </w:r>
          </w:p>
          <w:p w14:paraId="14FA15C4">
            <w:pPr>
              <w:keepNext w:val="0"/>
              <w:keepLines w:val="0"/>
              <w:pageBreakBefore w:val="0"/>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kern w:val="2"/>
                <w:sz w:val="24"/>
                <w:szCs w:val="24"/>
              </w:rPr>
            </w:pPr>
            <w:r>
              <w:rPr>
                <w:rFonts w:hint="eastAsia" w:ascii="仿宋" w:hAnsi="仿宋" w:eastAsia="仿宋" w:cs="仿宋"/>
                <w:bCs/>
                <w:kern w:val="2"/>
                <w:sz w:val="24"/>
                <w:szCs w:val="24"/>
              </w:rPr>
              <w:t>符合国家相关规范、要求合格标准。</w:t>
            </w:r>
          </w:p>
          <w:p w14:paraId="779EADA7">
            <w:pPr>
              <w:keepNext w:val="0"/>
              <w:keepLines w:val="0"/>
              <w:pageBreakBefore w:val="0"/>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
                <w:sz w:val="24"/>
                <w:szCs w:val="24"/>
              </w:rPr>
            </w:pPr>
            <w:r>
              <w:rPr>
                <w:rFonts w:ascii="仿宋" w:hAnsi="仿宋" w:eastAsia="仿宋" w:cs="仿宋"/>
                <w:b/>
                <w:sz w:val="24"/>
                <w:szCs w:val="24"/>
              </w:rPr>
              <w:t>（</w:t>
            </w:r>
            <w:r>
              <w:rPr>
                <w:rFonts w:hint="eastAsia" w:ascii="仿宋" w:hAnsi="仿宋" w:eastAsia="仿宋" w:cs="仿宋"/>
                <w:b/>
                <w:sz w:val="24"/>
                <w:szCs w:val="24"/>
              </w:rPr>
              <w:t>九</w:t>
            </w:r>
            <w:r>
              <w:rPr>
                <w:rFonts w:ascii="仿宋" w:hAnsi="仿宋" w:eastAsia="仿宋" w:cs="仿宋"/>
                <w:b/>
                <w:sz w:val="24"/>
                <w:szCs w:val="24"/>
              </w:rPr>
              <w:t>）</w:t>
            </w:r>
            <w:r>
              <w:rPr>
                <w:rFonts w:hint="eastAsia" w:ascii="仿宋" w:hAnsi="仿宋" w:eastAsia="仿宋" w:cs="仿宋"/>
                <w:b/>
                <w:sz w:val="24"/>
                <w:szCs w:val="24"/>
              </w:rPr>
              <w:t>其他要求</w:t>
            </w:r>
            <w:r>
              <w:rPr>
                <w:rFonts w:ascii="仿宋" w:hAnsi="仿宋" w:eastAsia="仿宋" w:cs="仿宋"/>
                <w:b/>
                <w:sz w:val="24"/>
                <w:szCs w:val="24"/>
              </w:rPr>
              <w:t>：</w:t>
            </w:r>
          </w:p>
          <w:p w14:paraId="0AE6C1CA">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1.自行组织现场踏勘及调研工作，完成相关基础资料收集。2.服务周期内，因国家及地方有关政策、行业规范及标准变化引起的修改，修改补充所产生的费用由成交供应商承担。</w:t>
            </w:r>
          </w:p>
          <w:p w14:paraId="131D1502">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w:t>
            </w:r>
            <w:r>
              <w:rPr>
                <w:rFonts w:hint="eastAsia" w:ascii="仿宋" w:hAnsi="仿宋" w:eastAsia="仿宋" w:cs="仿宋"/>
                <w:b/>
                <w:sz w:val="24"/>
                <w:szCs w:val="24"/>
                <w:lang w:eastAsia="zh-CN"/>
              </w:rPr>
              <w:t>十</w:t>
            </w:r>
            <w:r>
              <w:rPr>
                <w:rFonts w:hint="eastAsia" w:ascii="仿宋" w:hAnsi="仿宋" w:eastAsia="仿宋" w:cs="仿宋"/>
                <w:b/>
                <w:sz w:val="24"/>
                <w:szCs w:val="24"/>
              </w:rPr>
              <w:t>）采购方式</w:t>
            </w:r>
          </w:p>
          <w:p w14:paraId="04D40862">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 询价采购</w:t>
            </w:r>
          </w:p>
          <w:p w14:paraId="67F9DAFD">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一</w:t>
            </w:r>
            <w:r>
              <w:rPr>
                <w:rFonts w:hint="eastAsia" w:ascii="仿宋" w:hAnsi="仿宋" w:eastAsia="仿宋" w:cs="仿宋"/>
                <w:b/>
                <w:sz w:val="24"/>
                <w:szCs w:val="24"/>
              </w:rPr>
              <w:t>）供应商资格要求</w:t>
            </w:r>
          </w:p>
          <w:p w14:paraId="26BD2967">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（一）国内注册（指按国家有关规定要求注册的）经营本次采购服务的供应商。</w:t>
            </w:r>
          </w:p>
          <w:p w14:paraId="07677DDF">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（二）供应商负责人为同一人或者存在直接控股、管理关系的不同供应商，不得参加同一合同项下的采购活动。</w:t>
            </w:r>
          </w:p>
          <w:p w14:paraId="431D4E7F">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（三）供应商具备房屋建筑工程监理乙级（含）及以上或工程监理综合资质。</w:t>
            </w:r>
          </w:p>
          <w:p w14:paraId="1240AF7B">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（四）参加本次采购活动前三年内在经营活动中没有重大违法记录和不良信用记录。</w:t>
            </w:r>
          </w:p>
          <w:p w14:paraId="34A180A5">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（五）本项目不接受联合体报价。</w:t>
            </w:r>
          </w:p>
          <w:p w14:paraId="2EE07B89">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（六）若供应商在本校有三个以上（含三个）在建工程或未完成竣工验收项目的，不得参与本次采购活动。</w:t>
            </w:r>
          </w:p>
          <w:p w14:paraId="6A333BE4">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（七）供应商与广西财经学院没有发生过经济纠纷或违约记录。</w:t>
            </w:r>
          </w:p>
          <w:p w14:paraId="09932CCE">
            <w:pPr>
              <w:keepNext w:val="0"/>
              <w:keepLines w:val="0"/>
              <w:pageBreakBefore w:val="0"/>
              <w:widowControl/>
              <w:kinsoku/>
              <w:overflowPunct/>
              <w:topLinePunct w:val="0"/>
              <w:autoSpaceDE/>
              <w:autoSpaceDN/>
              <w:bidi w:val="0"/>
              <w:adjustRightInd/>
              <w:snapToGrid/>
              <w:spacing w:line="240" w:lineRule="auto"/>
              <w:ind w:firstLine="480" w:firstLineChars="200"/>
              <w:jc w:val="left"/>
              <w:textAlignment w:val="auto"/>
              <w:rPr>
                <w:rFonts w:hint="eastAsia" w:ascii="仿宋" w:hAnsi="仿宋" w:eastAsia="仿宋" w:cs="仿宋"/>
                <w:bCs/>
                <w:sz w:val="24"/>
                <w:szCs w:val="24"/>
              </w:rPr>
            </w:pPr>
            <w:r>
              <w:rPr>
                <w:rFonts w:hint="eastAsia" w:ascii="仿宋" w:hAnsi="仿宋" w:eastAsia="仿宋" w:cs="仿宋"/>
                <w:bCs/>
                <w:sz w:val="24"/>
                <w:szCs w:val="24"/>
              </w:rPr>
              <w:t>（八）凡近三年存在司法诉讼败诉或近三年内有司法纠纷且尚未解决的，均不具备竞标资格。</w:t>
            </w:r>
          </w:p>
          <w:p w14:paraId="4AA6B330">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二</w:t>
            </w:r>
            <w:r>
              <w:rPr>
                <w:rFonts w:hint="eastAsia" w:ascii="仿宋" w:hAnsi="仿宋" w:eastAsia="仿宋" w:cs="仿宋"/>
                <w:b/>
                <w:sz w:val="24"/>
                <w:szCs w:val="24"/>
              </w:rPr>
              <w:t>）采购需求响应</w:t>
            </w:r>
          </w:p>
          <w:p w14:paraId="4E34B440">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 供应商需按如下要求对拟投入本项目人员作出实质性响应，并提交响应、偏离情况说明表（详见附件2），否则视为无效报价：</w:t>
            </w:r>
          </w:p>
          <w:p w14:paraId="157E1D64">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一）工程监理负责人（项目总监理工程师）资格要求：须具备房屋建筑工程专业国家注册监理工程师执业资格，并已办理广西建筑业企业诚信信息库入库手续且处于有效状态【不接受存在以下任一种情形的项目：（1）在广西行政区域外有担任项目总监的在监项目；（2）在广西全区范围内已经担任项目总监和（或）已列为第一中标候选人项目总监的工程个数达到3个的】。</w:t>
            </w:r>
          </w:p>
          <w:p w14:paraId="316ECA01">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（二）其他人员要求：监理员不少于2人。</w:t>
            </w:r>
          </w:p>
          <w:p w14:paraId="0F361A92">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（三）以上拟投入人员不得重复。</w:t>
            </w:r>
          </w:p>
          <w:p w14:paraId="22318D64">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（四）供应商需提供拟投入的项目负责人在报价截止日期前1个月（即2026年</w:t>
            </w:r>
            <w:r>
              <w:rPr>
                <w:rFonts w:hint="eastAsia" w:ascii="仿宋" w:hAnsi="仿宋" w:eastAsia="仿宋" w:cs="仿宋"/>
                <w:bCs/>
                <w:sz w:val="24"/>
                <w:szCs w:val="24"/>
                <w:lang w:val="en-US" w:eastAsia="zh-CN"/>
              </w:rPr>
              <w:t>4</w:t>
            </w:r>
            <w:r>
              <w:rPr>
                <w:rFonts w:hint="eastAsia" w:ascii="仿宋" w:hAnsi="仿宋" w:eastAsia="仿宋" w:cs="仿宋"/>
                <w:bCs/>
                <w:sz w:val="24"/>
                <w:szCs w:val="24"/>
              </w:rPr>
              <w:t>月或</w:t>
            </w:r>
            <w:r>
              <w:rPr>
                <w:rFonts w:hint="eastAsia" w:ascii="仿宋" w:hAnsi="仿宋" w:eastAsia="仿宋" w:cs="仿宋"/>
                <w:bCs/>
                <w:sz w:val="24"/>
                <w:szCs w:val="24"/>
                <w:lang w:val="en-US" w:eastAsia="zh-CN"/>
              </w:rPr>
              <w:t>5</w:t>
            </w:r>
            <w:r>
              <w:rPr>
                <w:rFonts w:hint="eastAsia" w:ascii="仿宋" w:hAnsi="仿宋" w:eastAsia="仿宋" w:cs="仿宋"/>
                <w:bCs/>
                <w:sz w:val="24"/>
                <w:szCs w:val="24"/>
              </w:rPr>
              <w:t>月）在本单位的社保缴纳证明。</w:t>
            </w:r>
          </w:p>
          <w:p w14:paraId="115F6813">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（五）以上拟投入人员不得随意更换，否则视为违约，业主有权终止合同，由此产生一切后果和责任由供应商承担。</w:t>
            </w:r>
          </w:p>
          <w:p w14:paraId="03FEF7F9">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三</w:t>
            </w:r>
            <w:r>
              <w:rPr>
                <w:rFonts w:hint="eastAsia" w:ascii="仿宋" w:hAnsi="仿宋" w:eastAsia="仿宋" w:cs="仿宋"/>
                <w:b/>
                <w:sz w:val="24"/>
                <w:szCs w:val="24"/>
              </w:rPr>
              <w:t>）报价要求</w:t>
            </w:r>
          </w:p>
          <w:p w14:paraId="44A4F4B8">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总价报价，报价不能超过本项目上限控制价。</w:t>
            </w:r>
          </w:p>
          <w:p w14:paraId="011DCBFF">
            <w:pPr>
              <w:keepNext w:val="0"/>
              <w:keepLines w:val="0"/>
              <w:pageBreakBefore w:val="0"/>
              <w:widowControl/>
              <w:kinsoku/>
              <w:overflowPunct/>
              <w:topLinePunct w:val="0"/>
              <w:autoSpaceDE/>
              <w:autoSpaceDN/>
              <w:bidi w:val="0"/>
              <w:adjustRightInd/>
              <w:snapToGrid/>
              <w:spacing w:line="240" w:lineRule="auto"/>
              <w:ind w:firstLine="482" w:firstLineChars="200"/>
              <w:jc w:val="left"/>
              <w:textAlignment w:val="auto"/>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四</w:t>
            </w:r>
            <w:r>
              <w:rPr>
                <w:rFonts w:hint="eastAsia" w:ascii="仿宋" w:hAnsi="仿宋" w:eastAsia="仿宋" w:cs="仿宋"/>
                <w:b/>
                <w:sz w:val="24"/>
                <w:szCs w:val="24"/>
              </w:rPr>
              <w:t>）付款方式</w:t>
            </w:r>
          </w:p>
          <w:p w14:paraId="1EF5B58D">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（一）本项目不设预付款。</w:t>
            </w:r>
          </w:p>
          <w:p w14:paraId="15D6CADE">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二）工程竣工结算后，监理单位提供所有监理项目完整合格监理资料并完成相关资料移交后，支付监理服务费至合同总价的100%。请款申请经业主审核通过后，自收到成交供应商合格发票（增值税专用发票）之日起14个工作日内支付。</w:t>
            </w:r>
          </w:p>
          <w:p w14:paraId="4E9BE167">
            <w:pPr>
              <w:keepNext w:val="0"/>
              <w:keepLines w:val="0"/>
              <w:pageBreakBefore w:val="0"/>
              <w:numPr>
                <w:ilvl w:val="255"/>
                <w:numId w:val="0"/>
              </w:numPr>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五</w:t>
            </w:r>
            <w:r>
              <w:rPr>
                <w:rFonts w:hint="eastAsia" w:ascii="仿宋" w:hAnsi="仿宋" w:eastAsia="仿宋" w:cs="仿宋"/>
                <w:b/>
                <w:sz w:val="24"/>
                <w:szCs w:val="24"/>
              </w:rPr>
              <w:t>）承包方式</w:t>
            </w:r>
          </w:p>
          <w:p w14:paraId="1A34D9D3">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总价包干（报价包括但不限于完成本项目所需的各项成本、人工费、材料费、管理费、专家评审费、开办费、税金及场地费、利润等所有费用）。</w:t>
            </w:r>
          </w:p>
          <w:p w14:paraId="36FC5D88">
            <w:pPr>
              <w:keepNext w:val="0"/>
              <w:keepLines w:val="0"/>
              <w:pageBreakBefore w:val="0"/>
              <w:numPr>
                <w:ilvl w:val="255"/>
                <w:numId w:val="0"/>
              </w:numPr>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六</w:t>
            </w:r>
            <w:r>
              <w:rPr>
                <w:rFonts w:hint="eastAsia" w:ascii="仿宋" w:hAnsi="仿宋" w:eastAsia="仿宋" w:cs="仿宋"/>
                <w:b/>
                <w:sz w:val="24"/>
                <w:szCs w:val="24"/>
              </w:rPr>
              <w:t>）履约保证金</w:t>
            </w:r>
          </w:p>
          <w:p w14:paraId="2A6E64D2">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（一）成交供应商自收到成交通知书之日起14日历天内按成交金额的5%提交履约保证金（如为中小企业，则履约保证金比例为2%），否则将取消其成交资格。</w:t>
            </w:r>
          </w:p>
          <w:p w14:paraId="6284AA9B">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（二）履约保证金的形式：银行转账、银行保函等非现金方式。</w:t>
            </w:r>
          </w:p>
          <w:p w14:paraId="31FC5939">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三）履约保证金的有效期必须涵盖上述工程竣工验收合格并对验收发现的问题完成整改后且供应商完善竣工资料手续的时间段。如果供应商无法获得一份不带具体截止日期的担保，履约担保中应当有“变更工程竣工日期的，保证期间按照变更后的竣工日期做相应调整”或类似约定的条款。</w:t>
            </w:r>
          </w:p>
          <w:p w14:paraId="7F554B65">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四）上述工程竣工验收合格且提交完整合格监理资料并完成相关资料移交后30天内退还给供应商（无息）。业主不承担成交供应商与履约保证金有关的任何利息或其他类似的费用或者收益，成交供应商在合同期限内不能履行合同义务或违约的，履约保证金不予退还。</w:t>
            </w:r>
          </w:p>
          <w:p w14:paraId="1CC6C0C9">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（五）履约保证金指定账户：</w:t>
            </w:r>
          </w:p>
          <w:p w14:paraId="72B3B15D">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开户名称：广西财经学院</w:t>
            </w:r>
          </w:p>
          <w:p w14:paraId="5096026A">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开户银行：中国银行南宁明秀西路支行</w:t>
            </w:r>
          </w:p>
          <w:p w14:paraId="5A88EFCC">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银行账号：611957485481</w:t>
            </w:r>
          </w:p>
          <w:p w14:paraId="33DC3908">
            <w:pPr>
              <w:keepNext w:val="0"/>
              <w:keepLines w:val="0"/>
              <w:pageBreakBefore w:val="0"/>
              <w:numPr>
                <w:ilvl w:val="255"/>
                <w:numId w:val="0"/>
              </w:numPr>
              <w:kinsoku/>
              <w:overflowPunct/>
              <w:topLinePunct w:val="0"/>
              <w:autoSpaceDE/>
              <w:autoSpaceDN/>
              <w:bidi w:val="0"/>
              <w:adjustRightInd/>
              <w:snapToGrid/>
              <w:spacing w:line="240" w:lineRule="auto"/>
              <w:ind w:firstLine="482" w:firstLineChars="200"/>
              <w:textAlignment w:val="auto"/>
              <w:rPr>
                <w:rFonts w:hint="eastAsia" w:ascii="仿宋" w:hAnsi="仿宋" w:eastAsia="仿宋" w:cs="仿宋"/>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eastAsia="zh-CN"/>
              </w:rPr>
              <w:t>七</w:t>
            </w:r>
            <w:r>
              <w:rPr>
                <w:rFonts w:hint="eastAsia" w:ascii="仿宋" w:hAnsi="仿宋" w:eastAsia="仿宋" w:cs="仿宋"/>
                <w:b/>
                <w:sz w:val="24"/>
                <w:szCs w:val="24"/>
              </w:rPr>
              <w:t>）责任与义务</w:t>
            </w:r>
          </w:p>
          <w:p w14:paraId="441E21D9">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（一）项目总监理工程师每月在岗不少于15天，每缺岗一天，扣除罚金人民币300元/天。在岗天数均按8小时/天计。</w:t>
            </w:r>
          </w:p>
          <w:p w14:paraId="60E1700E">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（二）因主要监理人员不称职，业主要求调换而未及时调换的，视为供应商违约，必须向业主缴纳罚金人民币2000元/人•次。</w:t>
            </w:r>
          </w:p>
          <w:p w14:paraId="439A2EF1">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（三）未经业主书面同意，供应商擅自更换项目总监理工程师的视为违约，需缴纳违约金人民币3000元/人•次。</w:t>
            </w:r>
          </w:p>
          <w:p w14:paraId="0D4F6D20">
            <w:pPr>
              <w:keepNext w:val="0"/>
              <w:keepLines w:val="0"/>
              <w:pageBreakBefore w:val="0"/>
              <w:numPr>
                <w:ilvl w:val="255"/>
                <w:numId w:val="0"/>
              </w:numPr>
              <w:kinsoku/>
              <w:overflowPunct/>
              <w:topLinePunct w:val="0"/>
              <w:autoSpaceDE/>
              <w:autoSpaceDN/>
              <w:bidi w:val="0"/>
              <w:adjustRightInd/>
              <w:snapToGrid/>
              <w:spacing w:line="240" w:lineRule="auto"/>
              <w:ind w:firstLine="480" w:firstLineChars="200"/>
              <w:textAlignment w:val="auto"/>
              <w:rPr>
                <w:rFonts w:hint="eastAsia" w:ascii="仿宋" w:hAnsi="仿宋" w:eastAsia="仿宋" w:cs="仿宋"/>
                <w:bCs/>
                <w:sz w:val="24"/>
              </w:rPr>
            </w:pPr>
            <w:r>
              <w:rPr>
                <w:rFonts w:hint="eastAsia" w:ascii="仿宋" w:hAnsi="仿宋" w:eastAsia="仿宋" w:cs="仿宋"/>
                <w:bCs/>
                <w:sz w:val="24"/>
                <w:szCs w:val="24"/>
              </w:rPr>
              <w:t>（四）如在工程实施期间，因国家政策变化、政府对工程的计划调整或不可抗力等非业主原因造成工程停建的，则成交供应商必须接受终止服务并积极配合业主做好善后工作，按已实际完成的监理服务内容和相关约定结清监理报酬。</w:t>
            </w:r>
          </w:p>
        </w:tc>
      </w:tr>
      <w:tr w14:paraId="15F1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9" w:hRule="atLeast"/>
        </w:trPr>
        <w:tc>
          <w:tcPr>
            <w:tcW w:w="5000" w:type="pct"/>
            <w:gridSpan w:val="2"/>
          </w:tcPr>
          <w:p w14:paraId="3E796752">
            <w:pPr>
              <w:rPr>
                <w:rFonts w:hint="eastAsia" w:ascii="宋体" w:hAnsi="宋体"/>
                <w:b/>
                <w:sz w:val="24"/>
                <w:szCs w:val="32"/>
              </w:rPr>
            </w:pPr>
          </w:p>
          <w:p w14:paraId="1FCDE801">
            <w:pPr>
              <w:rPr>
                <w:rFonts w:hint="eastAsia" w:ascii="宋体" w:hAnsi="宋体"/>
                <w:b/>
                <w:sz w:val="24"/>
                <w:szCs w:val="32"/>
              </w:rPr>
            </w:pPr>
            <w:r>
              <w:rPr>
                <w:rFonts w:hint="eastAsia" w:ascii="宋体" w:hAnsi="宋体"/>
                <w:b/>
                <w:sz w:val="24"/>
                <w:szCs w:val="32"/>
              </w:rPr>
              <w:t>包干价：</w:t>
            </w:r>
            <w:r>
              <w:rPr>
                <w:rFonts w:ascii="宋体" w:hAnsi="宋体"/>
                <w:b/>
                <w:sz w:val="24"/>
                <w:szCs w:val="32"/>
              </w:rPr>
              <w:t>人民币（大写）</w:t>
            </w:r>
            <w:r>
              <w:rPr>
                <w:rFonts w:hint="eastAsia" w:ascii="宋体" w:hAnsi="宋体"/>
                <w:b/>
                <w:sz w:val="24"/>
                <w:szCs w:val="32"/>
              </w:rPr>
              <w:t>：</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r>
              <w:rPr>
                <w:rFonts w:hint="eastAsia" w:ascii="宋体" w:hAnsi="宋体"/>
                <w:b/>
                <w:sz w:val="24"/>
                <w:szCs w:val="32"/>
              </w:rPr>
              <w:t>（小写）:</w:t>
            </w:r>
            <w:r>
              <w:rPr>
                <w:rFonts w:hint="eastAsia" w:ascii="宋体" w:hAnsi="宋体"/>
                <w:b/>
                <w:sz w:val="24"/>
                <w:szCs w:val="32"/>
                <w:u w:val="single"/>
              </w:rPr>
              <w:t xml:space="preserve">         </w:t>
            </w:r>
            <w:r>
              <w:rPr>
                <w:rFonts w:ascii="宋体" w:hAnsi="宋体"/>
                <w:b/>
                <w:sz w:val="24"/>
                <w:szCs w:val="32"/>
                <w:u w:val="single"/>
              </w:rPr>
              <w:t xml:space="preserve">   </w:t>
            </w:r>
            <w:r>
              <w:rPr>
                <w:rFonts w:hint="eastAsia" w:ascii="宋体" w:hAnsi="宋体"/>
                <w:b/>
                <w:sz w:val="24"/>
                <w:szCs w:val="32"/>
                <w:u w:val="single"/>
              </w:rPr>
              <w:t xml:space="preserve"> </w:t>
            </w:r>
          </w:p>
          <w:p w14:paraId="7AC7CEEC">
            <w:pPr>
              <w:rPr>
                <w:rFonts w:hint="eastAsia" w:ascii="宋体" w:hAnsi="宋体"/>
                <w:b/>
                <w:sz w:val="24"/>
                <w:szCs w:val="32"/>
                <w:u w:val="single"/>
              </w:rPr>
            </w:pPr>
          </w:p>
        </w:tc>
      </w:tr>
      <w:tr w14:paraId="6B666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5000" w:type="pct"/>
            <w:gridSpan w:val="2"/>
          </w:tcPr>
          <w:p w14:paraId="0234A722">
            <w:pPr>
              <w:numPr>
                <w:ilvl w:val="255"/>
                <w:numId w:val="0"/>
              </w:numPr>
              <w:rPr>
                <w:rFonts w:hint="eastAsia" w:ascii="宋体" w:hAnsi="宋体"/>
                <w:bCs/>
                <w:sz w:val="24"/>
              </w:rPr>
            </w:pPr>
            <w:r>
              <w:rPr>
                <w:rFonts w:hint="eastAsia" w:ascii="宋体" w:hAnsi="宋体"/>
                <w:bCs/>
                <w:sz w:val="24"/>
              </w:rPr>
              <w:t>备注：</w:t>
            </w:r>
          </w:p>
          <w:p w14:paraId="388166EF">
            <w:pPr>
              <w:numPr>
                <w:ilvl w:val="0"/>
                <w:numId w:val="1"/>
              </w:numPr>
              <w:rPr>
                <w:rFonts w:hint="eastAsia" w:ascii="宋体" w:hAnsi="宋体"/>
                <w:bCs/>
                <w:sz w:val="24"/>
              </w:rPr>
            </w:pPr>
            <w:r>
              <w:rPr>
                <w:rFonts w:hint="eastAsia" w:ascii="宋体" w:hAnsi="宋体"/>
                <w:bCs/>
                <w:sz w:val="24"/>
              </w:rPr>
              <w:t>报价人对服务内容已经完全知晓，本次报价包括但不限于完成本项目所需的各项成本、人工费、材料费、管理费、专家评审费、开办费、税金及场地费、利润等所有费用。</w:t>
            </w:r>
          </w:p>
          <w:p w14:paraId="2D064D51">
            <w:pPr>
              <w:numPr>
                <w:ilvl w:val="0"/>
                <w:numId w:val="1"/>
              </w:numPr>
              <w:rPr>
                <w:rFonts w:hint="eastAsia" w:ascii="宋体" w:hAnsi="宋体"/>
                <w:bCs/>
                <w:sz w:val="24"/>
              </w:rPr>
            </w:pPr>
            <w:r>
              <w:rPr>
                <w:rFonts w:hint="eastAsia" w:ascii="宋体" w:hAnsi="宋体"/>
                <w:bCs/>
                <w:sz w:val="24"/>
              </w:rPr>
              <w:t>本次报价为包干报价，期间不做任何价格调整。</w:t>
            </w:r>
          </w:p>
        </w:tc>
      </w:tr>
    </w:tbl>
    <w:p w14:paraId="47886569">
      <w:pPr>
        <w:rPr>
          <w:rFonts w:hint="eastAsia" w:ascii="宋体" w:hAnsi="宋体"/>
          <w:b/>
          <w:sz w:val="28"/>
          <w:szCs w:val="36"/>
        </w:rPr>
      </w:pPr>
      <w:r>
        <w:rPr>
          <w:rFonts w:hint="eastAsia" w:ascii="宋体" w:hAnsi="宋体"/>
          <w:b/>
          <w:sz w:val="28"/>
          <w:szCs w:val="36"/>
        </w:rPr>
        <w:t xml:space="preserve">法定代表人（或委托代理人）签字：            </w:t>
      </w:r>
    </w:p>
    <w:p w14:paraId="18C6B9B7">
      <w:pPr>
        <w:rPr>
          <w:rFonts w:hint="eastAsia" w:ascii="宋体" w:hAnsi="宋体"/>
          <w:b/>
          <w:sz w:val="28"/>
          <w:szCs w:val="36"/>
        </w:rPr>
      </w:pPr>
    </w:p>
    <w:p w14:paraId="2299691C">
      <w:pPr>
        <w:rPr>
          <w:rFonts w:hint="eastAsia" w:ascii="宋体" w:hAnsi="宋体"/>
          <w:b/>
          <w:sz w:val="28"/>
          <w:szCs w:val="36"/>
        </w:rPr>
      </w:pPr>
      <w:r>
        <w:rPr>
          <w:rFonts w:hint="eastAsia" w:ascii="宋体" w:hAnsi="宋体"/>
          <w:b/>
          <w:sz w:val="28"/>
          <w:szCs w:val="36"/>
        </w:rPr>
        <w:t>单位名称（</w:t>
      </w:r>
      <w:r>
        <w:rPr>
          <w:rFonts w:ascii="宋体" w:hAnsi="宋体"/>
          <w:b/>
          <w:sz w:val="28"/>
          <w:szCs w:val="36"/>
        </w:rPr>
        <w:t>盖</w:t>
      </w:r>
      <w:r>
        <w:rPr>
          <w:rFonts w:hint="eastAsia" w:ascii="宋体" w:hAnsi="宋体"/>
          <w:b/>
          <w:sz w:val="28"/>
          <w:szCs w:val="36"/>
        </w:rPr>
        <w:t>章）：</w:t>
      </w:r>
    </w:p>
    <w:p w14:paraId="708BA3D6">
      <w:pPr>
        <w:rPr>
          <w:rFonts w:hint="eastAsia" w:ascii="宋体" w:hAnsi="宋体"/>
          <w:b/>
          <w:sz w:val="28"/>
          <w:szCs w:val="36"/>
        </w:rPr>
      </w:pPr>
    </w:p>
    <w:p w14:paraId="01D441DB">
      <w:pPr>
        <w:jc w:val="left"/>
        <w:rPr>
          <w:rFonts w:hint="eastAsia" w:ascii="宋体" w:hAnsi="宋体"/>
          <w:b/>
          <w:sz w:val="28"/>
          <w:szCs w:val="36"/>
        </w:rPr>
      </w:pPr>
      <w:r>
        <w:rPr>
          <w:rFonts w:hint="eastAsia" w:ascii="宋体" w:hAnsi="宋体"/>
          <w:b/>
          <w:sz w:val="28"/>
          <w:szCs w:val="36"/>
        </w:rPr>
        <w:t>联系人及电话：</w:t>
      </w:r>
    </w:p>
    <w:p w14:paraId="2EC8739F">
      <w:pPr>
        <w:jc w:val="left"/>
        <w:rPr>
          <w:rFonts w:hint="eastAsia" w:ascii="宋体" w:hAnsi="宋体"/>
          <w:b/>
          <w:sz w:val="28"/>
          <w:szCs w:val="36"/>
        </w:rPr>
      </w:pPr>
    </w:p>
    <w:p w14:paraId="068B7D32">
      <w:pPr>
        <w:jc w:val="left"/>
      </w:pPr>
      <w:r>
        <w:rPr>
          <w:rFonts w:ascii="宋体" w:hAnsi="宋体"/>
          <w:b/>
          <w:sz w:val="28"/>
          <w:szCs w:val="36"/>
        </w:rPr>
        <w:t>日期：</w:t>
      </w:r>
      <w:bookmarkStart w:id="0" w:name="_Toc254970729"/>
      <w:bookmarkEnd w:id="0"/>
      <w:bookmarkStart w:id="1" w:name="_Toc254970732"/>
      <w:bookmarkEnd w:id="1"/>
      <w:bookmarkStart w:id="2" w:name="_Toc173211904"/>
      <w:bookmarkEnd w:id="2"/>
    </w:p>
    <w:sectPr>
      <w:pgSz w:w="11906" w:h="16838"/>
      <w:pgMar w:top="1134" w:right="1134" w:bottom="1134" w:left="1134"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B22B99"/>
    <w:multiLevelType w:val="singleLevel"/>
    <w:tmpl w:val="5AB22B99"/>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B1"/>
    <w:rsid w:val="000359DC"/>
    <w:rsid w:val="004251C9"/>
    <w:rsid w:val="004E770F"/>
    <w:rsid w:val="0065091F"/>
    <w:rsid w:val="00A06985"/>
    <w:rsid w:val="00C24C44"/>
    <w:rsid w:val="00CA64E8"/>
    <w:rsid w:val="00D909BE"/>
    <w:rsid w:val="00DE3CB1"/>
    <w:rsid w:val="00E332F8"/>
    <w:rsid w:val="00E35F32"/>
    <w:rsid w:val="044E3E0A"/>
    <w:rsid w:val="067E7145"/>
    <w:rsid w:val="09D45935"/>
    <w:rsid w:val="0A4B01E4"/>
    <w:rsid w:val="0AC10F38"/>
    <w:rsid w:val="0FDA6D75"/>
    <w:rsid w:val="135C2A18"/>
    <w:rsid w:val="173815B6"/>
    <w:rsid w:val="17657E11"/>
    <w:rsid w:val="184243B2"/>
    <w:rsid w:val="191C401F"/>
    <w:rsid w:val="1C0C56BC"/>
    <w:rsid w:val="1C9B42D4"/>
    <w:rsid w:val="1CEF742A"/>
    <w:rsid w:val="1EBB6528"/>
    <w:rsid w:val="1EE46634"/>
    <w:rsid w:val="222C71A7"/>
    <w:rsid w:val="25C119DF"/>
    <w:rsid w:val="25C36217"/>
    <w:rsid w:val="25F171B1"/>
    <w:rsid w:val="28E75A13"/>
    <w:rsid w:val="2EF13811"/>
    <w:rsid w:val="32456B21"/>
    <w:rsid w:val="390818C6"/>
    <w:rsid w:val="3AFE7B03"/>
    <w:rsid w:val="3F3A089F"/>
    <w:rsid w:val="3F791767"/>
    <w:rsid w:val="40B14CDF"/>
    <w:rsid w:val="40E74CF2"/>
    <w:rsid w:val="417A37DF"/>
    <w:rsid w:val="43C46774"/>
    <w:rsid w:val="43CE2C49"/>
    <w:rsid w:val="47816B62"/>
    <w:rsid w:val="49FD67BC"/>
    <w:rsid w:val="4AE7513B"/>
    <w:rsid w:val="4B1024D9"/>
    <w:rsid w:val="4DB83818"/>
    <w:rsid w:val="4DCE31F6"/>
    <w:rsid w:val="50AF46B7"/>
    <w:rsid w:val="50B47E13"/>
    <w:rsid w:val="51AE7077"/>
    <w:rsid w:val="552A2393"/>
    <w:rsid w:val="575B3FCB"/>
    <w:rsid w:val="57BB18D1"/>
    <w:rsid w:val="5A8318F9"/>
    <w:rsid w:val="5B3143BB"/>
    <w:rsid w:val="5C2F0E19"/>
    <w:rsid w:val="5CC91C79"/>
    <w:rsid w:val="5D5C7F59"/>
    <w:rsid w:val="5E153A5E"/>
    <w:rsid w:val="5E1E4AEE"/>
    <w:rsid w:val="5FC20152"/>
    <w:rsid w:val="5FFF268C"/>
    <w:rsid w:val="61B56FEA"/>
    <w:rsid w:val="644B6723"/>
    <w:rsid w:val="65231C0C"/>
    <w:rsid w:val="65744A4C"/>
    <w:rsid w:val="69513A22"/>
    <w:rsid w:val="6B5576A6"/>
    <w:rsid w:val="6E5056F0"/>
    <w:rsid w:val="6FC75B1F"/>
    <w:rsid w:val="718906D9"/>
    <w:rsid w:val="71F02BFB"/>
    <w:rsid w:val="75955CEA"/>
    <w:rsid w:val="77112A42"/>
    <w:rsid w:val="777F5BFE"/>
    <w:rsid w:val="7A5A39E8"/>
    <w:rsid w:val="7C2914F4"/>
    <w:rsid w:val="7C4C3713"/>
    <w:rsid w:val="7C8C343C"/>
    <w:rsid w:val="7D7F4C76"/>
    <w:rsid w:val="7E3961FC"/>
    <w:rsid w:val="7EFA268B"/>
    <w:rsid w:val="7F626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line="360" w:lineRule="auto"/>
      <w:jc w:val="left"/>
      <w:outlineLvl w:val="1"/>
    </w:pPr>
    <w:rPr>
      <w:rFonts w:eastAsia="宋体" w:asciiTheme="majorHAnsi" w:hAnsiTheme="majorHAnsi" w:cstheme="majorBidi"/>
      <w:b/>
      <w:bCs/>
      <w:sz w:val="36"/>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paragraph" w:customStyle="1" w:styleId="10">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1">
    <w:name w:val="页眉 字符"/>
    <w:basedOn w:val="8"/>
    <w:link w:val="5"/>
    <w:qFormat/>
    <w:uiPriority w:val="0"/>
    <w:rPr>
      <w:rFonts w:asciiTheme="minorHAnsi" w:hAnsiTheme="minorHAnsi" w:eastAsiaTheme="minorEastAsia" w:cstheme="minorBidi"/>
      <w:kern w:val="2"/>
      <w:sz w:val="18"/>
      <w:szCs w:val="18"/>
    </w:rPr>
  </w:style>
  <w:style w:type="character" w:customStyle="1" w:styleId="12">
    <w:name w:val="页脚 字符"/>
    <w:basedOn w:val="8"/>
    <w:link w:val="4"/>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89c1ef46-edc5-4042-a8aa-9582482428fb</errorID>
      <errorWord>大</errorWord>
      <group>L1_Word</group>
      <groupName>字词问题</groupName>
      <ability>L2_Typo</ability>
      <abilityName>字词错误</abilityName>
      <candidateList>
        <item>大学</item>
      </candidateList>
      <explain/>
      <paraID>790CFCD4</paraID>
      <start>26</start>
      <end>27</end>
      <status>unmodified</status>
      <modifiedWord/>
      <trackRevisions>false</trackRevisions>
    </reviewItem>
    <reviewItem>
      <errorID>a827bd88-2c26-48d4-898b-c0b70e7e373e</errorID>
      <errorWord>:</errorWord>
      <group>L1_Format</group>
      <groupName>格式问题</groupName>
      <ability>L2_HalfPunc_CN</ability>
      <abilityName>全半角检查</abilityName>
      <candidateList>
        <item>：</item>
      </candidateList>
      <explain>文本全半角错误。</explain>
      <paraID>1FCDE801</paraID>
      <start>27</start>
      <end>28</end>
      <status>unmodified</status>
      <modifiedWord/>
      <trackRevisions>false</trackRevisions>
    </reviewItem>
    <reviewItem>
      <errorID>b60fd319-202d-4d46-b069-9ee6f4dd5322</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2D064D51</paraID>
      <start>10</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381c57f9-87e2-44d4-b10d-0c3a4698c2ba}">
  <ds:schemaRefs/>
</ds:datastoreItem>
</file>

<file path=docProps/app.xml><?xml version="1.0" encoding="utf-8"?>
<Properties xmlns="http://schemas.openxmlformats.org/officeDocument/2006/extended-properties" xmlns:vt="http://schemas.openxmlformats.org/officeDocument/2006/docPropsVTypes">
  <Template>Normal</Template>
  <Pages>3</Pages>
  <Words>2196</Words>
  <Characters>2238</Characters>
  <Lines>37</Lines>
  <Paragraphs>40</Paragraphs>
  <TotalTime>37</TotalTime>
  <ScaleCrop>false</ScaleCrop>
  <LinksUpToDate>false</LinksUpToDate>
  <CharactersWithSpaces>2276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2025-09-21T09:48:00Z</dcterms:created>
  <dc:creator>Admin</dc:creator>
  <cp:lastModifiedBy>红雨</cp:lastModifiedBy>
  <dcterms:modified xsi:type="dcterms:W3CDTF">2026-06-11T03:30:28Z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eyJoZGlkIjoiMDU2YTYzZTdmMmFjNGYyNTExMjE0OWJkMzc5MWY2ZjEiLCJ1c2VySWQiOiI3OTc0OTg4NTEifQ==</vt:lpwstr>
  </property>
  <property fmtid="{D5CDD505-2E9C-101B-9397-08002B2CF9AE}" pid="4" name="ICV">
    <vt:lpwstr>CE5A9FC7FC6F4322BACC099DDE9B290B_13</vt:lpwstr>
  </property>
</Properties>
</file>