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33237">
      <w:pPr>
        <w:spacing w:line="480" w:lineRule="exact"/>
        <w:ind w:right="840"/>
        <w:jc w:val="both"/>
        <w:rPr>
          <w:rFonts w:hint="eastAsia" w:ascii="仿宋_GB2312" w:hAnsi="仿宋" w:eastAsia="仿宋_GB2312" w:cs="仿宋_GB2312"/>
          <w:color w:val="auto"/>
          <w:kern w:val="0"/>
          <w:sz w:val="32"/>
          <w:szCs w:val="32"/>
          <w:lang w:val="en-US" w:eastAsia="zh-CN"/>
        </w:rPr>
      </w:pPr>
      <w:bookmarkStart w:id="0" w:name="_Toc40083781"/>
      <w:r>
        <w:rPr>
          <w:rFonts w:hint="eastAsia" w:ascii="仿宋_GB2312" w:hAnsi="仿宋" w:eastAsia="仿宋_GB2312" w:cs="仿宋_GB2312"/>
          <w:color w:val="auto"/>
          <w:kern w:val="0"/>
          <w:sz w:val="32"/>
          <w:szCs w:val="32"/>
        </w:rPr>
        <w:t>附件</w:t>
      </w:r>
      <w:bookmarkEnd w:id="0"/>
      <w:r>
        <w:rPr>
          <w:rFonts w:hint="eastAsia" w:ascii="仿宋_GB2312" w:hAnsi="仿宋" w:eastAsia="仿宋_GB2312" w:cs="仿宋_GB2312"/>
          <w:color w:val="auto"/>
          <w:kern w:val="0"/>
          <w:sz w:val="32"/>
          <w:szCs w:val="32"/>
        </w:rPr>
        <w:t>2</w:t>
      </w:r>
      <w:r>
        <w:rPr>
          <w:rFonts w:hint="eastAsia" w:ascii="仿宋_GB2312" w:hAnsi="仿宋" w:eastAsia="仿宋_GB2312" w:cs="仿宋_GB2312"/>
          <w:color w:val="auto"/>
          <w:kern w:val="0"/>
          <w:sz w:val="32"/>
          <w:szCs w:val="32"/>
          <w:lang w:val="en-US" w:eastAsia="zh-CN"/>
        </w:rPr>
        <w:t>.</w:t>
      </w:r>
    </w:p>
    <w:p w14:paraId="593DC236">
      <w:pPr>
        <w:spacing w:line="480" w:lineRule="exact"/>
        <w:ind w:right="840"/>
        <w:jc w:val="center"/>
        <w:rPr>
          <w:rFonts w:hint="eastAsia" w:ascii="仿宋_GB2312" w:hAnsi="仿宋" w:eastAsia="仿宋_GB2312" w:cs="仿宋_GB2312"/>
          <w:color w:val="auto"/>
          <w:kern w:val="0"/>
          <w:sz w:val="32"/>
          <w:szCs w:val="32"/>
        </w:rPr>
      </w:pPr>
    </w:p>
    <w:p w14:paraId="3432FE81">
      <w:pPr>
        <w:spacing w:line="480" w:lineRule="exact"/>
        <w:ind w:right="840"/>
        <w:jc w:val="center"/>
        <w:rPr>
          <w:rFonts w:hint="eastAsia" w:ascii="仿宋_GB2312" w:hAnsi="仿宋" w:eastAsia="仿宋_GB2312" w:cs="仿宋_GB2312"/>
          <w:color w:val="auto"/>
          <w:kern w:val="0"/>
          <w:sz w:val="32"/>
          <w:szCs w:val="32"/>
          <w:lang w:eastAsia="zh-CN"/>
        </w:rPr>
      </w:pPr>
      <w:bookmarkStart w:id="1" w:name="_GoBack"/>
      <w:bookmarkEnd w:id="1"/>
      <w:r>
        <w:rPr>
          <w:rFonts w:hint="eastAsia" w:ascii="仿宋_GB2312" w:hAnsi="仿宋" w:eastAsia="仿宋_GB2312" w:cs="仿宋_GB2312"/>
          <w:color w:val="auto"/>
          <w:kern w:val="0"/>
          <w:sz w:val="32"/>
          <w:szCs w:val="32"/>
        </w:rPr>
        <w:t>2025年</w:t>
      </w:r>
      <w:r>
        <w:rPr>
          <w:rFonts w:hint="eastAsia" w:ascii="仿宋_GB2312" w:hAnsi="仿宋" w:eastAsia="仿宋_GB2312" w:cs="仿宋_GB2312"/>
          <w:color w:val="auto"/>
          <w:kern w:val="0"/>
          <w:sz w:val="32"/>
          <w:szCs w:val="32"/>
          <w:lang w:eastAsia="zh-CN"/>
        </w:rPr>
        <w:t>广西财经学院</w:t>
      </w:r>
      <w:r>
        <w:rPr>
          <w:rFonts w:hint="eastAsia" w:ascii="仿宋_GB2312" w:hAnsi="仿宋" w:eastAsia="仿宋_GB2312" w:cs="仿宋_GB2312"/>
          <w:color w:val="auto"/>
          <w:kern w:val="0"/>
          <w:sz w:val="32"/>
          <w:szCs w:val="32"/>
        </w:rPr>
        <w:t>武鸣校区正门两侧绿化场地种植草籽及养护服务项目</w:t>
      </w:r>
      <w:r>
        <w:rPr>
          <w:rFonts w:hint="eastAsia" w:ascii="仿宋_GB2312" w:hAnsi="仿宋" w:eastAsia="仿宋_GB2312" w:cs="仿宋_GB2312"/>
          <w:color w:val="auto"/>
          <w:kern w:val="0"/>
          <w:sz w:val="32"/>
          <w:szCs w:val="32"/>
          <w:lang w:eastAsia="zh-CN"/>
        </w:rPr>
        <w:t>服务质量要求</w:t>
      </w:r>
    </w:p>
    <w:p w14:paraId="45FB7F33">
      <w:pPr>
        <w:spacing w:line="480" w:lineRule="exact"/>
        <w:ind w:right="840"/>
        <w:jc w:val="center"/>
        <w:rPr>
          <w:rFonts w:hint="eastAsia" w:ascii="仿宋_GB2312" w:hAnsi="仿宋" w:eastAsia="仿宋_GB2312" w:cs="仿宋_GB2312"/>
          <w:color w:val="auto"/>
          <w:kern w:val="0"/>
          <w:sz w:val="32"/>
          <w:szCs w:val="32"/>
          <w:lang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4645"/>
        <w:gridCol w:w="2841"/>
      </w:tblGrid>
      <w:tr w14:paraId="65016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36" w:type="dxa"/>
            <w:vAlign w:val="center"/>
          </w:tcPr>
          <w:p w14:paraId="392089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4645" w:type="dxa"/>
            <w:vAlign w:val="center"/>
          </w:tcPr>
          <w:p w14:paraId="199A3E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质量要求</w:t>
            </w:r>
          </w:p>
        </w:tc>
        <w:tc>
          <w:tcPr>
            <w:tcW w:w="2841" w:type="dxa"/>
            <w:vAlign w:val="center"/>
          </w:tcPr>
          <w:p w14:paraId="5A7FB6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是否响应</w:t>
            </w:r>
          </w:p>
        </w:tc>
      </w:tr>
      <w:tr w14:paraId="1125F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1036" w:type="dxa"/>
            <w:vAlign w:val="center"/>
          </w:tcPr>
          <w:p w14:paraId="23EC34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4645" w:type="dxa"/>
            <w:vAlign w:val="center"/>
          </w:tcPr>
          <w:p w14:paraId="671600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进场前须对现有杂草进行灭杀</w:t>
            </w:r>
          </w:p>
        </w:tc>
        <w:tc>
          <w:tcPr>
            <w:tcW w:w="2841" w:type="dxa"/>
            <w:vAlign w:val="center"/>
          </w:tcPr>
          <w:p w14:paraId="62D8B4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68836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1036" w:type="dxa"/>
            <w:vAlign w:val="center"/>
          </w:tcPr>
          <w:p w14:paraId="45400E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4645" w:type="dxa"/>
            <w:vAlign w:val="center"/>
          </w:tcPr>
          <w:p w14:paraId="46D0C0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播种草籽密度不得低于20g/㎡，长成后要求无黄土裸露，未达到要求的，须进行补种，直至到达要求为止</w:t>
            </w:r>
          </w:p>
        </w:tc>
        <w:tc>
          <w:tcPr>
            <w:tcW w:w="2841" w:type="dxa"/>
            <w:vAlign w:val="center"/>
          </w:tcPr>
          <w:p w14:paraId="3F6B68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43807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1036" w:type="dxa"/>
            <w:vAlign w:val="center"/>
          </w:tcPr>
          <w:p w14:paraId="5B007E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4645" w:type="dxa"/>
            <w:vAlign w:val="center"/>
          </w:tcPr>
          <w:p w14:paraId="3A9AD7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狗牙根长成并达到无黄土裸露要求后，方可达到报验标准</w:t>
            </w:r>
          </w:p>
        </w:tc>
        <w:tc>
          <w:tcPr>
            <w:tcW w:w="2841" w:type="dxa"/>
            <w:vAlign w:val="center"/>
          </w:tcPr>
          <w:p w14:paraId="5EAFE2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1F0D0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</w:trPr>
        <w:tc>
          <w:tcPr>
            <w:tcW w:w="1036" w:type="dxa"/>
            <w:vAlign w:val="center"/>
          </w:tcPr>
          <w:p w14:paraId="449AD7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4645" w:type="dxa"/>
            <w:vAlign w:val="center"/>
          </w:tcPr>
          <w:p w14:paraId="6F8FB1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播种草籽后，应统一进行施肥并覆盖塑料薄膜，直至发芽，如长势不佳，须进行补肥</w:t>
            </w:r>
          </w:p>
        </w:tc>
        <w:tc>
          <w:tcPr>
            <w:tcW w:w="2841" w:type="dxa"/>
            <w:vAlign w:val="center"/>
          </w:tcPr>
          <w:p w14:paraId="2FE31D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33963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1036" w:type="dxa"/>
            <w:vAlign w:val="center"/>
          </w:tcPr>
          <w:p w14:paraId="2DAEC6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4645" w:type="dxa"/>
            <w:vAlign w:val="center"/>
          </w:tcPr>
          <w:p w14:paraId="3F1EEA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1年养护期内，每月最少进行1次杂草清除；每6月最少进行1次病虫害防治</w:t>
            </w:r>
          </w:p>
        </w:tc>
        <w:tc>
          <w:tcPr>
            <w:tcW w:w="2841" w:type="dxa"/>
            <w:vAlign w:val="center"/>
          </w:tcPr>
          <w:p w14:paraId="5979E1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</w:tbl>
    <w:p w14:paraId="2B1E9E4C">
      <w:pPr>
        <w:spacing w:line="480" w:lineRule="exact"/>
        <w:ind w:right="840"/>
        <w:jc w:val="center"/>
        <w:rPr>
          <w:rFonts w:hint="eastAsia" w:ascii="仿宋_GB2312" w:hAnsi="仿宋" w:eastAsia="仿宋_GB2312" w:cs="仿宋_GB2312"/>
          <w:color w:val="auto"/>
          <w:kern w:val="0"/>
          <w:sz w:val="32"/>
          <w:szCs w:val="32"/>
          <w:lang w:eastAsia="zh-CN"/>
        </w:rPr>
      </w:pPr>
    </w:p>
    <w:p w14:paraId="09C8DA1E">
      <w:pPr>
        <w:spacing w:line="480" w:lineRule="exact"/>
        <w:ind w:right="840"/>
        <w:jc w:val="center"/>
        <w:rPr>
          <w:rFonts w:hint="eastAsia" w:ascii="仿宋_GB2312" w:hAnsi="仿宋" w:eastAsia="仿宋_GB2312" w:cs="仿宋_GB2312"/>
          <w:color w:val="auto"/>
          <w:kern w:val="0"/>
          <w:sz w:val="32"/>
          <w:szCs w:val="32"/>
          <w:lang w:eastAsia="zh-CN"/>
        </w:rPr>
      </w:pPr>
    </w:p>
    <w:p w14:paraId="146592D3">
      <w:pPr>
        <w:spacing w:line="480" w:lineRule="exact"/>
        <w:ind w:right="840"/>
        <w:jc w:val="both"/>
        <w:rPr>
          <w:rFonts w:hint="eastAsia" w:ascii="仿宋_GB2312" w:hAnsi="仿宋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color w:val="auto"/>
          <w:kern w:val="0"/>
          <w:sz w:val="32"/>
          <w:szCs w:val="32"/>
          <w:lang w:val="en-US" w:eastAsia="zh-CN"/>
        </w:rPr>
        <w:t>报价人（盖单位公章）：</w:t>
      </w:r>
    </w:p>
    <w:p w14:paraId="74107083">
      <w:pPr>
        <w:spacing w:line="480" w:lineRule="exact"/>
        <w:ind w:right="840"/>
        <w:jc w:val="both"/>
        <w:rPr>
          <w:rFonts w:hint="eastAsia" w:ascii="仿宋_GB2312" w:hAnsi="仿宋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color w:val="auto"/>
          <w:kern w:val="0"/>
          <w:sz w:val="32"/>
          <w:szCs w:val="32"/>
          <w:lang w:val="en-US" w:eastAsia="zh-CN"/>
        </w:rPr>
        <w:t>法定代表人或委托代理人（签字或盖章）：</w:t>
      </w:r>
    </w:p>
    <w:p w14:paraId="494769B0">
      <w:pPr>
        <w:spacing w:line="480" w:lineRule="exact"/>
        <w:ind w:right="840"/>
        <w:jc w:val="both"/>
        <w:rPr>
          <w:rFonts w:hint="eastAsia" w:ascii="仿宋_GB2312" w:hAnsi="仿宋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color w:val="auto"/>
          <w:kern w:val="0"/>
          <w:sz w:val="32"/>
          <w:szCs w:val="32"/>
          <w:lang w:val="en-US" w:eastAsia="zh-CN"/>
        </w:rPr>
        <w:t>联系电话：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6DC"/>
    <w:rsid w:val="00213750"/>
    <w:rsid w:val="0023046B"/>
    <w:rsid w:val="006E64DB"/>
    <w:rsid w:val="00CF26DC"/>
    <w:rsid w:val="0FD10EC1"/>
    <w:rsid w:val="189F7A56"/>
    <w:rsid w:val="19BA5947"/>
    <w:rsid w:val="6CAA75E6"/>
    <w:rsid w:val="78232294"/>
    <w:rsid w:val="79E1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216</Characters>
  <Lines>2</Lines>
  <Paragraphs>1</Paragraphs>
  <TotalTime>205</TotalTime>
  <ScaleCrop>false</ScaleCrop>
  <LinksUpToDate>false</LinksUpToDate>
  <CharactersWithSpaces>216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2025-06-30T08:14:00Z</dcterms:created>
  <dc:creator>Administrator</dc:creator>
  <cp:lastModifiedBy>陌上花开</cp:lastModifiedBy>
  <dcterms:modified xsi:type="dcterms:W3CDTF">2025-07-03T08:20:37Z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eyJoZGlkIjoiODM2YTdmYzA5MjQ0YTgwZTlmMmI3OTE0MDM2NWE1MGMiLCJ1c2VySWQiOiIyNDc5OTIzMTMifQ==</vt:lpwstr>
  </property>
  <property fmtid="{D5CDD505-2E9C-101B-9397-08002B2CF9AE}" pid="4" name="ICV">
    <vt:lpwstr>1C37F9CC118B4A1DB193EEEBF835BAC6_12</vt:lpwstr>
  </property>
</Properties>
</file>