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F621C7">
      <w:pPr>
        <w:jc w:val="center"/>
        <w:rPr>
          <w:rFonts w:ascii="宋体" w:hAnsi="宋体" w:cs="宋体"/>
          <w:b/>
          <w:color w:val="auto"/>
          <w:sz w:val="40"/>
          <w:szCs w:val="40"/>
        </w:rPr>
      </w:pPr>
      <w:bookmarkStart w:id="282" w:name="_GoBack"/>
      <w:bookmarkEnd w:id="282"/>
    </w:p>
    <w:p w14:paraId="744F28F4">
      <w:pPr>
        <w:jc w:val="center"/>
        <w:rPr>
          <w:rFonts w:ascii="宋体" w:hAnsi="宋体" w:cs="宋体"/>
          <w:b/>
          <w:color w:val="auto"/>
          <w:sz w:val="40"/>
          <w:szCs w:val="40"/>
        </w:rPr>
      </w:pPr>
    </w:p>
    <w:p w14:paraId="4202F6BE">
      <w:pPr>
        <w:jc w:val="center"/>
        <w:rPr>
          <w:rFonts w:ascii="宋体" w:hAnsi="宋体" w:cs="宋体"/>
          <w:b/>
          <w:color w:val="auto"/>
          <w:sz w:val="40"/>
          <w:szCs w:val="40"/>
        </w:rPr>
      </w:pPr>
    </w:p>
    <w:p w14:paraId="53F29D14">
      <w:pPr>
        <w:jc w:val="center"/>
        <w:rPr>
          <w:rFonts w:ascii="宋体" w:hAnsi="宋体" w:cs="宋体"/>
          <w:b/>
          <w:color w:val="auto"/>
          <w:sz w:val="40"/>
          <w:szCs w:val="40"/>
        </w:rPr>
      </w:pPr>
    </w:p>
    <w:p w14:paraId="41C4399F">
      <w:pPr>
        <w:jc w:val="center"/>
        <w:rPr>
          <w:rFonts w:ascii="宋体" w:hAnsi="宋体" w:cs="宋体"/>
          <w:b/>
          <w:color w:val="auto"/>
          <w:sz w:val="40"/>
          <w:szCs w:val="40"/>
        </w:rPr>
      </w:pPr>
    </w:p>
    <w:p w14:paraId="3797099A">
      <w:pPr>
        <w:jc w:val="center"/>
        <w:rPr>
          <w:rFonts w:ascii="宋体" w:hAnsi="宋体" w:cs="宋体"/>
          <w:b/>
          <w:color w:val="auto"/>
          <w:sz w:val="40"/>
          <w:szCs w:val="40"/>
        </w:rPr>
      </w:pPr>
    </w:p>
    <w:p w14:paraId="4A1A7B85">
      <w:pPr>
        <w:jc w:val="center"/>
        <w:rPr>
          <w:rFonts w:ascii="宋体" w:hAnsi="宋体" w:cs="宋体"/>
          <w:b/>
          <w:color w:val="auto"/>
          <w:sz w:val="40"/>
          <w:szCs w:val="40"/>
          <w:highlight w:val="cyan"/>
        </w:rPr>
      </w:pPr>
    </w:p>
    <w:p w14:paraId="08642BA6">
      <w:pPr>
        <w:jc w:val="center"/>
        <w:rPr>
          <w:rFonts w:ascii="宋体" w:hAnsi="宋体" w:cs="宋体"/>
          <w:bCs/>
          <w:color w:val="auto"/>
          <w:sz w:val="44"/>
          <w:szCs w:val="44"/>
          <w:highlight w:val="none"/>
        </w:rPr>
      </w:pPr>
      <w:r>
        <w:rPr>
          <w:rFonts w:hint="eastAsia" w:ascii="宋体" w:hAnsi="宋体" w:cs="宋体"/>
          <w:b/>
          <w:color w:val="auto"/>
          <w:sz w:val="44"/>
          <w:szCs w:val="44"/>
          <w:highlight w:val="none"/>
        </w:rPr>
        <w:t>2026年武鸣校区1-19#、2-16#、2-18#地块新建围挡工程施工项目合同</w:t>
      </w:r>
    </w:p>
    <w:p w14:paraId="081742D9">
      <w:pPr>
        <w:rPr>
          <w:rFonts w:ascii="宋体" w:hAnsi="宋体" w:cs="宋体"/>
          <w:color w:val="auto"/>
          <w:szCs w:val="20"/>
        </w:rPr>
      </w:pPr>
    </w:p>
    <w:p w14:paraId="084BA251">
      <w:pPr>
        <w:rPr>
          <w:rFonts w:ascii="宋体" w:hAnsi="宋体" w:cs="宋体"/>
          <w:color w:val="auto"/>
          <w:szCs w:val="20"/>
        </w:rPr>
      </w:pPr>
    </w:p>
    <w:p w14:paraId="2D7855D8">
      <w:pPr>
        <w:rPr>
          <w:rFonts w:ascii="宋体" w:hAnsi="宋体" w:cs="宋体"/>
          <w:color w:val="auto"/>
          <w:szCs w:val="20"/>
        </w:rPr>
      </w:pPr>
    </w:p>
    <w:p w14:paraId="382957A0">
      <w:pPr>
        <w:rPr>
          <w:rFonts w:ascii="宋体" w:hAnsi="宋体" w:cs="宋体"/>
          <w:color w:val="auto"/>
          <w:szCs w:val="20"/>
        </w:rPr>
      </w:pPr>
    </w:p>
    <w:p w14:paraId="63EAF573">
      <w:pPr>
        <w:rPr>
          <w:rFonts w:ascii="宋体" w:hAnsi="宋体" w:cs="宋体"/>
          <w:color w:val="auto"/>
          <w:szCs w:val="20"/>
        </w:rPr>
      </w:pPr>
    </w:p>
    <w:p w14:paraId="127FCE25">
      <w:pPr>
        <w:ind w:left="1530" w:right="315" w:rightChars="150" w:hanging="1529" w:hangingChars="478"/>
        <w:jc w:val="center"/>
        <w:rPr>
          <w:rFonts w:ascii="宋体" w:hAnsi="宋体" w:cs="宋体"/>
          <w:bCs/>
          <w:color w:val="auto"/>
          <w:sz w:val="32"/>
          <w:szCs w:val="32"/>
          <w:highlight w:val="none"/>
          <w:u w:val="single"/>
        </w:rPr>
      </w:pPr>
      <w:r>
        <w:rPr>
          <w:rFonts w:hint="eastAsia" w:ascii="宋体" w:hAnsi="宋体" w:cs="宋体"/>
          <w:bCs/>
          <w:color w:val="auto"/>
          <w:sz w:val="32"/>
          <w:szCs w:val="32"/>
          <w:lang w:val="en-US" w:eastAsia="zh-CN"/>
        </w:rPr>
        <w:t xml:space="preserve">    </w:t>
      </w:r>
      <w:r>
        <w:rPr>
          <w:rFonts w:hint="eastAsia" w:ascii="宋体" w:hAnsi="宋体" w:cs="宋体"/>
          <w:bCs/>
          <w:color w:val="auto"/>
          <w:sz w:val="32"/>
          <w:szCs w:val="32"/>
        </w:rPr>
        <w:t>合同名称：</w:t>
      </w:r>
      <w:r>
        <w:rPr>
          <w:rFonts w:hint="eastAsia" w:ascii="宋体" w:hAnsi="宋体" w:cs="宋体"/>
          <w:bCs/>
          <w:color w:val="auto"/>
          <w:sz w:val="32"/>
          <w:szCs w:val="32"/>
          <w:highlight w:val="none"/>
          <w:u w:val="single"/>
        </w:rPr>
        <w:t>2026年武鸣校区1-19#、2-16#、2-18#地块新建围挡工程施工项目</w:t>
      </w:r>
    </w:p>
    <w:p w14:paraId="628F4D2F">
      <w:pPr>
        <w:ind w:firstLine="838" w:firstLineChars="262"/>
        <w:rPr>
          <w:rFonts w:ascii="宋体" w:hAnsi="宋体" w:cs="宋体"/>
          <w:bCs/>
          <w:color w:val="auto"/>
          <w:sz w:val="32"/>
          <w:szCs w:val="32"/>
          <w:u w:val="single"/>
        </w:rPr>
      </w:pPr>
    </w:p>
    <w:p w14:paraId="5D786A00">
      <w:pPr>
        <w:ind w:firstLine="640" w:firstLineChars="200"/>
        <w:rPr>
          <w:rFonts w:hint="eastAsia" w:ascii="宋体" w:hAnsi="宋体" w:cs="宋体"/>
          <w:bCs/>
          <w:color w:val="auto"/>
          <w:szCs w:val="20"/>
          <w:u w:val="single"/>
          <w:lang w:val="en-US" w:eastAsia="zh-CN"/>
        </w:rPr>
      </w:pPr>
      <w:r>
        <w:rPr>
          <w:rFonts w:hint="eastAsia" w:ascii="宋体" w:hAnsi="宋体" w:cs="宋体"/>
          <w:bCs/>
          <w:color w:val="auto"/>
          <w:sz w:val="32"/>
          <w:szCs w:val="32"/>
        </w:rPr>
        <w:t>合同编号：</w:t>
      </w:r>
      <w:r>
        <w:rPr>
          <w:rFonts w:hint="eastAsia" w:ascii="宋体" w:hAnsi="宋体" w:cs="宋体"/>
          <w:bCs/>
          <w:color w:val="auto"/>
          <w:szCs w:val="20"/>
          <w:u w:val="single"/>
          <w:lang w:val="en-US" w:eastAsia="zh-CN"/>
        </w:rPr>
        <w:t xml:space="preserve">                                      </w:t>
      </w:r>
    </w:p>
    <w:p w14:paraId="45401E12">
      <w:pPr>
        <w:ind w:firstLine="420" w:firstLineChars="200"/>
        <w:rPr>
          <w:rFonts w:hint="default" w:ascii="宋体" w:hAnsi="宋体" w:cs="宋体"/>
          <w:bCs/>
          <w:color w:val="auto"/>
          <w:szCs w:val="20"/>
          <w:u w:val="single"/>
          <w:lang w:val="en-US" w:eastAsia="zh-CN"/>
        </w:rPr>
      </w:pPr>
    </w:p>
    <w:p w14:paraId="74E14E51">
      <w:pPr>
        <w:ind w:firstLine="550" w:firstLineChars="262"/>
        <w:rPr>
          <w:rFonts w:ascii="宋体" w:hAnsi="宋体" w:cs="宋体"/>
          <w:bCs/>
          <w:color w:val="auto"/>
          <w:szCs w:val="20"/>
        </w:rPr>
      </w:pPr>
    </w:p>
    <w:p w14:paraId="389DB572">
      <w:pPr>
        <w:spacing w:line="340" w:lineRule="exact"/>
        <w:ind w:firstLine="640" w:firstLineChars="200"/>
        <w:rPr>
          <w:rFonts w:hint="default" w:ascii="宋体" w:hAnsi="宋体" w:eastAsia="宋体" w:cs="宋体"/>
          <w:bCs/>
          <w:color w:val="auto"/>
          <w:sz w:val="32"/>
          <w:szCs w:val="32"/>
          <w:lang w:val="en-US" w:eastAsia="zh-CN"/>
        </w:rPr>
      </w:pPr>
      <w:r>
        <w:rPr>
          <w:rFonts w:hint="eastAsia" w:ascii="宋体" w:hAnsi="宋体" w:cs="宋体"/>
          <w:bCs/>
          <w:color w:val="auto"/>
          <w:sz w:val="32"/>
          <w:szCs w:val="32"/>
        </w:rPr>
        <w:t>发包人（甲方）：</w:t>
      </w:r>
      <w:r>
        <w:rPr>
          <w:rFonts w:hint="eastAsia" w:ascii="宋体" w:hAnsi="宋体" w:cs="宋体"/>
          <w:bCs/>
          <w:color w:val="auto"/>
          <w:sz w:val="32"/>
          <w:szCs w:val="32"/>
          <w:u w:val="single"/>
          <w:lang w:val="en-US" w:eastAsia="zh-CN"/>
        </w:rPr>
        <w:t xml:space="preserve">    </w:t>
      </w:r>
      <w:r>
        <w:rPr>
          <w:rFonts w:hint="eastAsia" w:ascii="宋体" w:hAnsi="宋体" w:cs="宋体"/>
          <w:bCs/>
          <w:color w:val="auto"/>
          <w:sz w:val="32"/>
          <w:szCs w:val="32"/>
          <w:u w:val="single"/>
        </w:rPr>
        <w:t>广西财经学院</w:t>
      </w:r>
      <w:r>
        <w:rPr>
          <w:rFonts w:hint="eastAsia" w:ascii="宋体" w:hAnsi="宋体" w:cs="宋体"/>
          <w:bCs/>
          <w:color w:val="auto"/>
          <w:sz w:val="32"/>
          <w:szCs w:val="32"/>
          <w:u w:val="single"/>
          <w:lang w:val="en-US" w:eastAsia="zh-CN"/>
        </w:rPr>
        <w:t xml:space="preserve">   </w:t>
      </w:r>
    </w:p>
    <w:p w14:paraId="586E4E60">
      <w:pPr>
        <w:spacing w:line="340" w:lineRule="exact"/>
        <w:ind w:firstLine="838" w:firstLineChars="262"/>
        <w:rPr>
          <w:rFonts w:ascii="宋体" w:hAnsi="宋体" w:cs="宋体"/>
          <w:bCs/>
          <w:color w:val="auto"/>
          <w:sz w:val="32"/>
          <w:szCs w:val="32"/>
        </w:rPr>
      </w:pPr>
    </w:p>
    <w:p w14:paraId="6776C92E">
      <w:pPr>
        <w:spacing w:line="340" w:lineRule="exact"/>
        <w:rPr>
          <w:rFonts w:ascii="宋体" w:hAnsi="宋体" w:cs="宋体"/>
          <w:bCs/>
          <w:color w:val="auto"/>
          <w:sz w:val="32"/>
          <w:szCs w:val="32"/>
        </w:rPr>
      </w:pPr>
    </w:p>
    <w:p w14:paraId="005A1AF6">
      <w:pPr>
        <w:spacing w:line="340" w:lineRule="exact"/>
        <w:ind w:firstLine="640" w:firstLineChars="200"/>
        <w:rPr>
          <w:rFonts w:hint="default" w:ascii="宋体" w:hAnsi="宋体" w:eastAsia="宋体" w:cs="宋体"/>
          <w:bCs/>
          <w:color w:val="auto"/>
          <w:szCs w:val="20"/>
          <w:highlight w:val="yellow"/>
          <w:lang w:val="en-US" w:eastAsia="zh-CN"/>
        </w:rPr>
      </w:pPr>
      <w:r>
        <w:rPr>
          <w:rFonts w:hint="eastAsia" w:ascii="宋体" w:hAnsi="宋体" w:cs="宋体"/>
          <w:bCs/>
          <w:color w:val="auto"/>
          <w:sz w:val="32"/>
          <w:szCs w:val="32"/>
        </w:rPr>
        <w:t>承包人（乙方）：</w:t>
      </w:r>
      <w:r>
        <w:rPr>
          <w:rFonts w:hint="eastAsia" w:ascii="宋体" w:hAnsi="宋体" w:cs="宋体"/>
          <w:bCs/>
          <w:color w:val="auto"/>
          <w:sz w:val="32"/>
          <w:szCs w:val="32"/>
          <w:highlight w:val="cyan"/>
          <w:u w:val="single"/>
          <w:lang w:val="en-US" w:eastAsia="zh-CN"/>
        </w:rPr>
        <w:t xml:space="preserve">                     </w:t>
      </w:r>
    </w:p>
    <w:p w14:paraId="1E3F62EF">
      <w:pPr>
        <w:jc w:val="center"/>
        <w:rPr>
          <w:rFonts w:ascii="宋体" w:hAnsi="宋体" w:cs="宋体"/>
          <w:color w:val="auto"/>
          <w:szCs w:val="20"/>
        </w:rPr>
      </w:pPr>
    </w:p>
    <w:p w14:paraId="390CF98C">
      <w:pPr>
        <w:jc w:val="center"/>
        <w:rPr>
          <w:rFonts w:ascii="宋体" w:hAnsi="宋体" w:cs="宋体"/>
          <w:color w:val="auto"/>
          <w:sz w:val="24"/>
        </w:rPr>
        <w:sectPr>
          <w:headerReference r:id="rId5" w:type="first"/>
          <w:headerReference r:id="rId3" w:type="default"/>
          <w:headerReference r:id="rId4" w:type="even"/>
          <w:pgSz w:w="11906" w:h="16838"/>
          <w:pgMar w:top="1134" w:right="1247" w:bottom="1134" w:left="1134" w:header="851" w:footer="992" w:gutter="0"/>
          <w:pgNumType w:start="0"/>
          <w:cols w:space="720" w:num="1"/>
          <w:titlePg/>
          <w:docGrid w:linePitch="286" w:charSpace="0"/>
        </w:sectPr>
      </w:pPr>
    </w:p>
    <w:p w14:paraId="0129C9CA">
      <w:pPr>
        <w:jc w:val="center"/>
        <w:rPr>
          <w:color w:val="auto"/>
          <w:sz w:val="24"/>
        </w:rPr>
      </w:pPr>
      <w:r>
        <w:rPr>
          <w:rFonts w:hint="eastAsia" w:ascii="宋体" w:hAnsi="宋体" w:cs="宋体"/>
          <w:color w:val="auto"/>
          <w:sz w:val="24"/>
        </w:rPr>
        <w:t>合同文本</w:t>
      </w:r>
    </w:p>
    <w:p w14:paraId="76283D27">
      <w:pPr>
        <w:keepNext/>
        <w:keepLines/>
        <w:spacing w:before="260" w:after="260" w:line="416" w:lineRule="auto"/>
        <w:jc w:val="center"/>
        <w:rPr>
          <w:rFonts w:ascii="宋体" w:hAnsi="宋体" w:cs="宋体"/>
          <w:b/>
          <w:bCs/>
          <w:color w:val="auto"/>
          <w:kern w:val="0"/>
          <w:sz w:val="32"/>
          <w:szCs w:val="32"/>
        </w:rPr>
      </w:pPr>
      <w:r>
        <w:rPr>
          <w:rFonts w:hint="eastAsia" w:ascii="宋体" w:hAnsi="宋体" w:cs="宋体"/>
          <w:b/>
          <w:bCs/>
          <w:color w:val="auto"/>
          <w:kern w:val="0"/>
          <w:sz w:val="32"/>
          <w:szCs w:val="32"/>
        </w:rPr>
        <w:t>一、合同协议书</w:t>
      </w:r>
    </w:p>
    <w:p w14:paraId="4C434CC2">
      <w:pPr>
        <w:spacing w:line="440" w:lineRule="exact"/>
        <w:rPr>
          <w:rFonts w:ascii="宋体" w:hAnsi="宋体" w:cs="宋体"/>
          <w:color w:val="auto"/>
          <w:sz w:val="24"/>
          <w:u w:val="single"/>
        </w:rPr>
      </w:pPr>
      <w:r>
        <w:rPr>
          <w:rFonts w:hint="eastAsia" w:ascii="宋体" w:hAnsi="宋体" w:cs="宋体"/>
          <w:color w:val="auto"/>
          <w:sz w:val="24"/>
        </w:rPr>
        <w:t>发包人（全称）：</w:t>
      </w:r>
      <w:r>
        <w:rPr>
          <w:rFonts w:hint="eastAsia" w:ascii="宋体" w:hAnsi="宋体" w:cs="宋体"/>
          <w:color w:val="auto"/>
          <w:sz w:val="24"/>
          <w:u w:val="single"/>
        </w:rPr>
        <w:t>广西财经学院</w:t>
      </w:r>
    </w:p>
    <w:p w14:paraId="33803000">
      <w:pPr>
        <w:spacing w:line="440" w:lineRule="exact"/>
        <w:rPr>
          <w:rFonts w:ascii="宋体" w:hAnsi="宋体" w:cs="宋体"/>
          <w:color w:val="auto"/>
          <w:sz w:val="24"/>
          <w:u w:val="single"/>
        </w:rPr>
      </w:pPr>
      <w:r>
        <w:rPr>
          <w:rFonts w:hint="eastAsia" w:ascii="宋体" w:hAnsi="宋体" w:cs="宋体"/>
          <w:color w:val="auto"/>
          <w:sz w:val="24"/>
        </w:rPr>
        <w:t>承包人（全称）：</w:t>
      </w:r>
      <w:r>
        <w:rPr>
          <w:rFonts w:hint="eastAsia" w:ascii="宋体" w:hAnsi="宋体" w:cs="宋体"/>
          <w:color w:val="auto"/>
          <w:sz w:val="24"/>
          <w:u w:val="single"/>
          <w:lang w:val="en-US" w:eastAsia="zh-CN"/>
        </w:rPr>
        <w:t xml:space="preserve">             </w:t>
      </w:r>
      <w:r>
        <w:rPr>
          <w:rFonts w:hint="eastAsia" w:ascii="宋体" w:hAnsi="宋体" w:cs="宋体"/>
          <w:color w:val="auto"/>
          <w:sz w:val="24"/>
          <w:u w:val="single"/>
        </w:rPr>
        <w:t xml:space="preserve">  </w:t>
      </w:r>
    </w:p>
    <w:p w14:paraId="321CE032">
      <w:pPr>
        <w:pStyle w:val="2"/>
        <w:bidi w:val="0"/>
        <w:ind w:firstLine="480" w:firstLineChars="200"/>
        <w:rPr>
          <w:rFonts w:ascii="宋体" w:hAnsi="宋体" w:cs="宋体"/>
          <w:color w:val="auto"/>
          <w:sz w:val="24"/>
        </w:rPr>
      </w:pPr>
      <w:r>
        <w:rPr>
          <w:rFonts w:hint="eastAsia" w:ascii="宋体" w:hAnsi="宋体" w:cs="宋体"/>
          <w:b w:val="0"/>
          <w:bCs/>
          <w:color w:val="auto"/>
          <w:sz w:val="24"/>
        </w:rPr>
        <w:t>根据《中华人民共和国民法典》《中华人民共和国建筑法》及有关法律规定，遵循平等、自愿、公平和诚实信用的原则，双方就</w:t>
      </w:r>
      <w:r>
        <w:rPr>
          <w:rFonts w:hint="eastAsia" w:ascii="宋体" w:hAnsi="宋体" w:cs="宋体"/>
          <w:b w:val="0"/>
          <w:bCs/>
          <w:color w:val="auto"/>
          <w:sz w:val="24"/>
          <w:highlight w:val="none"/>
          <w:u w:val="single"/>
        </w:rPr>
        <w:t>2026年武鸣校区1-19#、2-16#、2-18#地块新建围挡工程施工项目</w:t>
      </w:r>
      <w:r>
        <w:rPr>
          <w:rFonts w:hint="eastAsia" w:ascii="宋体" w:hAnsi="宋体" w:cs="宋体"/>
          <w:b w:val="0"/>
          <w:bCs/>
          <w:color w:val="auto"/>
          <w:sz w:val="24"/>
        </w:rPr>
        <w:t>施工及有关事项协商一致，共同达成如下协议</w:t>
      </w:r>
      <w:r>
        <w:rPr>
          <w:rFonts w:hint="eastAsia" w:ascii="宋体" w:hAnsi="宋体" w:cs="宋体"/>
          <w:color w:val="auto"/>
          <w:sz w:val="24"/>
        </w:rPr>
        <w:t>：</w:t>
      </w:r>
    </w:p>
    <w:p w14:paraId="4657DA81">
      <w:pPr>
        <w:spacing w:line="440" w:lineRule="exact"/>
        <w:rPr>
          <w:rFonts w:ascii="宋体" w:hAnsi="宋体" w:cs="宋体"/>
          <w:b/>
          <w:bCs/>
          <w:color w:val="auto"/>
          <w:sz w:val="24"/>
        </w:rPr>
      </w:pPr>
      <w:r>
        <w:rPr>
          <w:rFonts w:hint="eastAsia" w:ascii="宋体" w:hAnsi="宋体" w:cs="宋体"/>
          <w:b/>
          <w:bCs/>
          <w:color w:val="auto"/>
          <w:sz w:val="24"/>
        </w:rPr>
        <w:t>一、工程概况</w:t>
      </w:r>
    </w:p>
    <w:p w14:paraId="4AEA7CED">
      <w:pPr>
        <w:spacing w:line="440" w:lineRule="exact"/>
        <w:ind w:firstLine="470" w:firstLineChars="196"/>
        <w:rPr>
          <w:rFonts w:ascii="宋体" w:hAnsi="宋体" w:cs="宋体"/>
          <w:color w:val="auto"/>
          <w:sz w:val="24"/>
          <w:u w:val="single"/>
        </w:rPr>
      </w:pPr>
      <w:r>
        <w:rPr>
          <w:rFonts w:hint="eastAsia" w:ascii="宋体" w:hAnsi="宋体" w:cs="宋体"/>
          <w:color w:val="auto"/>
          <w:sz w:val="24"/>
        </w:rPr>
        <w:t>1.工程名称：</w:t>
      </w:r>
      <w:r>
        <w:rPr>
          <w:rFonts w:hint="eastAsia" w:ascii="宋体" w:hAnsi="宋体" w:cs="宋体"/>
          <w:b w:val="0"/>
          <w:bCs/>
          <w:color w:val="auto"/>
          <w:sz w:val="24"/>
          <w:highlight w:val="none"/>
          <w:u w:val="single"/>
        </w:rPr>
        <w:t>2026年武鸣校区1-19#、2-16#、2-18#地块新建围挡工程施工项目</w:t>
      </w:r>
      <w:r>
        <w:rPr>
          <w:rFonts w:hint="eastAsia" w:ascii="宋体" w:hAnsi="宋体" w:cs="宋体"/>
          <w:color w:val="auto"/>
          <w:sz w:val="24"/>
        </w:rPr>
        <w:t>。</w:t>
      </w:r>
    </w:p>
    <w:p w14:paraId="7F644DBF">
      <w:pPr>
        <w:spacing w:line="440" w:lineRule="exact"/>
        <w:ind w:firstLine="470" w:firstLineChars="196"/>
        <w:rPr>
          <w:rFonts w:ascii="宋体" w:hAnsi="宋体" w:cs="宋体"/>
          <w:color w:val="auto"/>
          <w:sz w:val="24"/>
          <w:highlight w:val="none"/>
        </w:rPr>
      </w:pPr>
      <w:r>
        <w:rPr>
          <w:rFonts w:hint="eastAsia" w:ascii="宋体" w:hAnsi="宋体" w:cs="宋体"/>
          <w:color w:val="auto"/>
          <w:sz w:val="24"/>
        </w:rPr>
        <w:t>2.工程地点：</w:t>
      </w:r>
      <w:r>
        <w:rPr>
          <w:rFonts w:hint="eastAsia" w:ascii="宋体" w:hAnsi="宋体" w:cs="宋体"/>
          <w:color w:val="auto"/>
          <w:sz w:val="24"/>
          <w:highlight w:val="none"/>
          <w:u w:val="single"/>
        </w:rPr>
        <w:t>广西财经学院武鸣校区</w:t>
      </w:r>
      <w:r>
        <w:rPr>
          <w:rFonts w:hint="eastAsia" w:ascii="宋体" w:hAnsi="宋体" w:cs="宋体"/>
          <w:color w:val="auto"/>
          <w:sz w:val="24"/>
          <w:highlight w:val="none"/>
          <w:u w:val="none"/>
        </w:rPr>
        <w:t>。</w:t>
      </w:r>
    </w:p>
    <w:p w14:paraId="5F748E8F">
      <w:pPr>
        <w:spacing w:line="440" w:lineRule="exact"/>
        <w:ind w:firstLine="470" w:firstLineChars="196"/>
        <w:rPr>
          <w:rFonts w:ascii="宋体" w:hAnsi="宋体" w:cs="宋体"/>
          <w:color w:val="auto"/>
          <w:sz w:val="24"/>
        </w:rPr>
      </w:pPr>
      <w:r>
        <w:rPr>
          <w:rFonts w:hint="eastAsia" w:ascii="宋体" w:hAnsi="宋体" w:cs="宋体"/>
          <w:color w:val="auto"/>
          <w:sz w:val="24"/>
        </w:rPr>
        <w:t>3.工程立项批准文号：</w:t>
      </w:r>
      <w:r>
        <w:rPr>
          <w:rFonts w:hint="eastAsia" w:ascii="宋体" w:hAnsi="宋体" w:cs="宋体"/>
          <w:color w:val="auto"/>
          <w:sz w:val="24"/>
          <w:u w:val="single"/>
        </w:rPr>
        <w:t xml:space="preserve">  /  </w:t>
      </w:r>
      <w:r>
        <w:rPr>
          <w:rFonts w:hint="eastAsia" w:ascii="宋体" w:hAnsi="宋体" w:cs="宋体"/>
          <w:color w:val="auto"/>
          <w:sz w:val="24"/>
        </w:rPr>
        <w:t>。</w:t>
      </w:r>
    </w:p>
    <w:p w14:paraId="4F732630">
      <w:pPr>
        <w:spacing w:line="440" w:lineRule="exact"/>
        <w:ind w:firstLine="470" w:firstLineChars="196"/>
        <w:rPr>
          <w:rFonts w:ascii="宋体" w:hAnsi="宋体" w:cs="宋体"/>
          <w:color w:val="auto"/>
          <w:sz w:val="24"/>
        </w:rPr>
      </w:pPr>
      <w:r>
        <w:rPr>
          <w:rFonts w:hint="eastAsia" w:ascii="宋体" w:hAnsi="宋体" w:cs="宋体"/>
          <w:color w:val="auto"/>
          <w:sz w:val="24"/>
        </w:rPr>
        <w:t>4.资金来源：</w:t>
      </w:r>
      <w:r>
        <w:rPr>
          <w:rFonts w:hint="eastAsia" w:ascii="宋体" w:hAnsi="宋体" w:cs="宋体"/>
          <w:color w:val="auto"/>
          <w:sz w:val="24"/>
          <w:u w:val="single"/>
        </w:rPr>
        <w:t xml:space="preserve">  自筹资金   </w:t>
      </w:r>
      <w:r>
        <w:rPr>
          <w:rFonts w:hint="eastAsia" w:ascii="宋体" w:hAnsi="宋体" w:cs="宋体"/>
          <w:color w:val="auto"/>
          <w:sz w:val="24"/>
        </w:rPr>
        <w:t>。</w:t>
      </w:r>
    </w:p>
    <w:p w14:paraId="46C6A8E8">
      <w:pPr>
        <w:spacing w:line="480" w:lineRule="exact"/>
        <w:ind w:firstLine="470" w:firstLineChars="196"/>
        <w:rPr>
          <w:rFonts w:hint="eastAsia" w:ascii="宋体" w:hAnsi="宋体" w:eastAsia="宋体"/>
          <w:color w:val="auto"/>
          <w:sz w:val="24"/>
          <w:highlight w:val="none"/>
          <w:u w:val="single"/>
          <w:lang w:eastAsia="zh-CN"/>
        </w:rPr>
      </w:pPr>
      <w:r>
        <w:rPr>
          <w:rFonts w:hint="eastAsia" w:ascii="宋体" w:hAnsi="宋体" w:cs="宋体"/>
          <w:color w:val="auto"/>
          <w:sz w:val="24"/>
        </w:rPr>
        <w:t>5.</w:t>
      </w:r>
      <w:bookmarkStart w:id="0" w:name="auto_fouce_1"/>
      <w:r>
        <w:rPr>
          <w:rFonts w:hint="eastAsia" w:ascii="宋体" w:hAnsi="宋体" w:cs="宋体"/>
          <w:color w:val="auto"/>
          <w:sz w:val="24"/>
        </w:rPr>
        <w:t>工程内容：</w:t>
      </w:r>
      <w:bookmarkEnd w:id="0"/>
      <w:r>
        <w:rPr>
          <w:rFonts w:hint="eastAsia" w:ascii="宋体" w:hAnsi="宋体"/>
          <w:color w:val="auto"/>
          <w:sz w:val="24"/>
          <w:highlight w:val="none"/>
          <w:u w:val="single"/>
        </w:rPr>
        <w:t>本项目拟对广西财经学院武鸣校区1-19#、2-16#、2-18#地块进行新建围挡工程，包括拆除原有蓝色铁皮围挡，新建波浪型栏杆围挡和铁艺栏杆围挡，利旧迁移部分围挡至1-19#地块，并实施土方挖填、基础浇筑等配套工程。本工程内容最终以经甲方书面确认的施工图纸、工程量清单及甲方书面指令为准。</w:t>
      </w:r>
    </w:p>
    <w:p w14:paraId="5D7C85B1">
      <w:pPr>
        <w:spacing w:line="440" w:lineRule="exact"/>
        <w:ind w:firstLine="470" w:firstLineChars="196"/>
        <w:rPr>
          <w:rFonts w:ascii="宋体" w:hAnsi="宋体" w:cs="宋体"/>
          <w:color w:val="auto"/>
          <w:sz w:val="24"/>
        </w:rPr>
      </w:pPr>
      <w:r>
        <w:rPr>
          <w:rFonts w:hint="eastAsia" w:ascii="宋体" w:hAnsi="宋体" w:cs="宋体"/>
          <w:color w:val="auto"/>
          <w:sz w:val="24"/>
        </w:rPr>
        <w:t>6.工程承包范围：</w:t>
      </w:r>
      <w:r>
        <w:rPr>
          <w:rFonts w:hint="eastAsia" w:ascii="宋体" w:hAnsi="宋体" w:cs="宋体"/>
          <w:color w:val="auto"/>
          <w:sz w:val="24"/>
          <w:u w:val="single"/>
        </w:rPr>
        <w:t>施工图纸及工程量清单包括的全部内容，承包人不得因工程量清单漏项、错项、少项主张增加合同价款，除非发包人书面签字盖章确认的设计变更或新增工程内容</w:t>
      </w:r>
      <w:r>
        <w:rPr>
          <w:rFonts w:hint="eastAsia" w:ascii="宋体" w:hAnsi="宋体" w:cs="宋体"/>
          <w:color w:val="auto"/>
          <w:sz w:val="24"/>
        </w:rPr>
        <w:t>。</w:t>
      </w:r>
    </w:p>
    <w:p w14:paraId="39767840">
      <w:pPr>
        <w:spacing w:line="440" w:lineRule="exact"/>
        <w:ind w:firstLine="465" w:firstLineChars="193"/>
        <w:rPr>
          <w:rFonts w:ascii="宋体" w:hAnsi="宋体" w:cs="宋体"/>
          <w:b/>
          <w:bCs/>
          <w:color w:val="auto"/>
          <w:sz w:val="24"/>
        </w:rPr>
      </w:pPr>
      <w:r>
        <w:rPr>
          <w:rFonts w:hint="eastAsia" w:ascii="宋体" w:hAnsi="宋体" w:cs="宋体"/>
          <w:b/>
          <w:bCs/>
          <w:color w:val="auto"/>
          <w:sz w:val="24"/>
        </w:rPr>
        <w:t>二、合同工期</w:t>
      </w:r>
    </w:p>
    <w:p w14:paraId="50811DB7">
      <w:pPr>
        <w:spacing w:line="440" w:lineRule="exact"/>
        <w:ind w:firstLine="459"/>
        <w:rPr>
          <w:rFonts w:ascii="宋体" w:hAnsi="宋体" w:cs="宋体"/>
          <w:color w:val="auto"/>
          <w:sz w:val="24"/>
        </w:rPr>
      </w:pPr>
      <w:bookmarkStart w:id="1" w:name="tip_risk_bookmark_2"/>
      <w:bookmarkStart w:id="2" w:name="tip_risk_bookmark_3"/>
      <w:r>
        <w:rPr>
          <w:rFonts w:hint="eastAsia" w:ascii="宋体" w:hAnsi="宋体" w:cs="宋体"/>
          <w:color w:val="auto"/>
          <w:sz w:val="24"/>
        </w:rPr>
        <w:t xml:space="preserve">开工日期：     年    </w:t>
      </w:r>
      <w:r>
        <w:rPr>
          <w:rFonts w:ascii="宋体" w:hAnsi="宋体" w:cs="宋体"/>
          <w:color w:val="auto"/>
          <w:sz w:val="24"/>
        </w:rPr>
        <w:t xml:space="preserve"> </w:t>
      </w:r>
      <w:r>
        <w:rPr>
          <w:rFonts w:hint="eastAsia" w:ascii="宋体" w:hAnsi="宋体" w:cs="宋体"/>
          <w:color w:val="auto"/>
          <w:sz w:val="24"/>
        </w:rPr>
        <w:t>月</w:t>
      </w:r>
      <w:r>
        <w:rPr>
          <w:rFonts w:ascii="宋体" w:hAnsi="宋体" w:cs="宋体"/>
          <w:color w:val="auto"/>
          <w:sz w:val="24"/>
        </w:rPr>
        <w:t xml:space="preserve">  </w:t>
      </w:r>
      <w:r>
        <w:rPr>
          <w:rFonts w:hint="eastAsia" w:ascii="宋体" w:hAnsi="宋体" w:cs="宋体"/>
          <w:color w:val="auto"/>
          <w:sz w:val="24"/>
        </w:rPr>
        <w:t xml:space="preserve">   日。（具体以开工令为准）</w:t>
      </w:r>
    </w:p>
    <w:p w14:paraId="01F07D1D">
      <w:pPr>
        <w:spacing w:line="440" w:lineRule="exact"/>
        <w:ind w:firstLine="459"/>
        <w:rPr>
          <w:rFonts w:ascii="宋体" w:hAnsi="宋体" w:cs="宋体"/>
          <w:color w:val="auto"/>
          <w:sz w:val="24"/>
        </w:rPr>
      </w:pPr>
      <w:r>
        <w:rPr>
          <w:rFonts w:hint="eastAsia" w:ascii="宋体" w:hAnsi="宋体" w:cs="宋体"/>
          <w:color w:val="auto"/>
          <w:sz w:val="24"/>
        </w:rPr>
        <w:t xml:space="preserve">竣工日期：     年 </w:t>
      </w:r>
      <w:r>
        <w:rPr>
          <w:rFonts w:ascii="宋体" w:hAnsi="宋体" w:cs="宋体"/>
          <w:color w:val="auto"/>
          <w:sz w:val="24"/>
        </w:rPr>
        <w:t xml:space="preserve"> </w:t>
      </w:r>
      <w:r>
        <w:rPr>
          <w:rFonts w:hint="eastAsia" w:ascii="宋体" w:hAnsi="宋体" w:cs="宋体"/>
          <w:color w:val="auto"/>
          <w:sz w:val="24"/>
        </w:rPr>
        <w:t xml:space="preserve">  </w:t>
      </w:r>
      <w:r>
        <w:rPr>
          <w:rFonts w:ascii="宋体" w:hAnsi="宋体" w:cs="宋体"/>
          <w:color w:val="auto"/>
          <w:sz w:val="24"/>
        </w:rPr>
        <w:t xml:space="preserve"> </w:t>
      </w:r>
      <w:r>
        <w:rPr>
          <w:rFonts w:hint="eastAsia" w:ascii="宋体" w:hAnsi="宋体" w:cs="宋体"/>
          <w:color w:val="auto"/>
          <w:sz w:val="24"/>
        </w:rPr>
        <w:t>月</w:t>
      </w:r>
      <w:r>
        <w:rPr>
          <w:rFonts w:ascii="宋体" w:hAnsi="宋体" w:cs="宋体"/>
          <w:color w:val="auto"/>
          <w:sz w:val="24"/>
        </w:rPr>
        <w:t xml:space="preserve">  </w:t>
      </w:r>
      <w:r>
        <w:rPr>
          <w:rFonts w:hint="eastAsia" w:ascii="宋体" w:hAnsi="宋体" w:cs="宋体"/>
          <w:color w:val="auto"/>
          <w:sz w:val="24"/>
        </w:rPr>
        <w:t xml:space="preserve">   日。</w:t>
      </w:r>
      <w:bookmarkEnd w:id="1"/>
    </w:p>
    <w:p w14:paraId="686B748C">
      <w:pPr>
        <w:spacing w:line="440" w:lineRule="exact"/>
        <w:ind w:firstLine="459"/>
        <w:rPr>
          <w:rFonts w:ascii="宋体" w:hAnsi="宋体" w:cs="宋体"/>
          <w:color w:val="auto"/>
          <w:sz w:val="24"/>
        </w:rPr>
      </w:pPr>
      <w:r>
        <w:rPr>
          <w:rFonts w:hint="eastAsia" w:ascii="宋体" w:hAnsi="宋体" w:cs="宋体"/>
          <w:color w:val="auto"/>
          <w:sz w:val="24"/>
        </w:rPr>
        <w:t>工期总日历天数：工期</w:t>
      </w:r>
      <w:r>
        <w:rPr>
          <w:rFonts w:hint="eastAsia" w:ascii="宋体" w:hAnsi="宋体" w:cs="宋体"/>
          <w:color w:val="auto"/>
          <w:sz w:val="24"/>
          <w:highlight w:val="none"/>
          <w:u w:val="single"/>
          <w:lang w:val="en-US" w:eastAsia="zh-CN"/>
        </w:rPr>
        <w:t>2</w:t>
      </w:r>
      <w:r>
        <w:rPr>
          <w:rFonts w:hint="eastAsia" w:ascii="宋体" w:hAnsi="宋体" w:cs="宋体"/>
          <w:color w:val="auto"/>
          <w:sz w:val="24"/>
          <w:highlight w:val="none"/>
          <w:u w:val="single"/>
        </w:rPr>
        <w:t>0</w:t>
      </w:r>
      <w:r>
        <w:rPr>
          <w:rFonts w:hint="eastAsia" w:ascii="宋体" w:hAnsi="宋体" w:cs="宋体"/>
          <w:color w:val="auto"/>
          <w:sz w:val="24"/>
        </w:rPr>
        <w:t>日历天</w:t>
      </w:r>
      <w:bookmarkEnd w:id="2"/>
    </w:p>
    <w:p w14:paraId="457648C2">
      <w:pPr>
        <w:spacing w:line="440" w:lineRule="exact"/>
        <w:ind w:firstLine="459"/>
        <w:rPr>
          <w:rFonts w:ascii="宋体" w:hAnsi="宋体" w:cs="宋体"/>
          <w:b/>
          <w:bCs/>
          <w:color w:val="auto"/>
          <w:sz w:val="24"/>
        </w:rPr>
      </w:pPr>
      <w:r>
        <w:rPr>
          <w:rFonts w:hint="eastAsia" w:ascii="宋体" w:hAnsi="宋体" w:cs="宋体"/>
          <w:b/>
          <w:bCs/>
          <w:color w:val="auto"/>
          <w:sz w:val="24"/>
        </w:rPr>
        <w:t>三、质量标准</w:t>
      </w:r>
    </w:p>
    <w:p w14:paraId="6F23B2D4">
      <w:pPr>
        <w:spacing w:line="440" w:lineRule="exact"/>
        <w:ind w:firstLine="459"/>
        <w:rPr>
          <w:rFonts w:ascii="宋体" w:hAnsi="宋体" w:cs="宋体"/>
          <w:color w:val="auto"/>
          <w:sz w:val="24"/>
          <w:u w:val="single"/>
        </w:rPr>
      </w:pPr>
      <w:r>
        <w:rPr>
          <w:rFonts w:hint="eastAsia" w:ascii="宋体" w:hAnsi="宋体" w:cs="宋体"/>
          <w:color w:val="auto"/>
          <w:sz w:val="24"/>
        </w:rPr>
        <w:t>工程质量符合国家和行业施工验收规范合格标准。</w:t>
      </w:r>
    </w:p>
    <w:p w14:paraId="7C482FC5">
      <w:pPr>
        <w:spacing w:line="440" w:lineRule="exact"/>
        <w:ind w:firstLine="459"/>
        <w:rPr>
          <w:rFonts w:ascii="宋体" w:hAnsi="宋体" w:cs="宋体"/>
          <w:b/>
          <w:bCs/>
          <w:color w:val="auto"/>
          <w:sz w:val="24"/>
        </w:rPr>
      </w:pPr>
      <w:r>
        <w:rPr>
          <w:rFonts w:hint="eastAsia" w:ascii="宋体" w:hAnsi="宋体" w:cs="宋体"/>
          <w:b/>
          <w:bCs/>
          <w:color w:val="auto"/>
          <w:sz w:val="24"/>
        </w:rPr>
        <w:t>四、签约合同价与合同价格形式</w:t>
      </w:r>
    </w:p>
    <w:p w14:paraId="7C9BD9AC">
      <w:pPr>
        <w:spacing w:line="440" w:lineRule="exact"/>
        <w:ind w:firstLine="459"/>
        <w:rPr>
          <w:rFonts w:ascii="宋体" w:hAnsi="宋体" w:cs="宋体"/>
          <w:color w:val="auto"/>
          <w:sz w:val="24"/>
        </w:rPr>
      </w:pPr>
      <w:r>
        <w:rPr>
          <w:rFonts w:hint="eastAsia" w:ascii="宋体" w:hAnsi="宋体" w:cs="宋体"/>
          <w:color w:val="auto"/>
          <w:sz w:val="24"/>
        </w:rPr>
        <w:t>1. 签约暂定合同价为：</w:t>
      </w:r>
    </w:p>
    <w:p w14:paraId="16596CB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ascii="宋体" w:hAnsi="宋体" w:cs="宋体"/>
          <w:color w:val="auto"/>
          <w:sz w:val="24"/>
        </w:rPr>
      </w:pPr>
      <w:r>
        <w:rPr>
          <w:rFonts w:hint="eastAsia" w:ascii="宋体" w:hAnsi="宋体" w:cs="宋体"/>
          <w:color w:val="auto"/>
          <w:sz w:val="24"/>
        </w:rPr>
        <w:t>人民币（大写）</w:t>
      </w:r>
      <w:r>
        <w:rPr>
          <w:rFonts w:hint="eastAsia" w:ascii="宋体" w:hAnsi="宋体" w:eastAsia="宋体" w:cs="宋体"/>
          <w:color w:val="auto"/>
          <w:kern w:val="2"/>
          <w:sz w:val="24"/>
          <w:szCs w:val="24"/>
          <w:u w:val="single"/>
          <w:lang w:val="en-US" w:eastAsia="zh-CN" w:bidi="ar-SA"/>
        </w:rPr>
        <w:t>人民币叁拾万肆仟捌佰捌拾伍元肆角柒分（¥304885.47）</w:t>
      </w:r>
      <w:r>
        <w:rPr>
          <w:rFonts w:hint="eastAsia" w:ascii="宋体" w:hAnsi="宋体" w:cs="宋体"/>
          <w:color w:val="auto"/>
          <w:sz w:val="24"/>
        </w:rPr>
        <w:t>；</w:t>
      </w:r>
    </w:p>
    <w:p w14:paraId="38669FB7">
      <w:pPr>
        <w:spacing w:line="440" w:lineRule="exact"/>
        <w:ind w:firstLine="600" w:firstLineChars="250"/>
        <w:rPr>
          <w:rFonts w:ascii="宋体" w:hAnsi="宋体" w:cs="宋体"/>
          <w:color w:val="auto"/>
          <w:sz w:val="24"/>
        </w:rPr>
      </w:pPr>
      <w:r>
        <w:rPr>
          <w:rFonts w:hint="eastAsia" w:ascii="宋体" w:hAnsi="宋体" w:cs="宋体"/>
          <w:color w:val="auto"/>
          <w:sz w:val="24"/>
        </w:rPr>
        <w:t>其中：</w:t>
      </w:r>
    </w:p>
    <w:p w14:paraId="0BC09876">
      <w:pPr>
        <w:spacing w:line="440" w:lineRule="exact"/>
        <w:ind w:firstLine="600" w:firstLineChars="250"/>
        <w:rPr>
          <w:rFonts w:ascii="宋体" w:hAnsi="宋体" w:cs="宋体"/>
          <w:color w:val="auto"/>
          <w:sz w:val="24"/>
        </w:rPr>
      </w:pPr>
      <w:r>
        <w:rPr>
          <w:rFonts w:hint="eastAsia" w:ascii="宋体" w:hAnsi="宋体" w:cs="宋体"/>
          <w:color w:val="auto"/>
          <w:sz w:val="24"/>
        </w:rPr>
        <w:t>（1）安全文明施工费：</w:t>
      </w:r>
    </w:p>
    <w:p w14:paraId="7CA71345">
      <w:pPr>
        <w:spacing w:line="440" w:lineRule="exact"/>
        <w:ind w:firstLine="480" w:firstLineChars="200"/>
        <w:rPr>
          <w:rFonts w:hint="eastAsia" w:ascii="宋体" w:hAnsi="宋体" w:cs="宋体"/>
          <w:color w:val="auto"/>
          <w:sz w:val="24"/>
        </w:rPr>
      </w:pPr>
      <w:r>
        <w:rPr>
          <w:rFonts w:hint="eastAsia" w:ascii="宋体" w:hAnsi="宋体" w:cs="宋体"/>
          <w:color w:val="auto"/>
          <w:sz w:val="24"/>
        </w:rPr>
        <w:t>人民币（大写）</w:t>
      </w:r>
      <w:r>
        <w:rPr>
          <w:rFonts w:hint="eastAsia" w:ascii="宋体" w:hAnsi="宋体" w:cs="宋体"/>
          <w:color w:val="auto"/>
          <w:sz w:val="24"/>
          <w:u w:val="single"/>
        </w:rPr>
        <w:t>人民币壹万玖仟伍佰零陆元陆角柒分（¥19506.67元）；</w:t>
      </w:r>
    </w:p>
    <w:p w14:paraId="43BB3A1A">
      <w:pPr>
        <w:spacing w:line="440" w:lineRule="exact"/>
        <w:ind w:firstLine="480" w:firstLineChars="200"/>
        <w:rPr>
          <w:rFonts w:hint="eastAsia" w:ascii="宋体" w:hAnsi="宋体" w:cs="宋体"/>
          <w:color w:val="auto"/>
          <w:sz w:val="24"/>
        </w:rPr>
      </w:pPr>
      <w:r>
        <w:rPr>
          <w:rFonts w:hint="eastAsia" w:ascii="宋体" w:hAnsi="宋体" w:cs="宋体"/>
          <w:color w:val="auto"/>
          <w:sz w:val="24"/>
        </w:rPr>
        <w:t>（2）材料和工程设备暂估价金额：</w:t>
      </w:r>
    </w:p>
    <w:p w14:paraId="5A85C341">
      <w:pPr>
        <w:spacing w:line="440" w:lineRule="exact"/>
        <w:ind w:firstLine="1080" w:firstLineChars="450"/>
        <w:rPr>
          <w:rFonts w:ascii="宋体" w:hAnsi="宋体" w:cs="宋体"/>
          <w:color w:val="auto"/>
          <w:sz w:val="24"/>
        </w:rPr>
      </w:pPr>
      <w:r>
        <w:rPr>
          <w:rFonts w:hint="eastAsia" w:ascii="宋体" w:hAnsi="宋体" w:cs="宋体"/>
          <w:color w:val="auto"/>
          <w:sz w:val="24"/>
        </w:rPr>
        <w:t>人民币（大写）</w:t>
      </w:r>
      <w:r>
        <w:rPr>
          <w:rFonts w:hint="eastAsia" w:ascii="宋体" w:hAnsi="宋体" w:cs="宋体"/>
          <w:color w:val="auto"/>
          <w:sz w:val="24"/>
          <w:u w:val="single"/>
        </w:rPr>
        <w:t xml:space="preserve">   /  </w:t>
      </w:r>
      <w:r>
        <w:rPr>
          <w:rFonts w:hint="eastAsia" w:ascii="宋体" w:hAnsi="宋体" w:cs="宋体"/>
          <w:color w:val="auto"/>
          <w:sz w:val="24"/>
        </w:rPr>
        <w:t>（¥</w:t>
      </w:r>
      <w:r>
        <w:rPr>
          <w:rFonts w:hint="eastAsia" w:ascii="宋体" w:hAnsi="宋体" w:cs="宋体"/>
          <w:color w:val="auto"/>
          <w:sz w:val="24"/>
          <w:u w:val="single"/>
        </w:rPr>
        <w:t xml:space="preserve">  /  </w:t>
      </w:r>
      <w:r>
        <w:rPr>
          <w:rFonts w:hint="eastAsia" w:ascii="宋体" w:hAnsi="宋体" w:cs="宋体"/>
          <w:color w:val="auto"/>
          <w:sz w:val="24"/>
        </w:rPr>
        <w:t>元）；</w:t>
      </w:r>
    </w:p>
    <w:p w14:paraId="4AE4F8B6">
      <w:pPr>
        <w:spacing w:line="440" w:lineRule="exact"/>
        <w:ind w:firstLine="480" w:firstLineChars="200"/>
        <w:rPr>
          <w:rFonts w:ascii="宋体" w:hAnsi="宋体" w:cs="宋体"/>
          <w:color w:val="auto"/>
          <w:sz w:val="24"/>
        </w:rPr>
      </w:pPr>
      <w:r>
        <w:rPr>
          <w:rFonts w:hint="eastAsia" w:ascii="宋体" w:hAnsi="宋体" w:cs="宋体"/>
          <w:color w:val="auto"/>
          <w:sz w:val="24"/>
        </w:rPr>
        <w:t>（3）专业工程暂估价金额：</w:t>
      </w:r>
    </w:p>
    <w:p w14:paraId="09D80D2A">
      <w:pPr>
        <w:spacing w:line="440" w:lineRule="exact"/>
        <w:ind w:firstLine="1080" w:firstLineChars="450"/>
        <w:rPr>
          <w:rFonts w:ascii="宋体" w:hAnsi="宋体" w:cs="宋体"/>
          <w:color w:val="auto"/>
          <w:sz w:val="24"/>
        </w:rPr>
      </w:pPr>
      <w:r>
        <w:rPr>
          <w:rFonts w:hint="eastAsia" w:ascii="宋体" w:hAnsi="宋体" w:cs="宋体"/>
          <w:color w:val="auto"/>
          <w:sz w:val="24"/>
        </w:rPr>
        <w:t>人民币（大写）</w:t>
      </w:r>
      <w:r>
        <w:rPr>
          <w:rFonts w:hint="eastAsia" w:ascii="宋体" w:hAnsi="宋体" w:cs="宋体"/>
          <w:color w:val="auto"/>
          <w:sz w:val="24"/>
          <w:u w:val="single"/>
        </w:rPr>
        <w:t xml:space="preserve">   /  </w:t>
      </w:r>
      <w:r>
        <w:rPr>
          <w:rFonts w:hint="eastAsia" w:ascii="宋体" w:hAnsi="宋体" w:cs="宋体"/>
          <w:color w:val="auto"/>
          <w:sz w:val="24"/>
        </w:rPr>
        <w:t>（¥</w:t>
      </w:r>
      <w:r>
        <w:rPr>
          <w:rFonts w:hint="eastAsia" w:ascii="宋体" w:hAnsi="宋体" w:cs="宋体"/>
          <w:color w:val="auto"/>
          <w:sz w:val="24"/>
          <w:u w:val="single"/>
        </w:rPr>
        <w:t xml:space="preserve">  /  </w:t>
      </w:r>
      <w:r>
        <w:rPr>
          <w:rFonts w:hint="eastAsia" w:ascii="宋体" w:hAnsi="宋体" w:cs="宋体"/>
          <w:color w:val="auto"/>
          <w:sz w:val="24"/>
        </w:rPr>
        <w:t>元）；</w:t>
      </w:r>
    </w:p>
    <w:p w14:paraId="0F3E60DE">
      <w:pPr>
        <w:spacing w:line="440" w:lineRule="exact"/>
        <w:ind w:firstLine="480" w:firstLineChars="200"/>
        <w:rPr>
          <w:rFonts w:ascii="宋体" w:hAnsi="宋体" w:cs="宋体"/>
          <w:color w:val="auto"/>
          <w:sz w:val="24"/>
        </w:rPr>
      </w:pPr>
      <w:r>
        <w:rPr>
          <w:rFonts w:hint="eastAsia" w:ascii="宋体" w:hAnsi="宋体" w:cs="宋体"/>
          <w:color w:val="auto"/>
          <w:sz w:val="24"/>
        </w:rPr>
        <w:t>（4）暂列金额：</w:t>
      </w:r>
    </w:p>
    <w:p w14:paraId="679D0ABD">
      <w:pPr>
        <w:spacing w:line="440" w:lineRule="exact"/>
        <w:ind w:firstLine="1080" w:firstLineChars="450"/>
        <w:rPr>
          <w:rFonts w:ascii="宋体" w:hAnsi="宋体" w:cs="宋体"/>
          <w:color w:val="auto"/>
          <w:sz w:val="24"/>
        </w:rPr>
      </w:pPr>
      <w:r>
        <w:rPr>
          <w:rFonts w:hint="eastAsia" w:ascii="宋体" w:hAnsi="宋体" w:cs="宋体"/>
          <w:color w:val="auto"/>
          <w:sz w:val="24"/>
        </w:rPr>
        <w:t>人民币（大写）</w:t>
      </w:r>
      <w:r>
        <w:rPr>
          <w:rFonts w:hint="eastAsia" w:ascii="宋体" w:hAnsi="宋体" w:cs="宋体"/>
          <w:color w:val="auto"/>
          <w:sz w:val="24"/>
          <w:u w:val="single"/>
        </w:rPr>
        <w:t xml:space="preserve">   /  </w:t>
      </w:r>
      <w:r>
        <w:rPr>
          <w:rFonts w:hint="eastAsia" w:ascii="宋体" w:hAnsi="宋体" w:cs="宋体"/>
          <w:color w:val="auto"/>
          <w:sz w:val="24"/>
        </w:rPr>
        <w:t>（¥</w:t>
      </w:r>
      <w:r>
        <w:rPr>
          <w:rFonts w:hint="eastAsia" w:ascii="宋体" w:hAnsi="宋体" w:cs="宋体"/>
          <w:color w:val="auto"/>
          <w:sz w:val="24"/>
          <w:u w:val="single"/>
        </w:rPr>
        <w:t xml:space="preserve">  /  </w:t>
      </w:r>
      <w:r>
        <w:rPr>
          <w:rFonts w:hint="eastAsia" w:ascii="宋体" w:hAnsi="宋体" w:cs="宋体"/>
          <w:color w:val="auto"/>
          <w:sz w:val="24"/>
        </w:rPr>
        <w:t>元）。</w:t>
      </w:r>
    </w:p>
    <w:p w14:paraId="44A61C03">
      <w:pPr>
        <w:spacing w:line="440" w:lineRule="exact"/>
        <w:ind w:firstLine="480" w:firstLineChars="200"/>
        <w:rPr>
          <w:rFonts w:ascii="宋体" w:hAnsi="宋体" w:cs="宋体"/>
          <w:color w:val="auto"/>
          <w:sz w:val="24"/>
        </w:rPr>
      </w:pPr>
      <w:r>
        <w:rPr>
          <w:rFonts w:hint="eastAsia" w:ascii="宋体" w:hAnsi="宋体" w:cs="宋体"/>
          <w:color w:val="auto"/>
          <w:sz w:val="24"/>
        </w:rPr>
        <w:t>2. 合同价格形式：</w:t>
      </w:r>
      <w:r>
        <w:rPr>
          <w:rFonts w:hint="eastAsia" w:ascii="宋体" w:hAnsi="宋体" w:cs="宋体"/>
          <w:color w:val="auto"/>
          <w:sz w:val="24"/>
          <w:u w:val="single"/>
        </w:rPr>
        <w:t xml:space="preserve">  固定综合单价  </w:t>
      </w:r>
      <w:r>
        <w:rPr>
          <w:rFonts w:hint="eastAsia" w:ascii="宋体" w:hAnsi="宋体" w:cs="宋体"/>
          <w:color w:val="auto"/>
          <w:sz w:val="24"/>
        </w:rPr>
        <w:t>。</w:t>
      </w:r>
    </w:p>
    <w:p w14:paraId="5BBD491F">
      <w:pPr>
        <w:spacing w:line="440" w:lineRule="exact"/>
        <w:ind w:firstLine="482" w:firstLineChars="200"/>
        <w:rPr>
          <w:rFonts w:ascii="宋体" w:hAnsi="宋体" w:cs="宋体"/>
          <w:b/>
          <w:bCs/>
          <w:color w:val="auto"/>
          <w:sz w:val="24"/>
        </w:rPr>
      </w:pPr>
      <w:r>
        <w:rPr>
          <w:rFonts w:hint="eastAsia" w:ascii="宋体" w:hAnsi="宋体" w:cs="宋体"/>
          <w:b/>
          <w:bCs/>
          <w:color w:val="auto"/>
          <w:sz w:val="24"/>
        </w:rPr>
        <w:t>五、项目经理</w:t>
      </w:r>
    </w:p>
    <w:p w14:paraId="080AC7C0">
      <w:pPr>
        <w:pStyle w:val="8"/>
        <w:widowControl/>
        <w:spacing w:line="440" w:lineRule="exact"/>
        <w:ind w:firstLine="420"/>
        <w:rPr>
          <w:rFonts w:ascii="宋体" w:hAnsi="宋体" w:cs="宋体"/>
          <w:color w:val="auto"/>
        </w:rPr>
      </w:pPr>
      <w:r>
        <w:rPr>
          <w:rFonts w:hint="eastAsia" w:ascii="宋体" w:hAnsi="宋体" w:cs="宋体"/>
          <w:color w:val="auto"/>
        </w:rPr>
        <w:t>承包人项目经理：</w:t>
      </w:r>
      <w:r>
        <w:rPr>
          <w:rFonts w:hint="eastAsia" w:ascii="宋体" w:hAnsi="宋体" w:cs="宋体"/>
          <w:color w:val="auto"/>
          <w:highlight w:val="yellow"/>
          <w:u w:val="single"/>
          <w:lang w:val="en-US" w:eastAsia="zh-CN"/>
        </w:rPr>
        <w:t xml:space="preserve">       </w:t>
      </w:r>
      <w:r>
        <w:rPr>
          <w:rFonts w:hint="eastAsia" w:ascii="宋体" w:hAnsi="宋体" w:cs="宋体"/>
          <w:color w:val="auto"/>
          <w:highlight w:val="yellow"/>
          <w:u w:val="single"/>
        </w:rPr>
        <w:t xml:space="preserve"> </w:t>
      </w:r>
      <w:r>
        <w:rPr>
          <w:rFonts w:hint="eastAsia" w:ascii="宋体" w:hAnsi="宋体" w:cs="宋体"/>
          <w:color w:val="auto"/>
        </w:rPr>
        <w:t>。</w:t>
      </w:r>
    </w:p>
    <w:p w14:paraId="2DD96B5A">
      <w:pPr>
        <w:spacing w:line="440" w:lineRule="exact"/>
        <w:ind w:firstLine="482" w:firstLineChars="200"/>
        <w:rPr>
          <w:rFonts w:ascii="宋体" w:hAnsi="宋体" w:cs="宋体"/>
          <w:b/>
          <w:bCs/>
          <w:color w:val="auto"/>
          <w:sz w:val="24"/>
        </w:rPr>
      </w:pPr>
      <w:r>
        <w:rPr>
          <w:rFonts w:hint="eastAsia" w:ascii="宋体" w:hAnsi="宋体" w:cs="宋体"/>
          <w:b/>
          <w:bCs/>
          <w:color w:val="auto"/>
          <w:sz w:val="24"/>
        </w:rPr>
        <w:t>六、合同文件构成</w:t>
      </w:r>
    </w:p>
    <w:p w14:paraId="4BAAD834">
      <w:pPr>
        <w:autoSpaceDE w:val="0"/>
        <w:autoSpaceDN w:val="0"/>
        <w:adjustRightInd w:val="0"/>
        <w:spacing w:line="440" w:lineRule="exact"/>
        <w:ind w:firstLine="480" w:firstLineChars="200"/>
        <w:jc w:val="left"/>
        <w:rPr>
          <w:rFonts w:ascii="宋体" w:hAnsi="宋体" w:cs="宋体"/>
          <w:color w:val="auto"/>
          <w:sz w:val="24"/>
        </w:rPr>
      </w:pPr>
      <w:r>
        <w:rPr>
          <w:rFonts w:hint="eastAsia" w:ascii="宋体" w:hAnsi="宋体" w:cs="宋体"/>
          <w:color w:val="auto"/>
          <w:sz w:val="24"/>
        </w:rPr>
        <w:t>1.本协议书与下列文件一起构成合同文件：</w:t>
      </w:r>
      <w:r>
        <w:rPr>
          <w:rFonts w:hint="eastAsia" w:ascii="宋体" w:hAnsi="宋体" w:cs="宋体"/>
          <w:color w:val="auto"/>
          <w:sz w:val="24"/>
        </w:rPr>
        <w:cr/>
      </w:r>
      <w:r>
        <w:rPr>
          <w:rFonts w:hint="eastAsia" w:ascii="宋体" w:hAnsi="宋体" w:cs="宋体"/>
          <w:color w:val="auto"/>
          <w:sz w:val="24"/>
        </w:rPr>
        <w:t>（1）本合同协议书</w:t>
      </w:r>
      <w:r>
        <w:rPr>
          <w:rFonts w:hint="eastAsia" w:ascii="宋体" w:hAnsi="宋体" w:cs="宋体"/>
          <w:color w:val="auto"/>
          <w:sz w:val="24"/>
        </w:rPr>
        <w:cr/>
      </w:r>
      <w:r>
        <w:rPr>
          <w:rFonts w:hint="eastAsia" w:ascii="宋体" w:hAnsi="宋体" w:cs="宋体"/>
          <w:color w:val="auto"/>
          <w:sz w:val="24"/>
        </w:rPr>
        <w:t>（2）</w:t>
      </w:r>
      <w:bookmarkStart w:id="3" w:name="auto_fouce_5"/>
      <w:r>
        <w:rPr>
          <w:rFonts w:hint="eastAsia" w:ascii="宋体" w:hAnsi="宋体" w:cs="宋体"/>
          <w:color w:val="auto"/>
          <w:sz w:val="24"/>
        </w:rPr>
        <w:t>中标通知书</w:t>
      </w:r>
      <w:r>
        <w:rPr>
          <w:rFonts w:hint="eastAsia" w:ascii="宋体" w:hAnsi="宋体" w:cs="宋体"/>
          <w:color w:val="auto"/>
          <w:sz w:val="24"/>
        </w:rPr>
        <w:cr/>
      </w:r>
      <w:r>
        <w:rPr>
          <w:rFonts w:hint="eastAsia" w:ascii="宋体" w:hAnsi="宋体" w:cs="宋体"/>
          <w:color w:val="auto"/>
          <w:sz w:val="24"/>
        </w:rPr>
        <w:t>（3）投标函及投标函附录</w:t>
      </w:r>
      <w:r>
        <w:rPr>
          <w:rFonts w:hint="eastAsia" w:ascii="宋体" w:hAnsi="宋体" w:cs="宋体"/>
          <w:color w:val="auto"/>
          <w:sz w:val="24"/>
        </w:rPr>
        <w:cr/>
      </w:r>
      <w:r>
        <w:rPr>
          <w:rFonts w:hint="eastAsia" w:ascii="宋体" w:hAnsi="宋体" w:cs="宋体"/>
          <w:color w:val="auto"/>
          <w:sz w:val="24"/>
        </w:rPr>
        <w:t>（4）专用合同条款及其附件；</w:t>
      </w:r>
      <w:r>
        <w:rPr>
          <w:rFonts w:hint="eastAsia" w:ascii="宋体" w:hAnsi="宋体" w:cs="宋体"/>
          <w:color w:val="auto"/>
          <w:sz w:val="24"/>
        </w:rPr>
        <w:cr/>
      </w:r>
      <w:r>
        <w:rPr>
          <w:rFonts w:hint="eastAsia" w:ascii="宋体" w:hAnsi="宋体" w:cs="宋体"/>
          <w:color w:val="auto"/>
          <w:sz w:val="24"/>
        </w:rPr>
        <w:t>（5）通用合同条款；</w:t>
      </w:r>
      <w:r>
        <w:rPr>
          <w:rFonts w:hint="eastAsia" w:ascii="宋体" w:hAnsi="宋体" w:cs="宋体"/>
          <w:color w:val="auto"/>
          <w:sz w:val="24"/>
        </w:rPr>
        <w:cr/>
      </w:r>
      <w:r>
        <w:rPr>
          <w:rFonts w:hint="eastAsia" w:ascii="宋体" w:hAnsi="宋体" w:cs="宋体"/>
          <w:color w:val="auto"/>
          <w:sz w:val="24"/>
        </w:rPr>
        <w:t>（6）技术标准、规范和有关要求；</w:t>
      </w:r>
      <w:r>
        <w:rPr>
          <w:rFonts w:hint="eastAsia" w:ascii="宋体" w:hAnsi="宋体" w:cs="宋体"/>
          <w:color w:val="auto"/>
          <w:sz w:val="24"/>
        </w:rPr>
        <w:cr/>
      </w:r>
      <w:r>
        <w:rPr>
          <w:rFonts w:hint="eastAsia" w:ascii="宋体" w:hAnsi="宋体" w:cs="宋体"/>
          <w:color w:val="auto"/>
          <w:sz w:val="24"/>
        </w:rPr>
        <w:t>（7）设计文件、资料和图纸（如有）；</w:t>
      </w:r>
      <w:r>
        <w:rPr>
          <w:rFonts w:hint="eastAsia" w:ascii="宋体" w:hAnsi="宋体" w:cs="宋体"/>
          <w:color w:val="auto"/>
          <w:sz w:val="24"/>
        </w:rPr>
        <w:cr/>
      </w:r>
      <w:r>
        <w:rPr>
          <w:rFonts w:hint="eastAsia" w:ascii="宋体" w:hAnsi="宋体" w:cs="宋体"/>
          <w:color w:val="auto"/>
          <w:sz w:val="24"/>
        </w:rPr>
        <w:t>（8）已标价的工程量清单（如有修正，指经算术性错误修正后的已标价工程量清单，包括其说明和表格）；</w:t>
      </w:r>
      <w:r>
        <w:rPr>
          <w:rFonts w:hint="eastAsia" w:ascii="宋体" w:hAnsi="宋体" w:cs="宋体"/>
          <w:color w:val="auto"/>
          <w:sz w:val="24"/>
        </w:rPr>
        <w:cr/>
      </w:r>
      <w:r>
        <w:rPr>
          <w:rFonts w:hint="eastAsia" w:ascii="宋体" w:hAnsi="宋体" w:cs="宋体"/>
          <w:color w:val="auto"/>
          <w:sz w:val="24"/>
        </w:rPr>
        <w:t>（9）双方约定构成合同组成部分的其它文件。</w:t>
      </w:r>
      <w:bookmarkEnd w:id="3"/>
      <w:r>
        <w:rPr>
          <w:rFonts w:hint="eastAsia" w:ascii="宋体" w:hAnsi="宋体" w:cs="宋体"/>
          <w:color w:val="auto"/>
          <w:sz w:val="24"/>
        </w:rPr>
        <w:cr/>
      </w:r>
      <w:r>
        <w:rPr>
          <w:rFonts w:hint="eastAsia" w:ascii="宋体" w:hAnsi="宋体" w:cs="宋体"/>
          <w:color w:val="auto"/>
          <w:sz w:val="24"/>
        </w:rPr>
        <w:t>上述各项合同文件包括双方就该项合同文件所作出的补充和修改，属于同一类内容的文件，应以最新签署的为准（违反询价文件实质性内容的约定除外）。专用合同条款及其附件须经双方签字盖章。</w:t>
      </w:r>
      <w:r>
        <w:rPr>
          <w:rFonts w:hint="eastAsia" w:ascii="宋体" w:hAnsi="宋体" w:cs="宋体"/>
          <w:color w:val="auto"/>
          <w:sz w:val="24"/>
        </w:rPr>
        <w:cr/>
      </w:r>
      <w:r>
        <w:rPr>
          <w:rFonts w:hint="eastAsia" w:ascii="宋体" w:hAnsi="宋体" w:cs="宋体"/>
          <w:color w:val="auto"/>
          <w:sz w:val="24"/>
        </w:rPr>
        <w:t xml:space="preserve">    2.上述文件互相补充和解释，如有不明确或不一致之处，以合同约定次序在先者为准。</w:t>
      </w:r>
    </w:p>
    <w:p w14:paraId="3BBCC3C2">
      <w:pPr>
        <w:autoSpaceDE w:val="0"/>
        <w:autoSpaceDN w:val="0"/>
        <w:adjustRightInd w:val="0"/>
        <w:spacing w:line="440" w:lineRule="exact"/>
        <w:ind w:firstLine="482" w:firstLineChars="200"/>
        <w:jc w:val="left"/>
        <w:rPr>
          <w:rFonts w:ascii="宋体" w:hAnsi="宋体" w:cs="宋体"/>
          <w:b/>
          <w:bCs/>
          <w:color w:val="auto"/>
          <w:sz w:val="24"/>
        </w:rPr>
      </w:pPr>
      <w:r>
        <w:rPr>
          <w:rFonts w:hint="eastAsia" w:ascii="宋体" w:hAnsi="宋体" w:cs="宋体"/>
          <w:b/>
          <w:bCs/>
          <w:color w:val="auto"/>
          <w:sz w:val="24"/>
        </w:rPr>
        <w:t>七、承诺</w:t>
      </w:r>
    </w:p>
    <w:p w14:paraId="53B17CAD">
      <w:pPr>
        <w:spacing w:line="440" w:lineRule="exact"/>
        <w:ind w:firstLine="480" w:firstLineChars="200"/>
        <w:rPr>
          <w:rFonts w:ascii="宋体" w:hAnsi="宋体" w:cs="宋体"/>
          <w:color w:val="auto"/>
          <w:sz w:val="24"/>
        </w:rPr>
      </w:pPr>
      <w:r>
        <w:rPr>
          <w:rFonts w:hint="eastAsia" w:ascii="宋体" w:hAnsi="宋体" w:cs="宋体"/>
          <w:color w:val="auto"/>
          <w:sz w:val="24"/>
        </w:rPr>
        <w:t>1.发包人承诺按照法律规定履行项目审批手续、筹集工程建设资金并按照合同约定的期限和方式支付合同价款。</w:t>
      </w:r>
    </w:p>
    <w:p w14:paraId="1D04632F">
      <w:pPr>
        <w:spacing w:line="440" w:lineRule="exact"/>
        <w:ind w:firstLine="480" w:firstLineChars="200"/>
        <w:rPr>
          <w:rFonts w:ascii="宋体" w:hAnsi="宋体" w:cs="宋体"/>
          <w:color w:val="auto"/>
          <w:sz w:val="24"/>
        </w:rPr>
      </w:pPr>
      <w:r>
        <w:rPr>
          <w:rFonts w:hint="eastAsia" w:ascii="宋体" w:hAnsi="宋体" w:cs="宋体"/>
          <w:color w:val="auto"/>
          <w:sz w:val="24"/>
        </w:rPr>
        <w:t>2.承包人承诺按照法律规定及合同约定组织完成工程施工，确保工程质量和安全，不进行转包及违法分包，并在缺陷责任期及保修期内承担相应的工程维修责任。</w:t>
      </w:r>
    </w:p>
    <w:p w14:paraId="08B1E47C">
      <w:pPr>
        <w:spacing w:line="440" w:lineRule="exact"/>
        <w:ind w:firstLine="480" w:firstLineChars="200"/>
        <w:rPr>
          <w:rFonts w:ascii="宋体" w:hAnsi="宋体" w:cs="宋体"/>
          <w:color w:val="auto"/>
          <w:sz w:val="24"/>
        </w:rPr>
      </w:pPr>
      <w:r>
        <w:rPr>
          <w:rFonts w:hint="eastAsia" w:ascii="宋体" w:hAnsi="宋体" w:cs="宋体"/>
          <w:color w:val="auto"/>
          <w:sz w:val="24"/>
        </w:rPr>
        <w:t>3.发包人和承包人通过招投标形式签订合同的，双方理解并承诺不再就同一工程另行签订与合同实质性内容相背离的协议。</w:t>
      </w:r>
    </w:p>
    <w:p w14:paraId="35563273">
      <w:pPr>
        <w:spacing w:line="440" w:lineRule="exact"/>
        <w:ind w:firstLine="482" w:firstLineChars="200"/>
        <w:rPr>
          <w:rFonts w:ascii="宋体" w:hAnsi="宋体" w:cs="宋体"/>
          <w:b/>
          <w:bCs/>
          <w:color w:val="auto"/>
          <w:sz w:val="24"/>
        </w:rPr>
      </w:pPr>
      <w:r>
        <w:rPr>
          <w:rFonts w:hint="eastAsia" w:ascii="宋体" w:hAnsi="宋体" w:cs="宋体"/>
          <w:b/>
          <w:bCs/>
          <w:color w:val="auto"/>
          <w:sz w:val="24"/>
        </w:rPr>
        <w:t>八、词语含义</w:t>
      </w:r>
    </w:p>
    <w:p w14:paraId="07F9ED8A">
      <w:pPr>
        <w:spacing w:line="440" w:lineRule="exact"/>
        <w:ind w:firstLine="480" w:firstLineChars="200"/>
        <w:rPr>
          <w:rFonts w:ascii="宋体" w:hAnsi="宋体" w:cs="宋体"/>
          <w:color w:val="auto"/>
          <w:sz w:val="24"/>
        </w:rPr>
      </w:pPr>
      <w:r>
        <w:rPr>
          <w:rFonts w:hint="eastAsia" w:ascii="宋体" w:hAnsi="宋体" w:cs="宋体"/>
          <w:color w:val="auto"/>
          <w:sz w:val="24"/>
        </w:rPr>
        <w:t>本协议书中词语含义与第二部分通用合同条款中赋予的含义相同。</w:t>
      </w:r>
    </w:p>
    <w:p w14:paraId="13742E5C">
      <w:pPr>
        <w:spacing w:line="440" w:lineRule="exact"/>
        <w:ind w:firstLine="482" w:firstLineChars="200"/>
        <w:rPr>
          <w:rFonts w:ascii="宋体" w:hAnsi="宋体" w:cs="宋体"/>
          <w:b/>
          <w:bCs/>
          <w:color w:val="auto"/>
          <w:sz w:val="24"/>
        </w:rPr>
      </w:pPr>
      <w:r>
        <w:rPr>
          <w:rFonts w:hint="eastAsia" w:ascii="宋体" w:hAnsi="宋体" w:cs="宋体"/>
          <w:b/>
          <w:bCs/>
          <w:color w:val="auto"/>
          <w:sz w:val="24"/>
        </w:rPr>
        <w:t>九、签订时间</w:t>
      </w:r>
    </w:p>
    <w:p w14:paraId="251DD027">
      <w:pPr>
        <w:spacing w:line="440" w:lineRule="exact"/>
        <w:ind w:firstLine="480" w:firstLineChars="200"/>
        <w:rPr>
          <w:rFonts w:ascii="宋体" w:hAnsi="宋体" w:cs="宋体"/>
          <w:color w:val="auto"/>
          <w:sz w:val="24"/>
        </w:rPr>
      </w:pPr>
      <w:bookmarkStart w:id="4" w:name="tip_risk_bookmark_7"/>
      <w:r>
        <w:rPr>
          <w:rFonts w:hint="eastAsia" w:ascii="宋体" w:hAnsi="宋体" w:cs="宋体"/>
          <w:color w:val="auto"/>
          <w:sz w:val="24"/>
        </w:rPr>
        <w:t>本合同于</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日签订。</w:t>
      </w:r>
      <w:bookmarkEnd w:id="4"/>
    </w:p>
    <w:p w14:paraId="20429506">
      <w:pPr>
        <w:spacing w:line="440" w:lineRule="exact"/>
        <w:ind w:firstLine="482" w:firstLineChars="200"/>
        <w:rPr>
          <w:rFonts w:ascii="宋体" w:hAnsi="宋体" w:cs="宋体"/>
          <w:b/>
          <w:bCs/>
          <w:color w:val="auto"/>
          <w:sz w:val="24"/>
        </w:rPr>
      </w:pPr>
      <w:r>
        <w:rPr>
          <w:rFonts w:hint="eastAsia" w:ascii="宋体" w:hAnsi="宋体" w:cs="宋体"/>
          <w:b/>
          <w:bCs/>
          <w:color w:val="auto"/>
          <w:sz w:val="24"/>
        </w:rPr>
        <w:t>十、签订地点</w:t>
      </w:r>
    </w:p>
    <w:p w14:paraId="0D8F5B4A">
      <w:pPr>
        <w:spacing w:line="440" w:lineRule="exact"/>
        <w:ind w:firstLine="480" w:firstLineChars="200"/>
        <w:rPr>
          <w:rFonts w:ascii="宋体" w:hAnsi="宋体" w:cs="宋体"/>
          <w:color w:val="auto"/>
          <w:sz w:val="24"/>
        </w:rPr>
      </w:pPr>
      <w:r>
        <w:rPr>
          <w:rFonts w:hint="eastAsia" w:ascii="宋体" w:hAnsi="宋体" w:cs="宋体"/>
          <w:color w:val="auto"/>
          <w:sz w:val="24"/>
        </w:rPr>
        <w:t>本合同在</w:t>
      </w:r>
      <w:r>
        <w:rPr>
          <w:rFonts w:hint="eastAsia" w:ascii="宋体" w:hAnsi="宋体" w:cs="宋体"/>
          <w:color w:val="auto"/>
          <w:sz w:val="24"/>
          <w:u w:val="single"/>
        </w:rPr>
        <w:t>南宁市</w:t>
      </w:r>
      <w:r>
        <w:rPr>
          <w:rFonts w:hint="eastAsia" w:ascii="宋体" w:hAnsi="宋体" w:cs="宋体"/>
          <w:color w:val="auto"/>
          <w:sz w:val="24"/>
        </w:rPr>
        <w:t>签订。</w:t>
      </w:r>
    </w:p>
    <w:p w14:paraId="067BBDC3">
      <w:pPr>
        <w:spacing w:line="440" w:lineRule="exact"/>
        <w:ind w:firstLine="482" w:firstLineChars="200"/>
        <w:rPr>
          <w:rFonts w:ascii="宋体" w:hAnsi="宋体" w:cs="宋体"/>
          <w:b/>
          <w:bCs/>
          <w:color w:val="auto"/>
          <w:sz w:val="24"/>
        </w:rPr>
      </w:pPr>
      <w:r>
        <w:rPr>
          <w:rFonts w:hint="eastAsia" w:ascii="宋体" w:hAnsi="宋体" w:cs="宋体"/>
          <w:b/>
          <w:bCs/>
          <w:color w:val="auto"/>
          <w:sz w:val="24"/>
        </w:rPr>
        <w:t>十一、补充协议</w:t>
      </w:r>
    </w:p>
    <w:p w14:paraId="3588EB8B">
      <w:pPr>
        <w:spacing w:line="440" w:lineRule="exact"/>
        <w:ind w:firstLine="480" w:firstLineChars="200"/>
        <w:rPr>
          <w:rFonts w:ascii="宋体" w:hAnsi="宋体" w:cs="宋体"/>
          <w:color w:val="auto"/>
          <w:sz w:val="24"/>
        </w:rPr>
      </w:pPr>
      <w:r>
        <w:rPr>
          <w:rFonts w:hint="eastAsia" w:ascii="宋体" w:hAnsi="宋体" w:cs="宋体"/>
          <w:color w:val="auto"/>
          <w:sz w:val="24"/>
        </w:rPr>
        <w:t>合同未尽事宜，合同当事人另行签订补充协议，补充协议是合同的组成部分。</w:t>
      </w:r>
    </w:p>
    <w:p w14:paraId="7FA3EF4E">
      <w:pPr>
        <w:spacing w:line="440" w:lineRule="exact"/>
        <w:ind w:firstLine="482" w:firstLineChars="200"/>
        <w:rPr>
          <w:rFonts w:ascii="宋体" w:hAnsi="宋体" w:cs="宋体"/>
          <w:b/>
          <w:bCs/>
          <w:color w:val="auto"/>
          <w:sz w:val="24"/>
        </w:rPr>
      </w:pPr>
      <w:r>
        <w:rPr>
          <w:rFonts w:hint="eastAsia" w:ascii="宋体" w:hAnsi="宋体" w:cs="宋体"/>
          <w:b/>
          <w:bCs/>
          <w:color w:val="auto"/>
          <w:sz w:val="24"/>
        </w:rPr>
        <w:t>十二、合同生效</w:t>
      </w:r>
    </w:p>
    <w:p w14:paraId="28E49D36">
      <w:pPr>
        <w:spacing w:line="440" w:lineRule="exact"/>
        <w:ind w:firstLine="480" w:firstLineChars="200"/>
        <w:rPr>
          <w:rFonts w:ascii="宋体" w:hAnsi="宋体" w:cs="宋体"/>
          <w:color w:val="auto"/>
          <w:sz w:val="24"/>
        </w:rPr>
      </w:pPr>
      <w:r>
        <w:rPr>
          <w:rFonts w:hint="eastAsia" w:ascii="宋体" w:hAnsi="宋体" w:cs="宋体"/>
          <w:color w:val="auto"/>
          <w:sz w:val="24"/>
        </w:rPr>
        <w:t>本合同自</w:t>
      </w:r>
      <w:r>
        <w:rPr>
          <w:rFonts w:hint="eastAsia" w:ascii="宋体" w:hAnsi="宋体" w:cs="宋体"/>
          <w:color w:val="auto"/>
          <w:sz w:val="24"/>
          <w:u w:val="single"/>
        </w:rPr>
        <w:t>双方法定代表人或其委托代理人签字并加盖公章之日起</w:t>
      </w:r>
      <w:r>
        <w:rPr>
          <w:rFonts w:hint="eastAsia" w:ascii="宋体" w:hAnsi="宋体" w:cs="宋体"/>
          <w:color w:val="auto"/>
          <w:sz w:val="24"/>
        </w:rPr>
        <w:t>生效。</w:t>
      </w:r>
    </w:p>
    <w:p w14:paraId="72677771">
      <w:pPr>
        <w:spacing w:line="440" w:lineRule="exact"/>
        <w:ind w:firstLine="482" w:firstLineChars="200"/>
        <w:rPr>
          <w:rFonts w:ascii="宋体" w:hAnsi="宋体" w:cs="宋体"/>
          <w:b/>
          <w:bCs/>
          <w:color w:val="auto"/>
          <w:sz w:val="24"/>
        </w:rPr>
      </w:pPr>
      <w:r>
        <w:rPr>
          <w:rFonts w:hint="eastAsia" w:ascii="宋体" w:hAnsi="宋体" w:cs="宋体"/>
          <w:b/>
          <w:bCs/>
          <w:color w:val="auto"/>
          <w:sz w:val="24"/>
        </w:rPr>
        <w:t>十三、合同份数</w:t>
      </w:r>
    </w:p>
    <w:tbl>
      <w:tblPr>
        <w:tblStyle w:val="11"/>
        <w:tblpPr w:leftFromText="180" w:rightFromText="180" w:vertAnchor="text" w:horzAnchor="page" w:tblpX="1378" w:tblpY="852"/>
        <w:tblOverlap w:val="never"/>
        <w:tblW w:w="9390" w:type="dxa"/>
        <w:tblInd w:w="0" w:type="dxa"/>
        <w:tblLayout w:type="fixed"/>
        <w:tblCellMar>
          <w:top w:w="0" w:type="dxa"/>
          <w:left w:w="108" w:type="dxa"/>
          <w:bottom w:w="0" w:type="dxa"/>
          <w:right w:w="108" w:type="dxa"/>
        </w:tblCellMar>
      </w:tblPr>
      <w:tblGrid>
        <w:gridCol w:w="4755"/>
        <w:gridCol w:w="4635"/>
      </w:tblGrid>
      <w:tr w14:paraId="0EB65213">
        <w:tblPrEx>
          <w:tblCellMar>
            <w:top w:w="0" w:type="dxa"/>
            <w:left w:w="108" w:type="dxa"/>
            <w:bottom w:w="0" w:type="dxa"/>
            <w:right w:w="108" w:type="dxa"/>
          </w:tblCellMar>
        </w:tblPrEx>
        <w:trPr>
          <w:trHeight w:val="487" w:hRule="atLeast"/>
        </w:trPr>
        <w:tc>
          <w:tcPr>
            <w:tcW w:w="4755" w:type="dxa"/>
          </w:tcPr>
          <w:p w14:paraId="2EECF677">
            <w:pPr>
              <w:spacing w:line="440" w:lineRule="exact"/>
              <w:rPr>
                <w:rFonts w:ascii="宋体" w:hAnsi="宋体" w:cs="宋体"/>
                <w:color w:val="auto"/>
                <w:sz w:val="24"/>
              </w:rPr>
            </w:pPr>
            <w:r>
              <w:rPr>
                <w:rFonts w:hint="eastAsia" w:ascii="宋体" w:hAnsi="宋体" w:cs="宋体"/>
                <w:color w:val="auto"/>
                <w:sz w:val="24"/>
              </w:rPr>
              <w:t>甲方：广西财经学院（公章）</w:t>
            </w:r>
          </w:p>
        </w:tc>
        <w:tc>
          <w:tcPr>
            <w:tcW w:w="4635" w:type="dxa"/>
          </w:tcPr>
          <w:p w14:paraId="33FF83EA">
            <w:pPr>
              <w:spacing w:line="400" w:lineRule="exact"/>
              <w:jc w:val="left"/>
              <w:rPr>
                <w:rFonts w:ascii="宋体" w:hAnsi="宋体" w:cs="宋体"/>
                <w:color w:val="auto"/>
                <w:sz w:val="24"/>
                <w:highlight w:val="yellow"/>
              </w:rPr>
            </w:pPr>
            <w:r>
              <w:rPr>
                <w:rFonts w:hint="eastAsia" w:ascii="宋体" w:hAnsi="宋体" w:cs="宋体"/>
                <w:color w:val="auto"/>
                <w:sz w:val="24"/>
                <w:highlight w:val="yellow"/>
              </w:rPr>
              <w:t>乙方：</w:t>
            </w:r>
            <w:r>
              <w:rPr>
                <w:rFonts w:hint="eastAsia" w:ascii="宋体" w:hAnsi="宋体" w:cs="宋体"/>
                <w:color w:val="auto"/>
                <w:sz w:val="24"/>
                <w:highlight w:val="yellow"/>
                <w:u w:val="none"/>
                <w:lang w:val="en-US" w:eastAsia="zh-CN"/>
              </w:rPr>
              <w:t xml:space="preserve">               </w:t>
            </w:r>
            <w:r>
              <w:rPr>
                <w:rFonts w:hint="eastAsia" w:ascii="宋体" w:hAnsi="宋体" w:cs="宋体"/>
                <w:color w:val="auto"/>
                <w:sz w:val="24"/>
                <w:highlight w:val="yellow"/>
              </w:rPr>
              <w:t>（</w:t>
            </w:r>
            <w:r>
              <w:rPr>
                <w:rFonts w:ascii="宋体" w:hAnsi="宋体" w:cs="宋体"/>
                <w:color w:val="auto"/>
                <w:sz w:val="24"/>
                <w:highlight w:val="yellow"/>
              </w:rPr>
              <w:t>公章）</w:t>
            </w:r>
          </w:p>
        </w:tc>
      </w:tr>
      <w:tr w14:paraId="7132B7AF">
        <w:tblPrEx>
          <w:tblCellMar>
            <w:top w:w="0" w:type="dxa"/>
            <w:left w:w="108" w:type="dxa"/>
            <w:bottom w:w="0" w:type="dxa"/>
            <w:right w:w="108" w:type="dxa"/>
          </w:tblCellMar>
        </w:tblPrEx>
        <w:trPr>
          <w:trHeight w:val="1229" w:hRule="atLeast"/>
        </w:trPr>
        <w:tc>
          <w:tcPr>
            <w:tcW w:w="4755" w:type="dxa"/>
          </w:tcPr>
          <w:p w14:paraId="5BFCD450">
            <w:pPr>
              <w:spacing w:line="440" w:lineRule="exact"/>
              <w:rPr>
                <w:rFonts w:ascii="宋体" w:hAnsi="宋体" w:cs="宋体"/>
                <w:color w:val="auto"/>
                <w:sz w:val="24"/>
              </w:rPr>
            </w:pPr>
            <w:bookmarkStart w:id="5" w:name="tip_risk_bookmark_8" w:colFirst="0" w:colLast="1"/>
            <w:r>
              <w:rPr>
                <w:rFonts w:hint="eastAsia" w:ascii="宋体" w:hAnsi="宋体" w:cs="宋体"/>
                <w:color w:val="auto"/>
                <w:sz w:val="24"/>
              </w:rPr>
              <w:t>法定代表人或其委托代理人</w:t>
            </w:r>
          </w:p>
          <w:p w14:paraId="577C549C">
            <w:pPr>
              <w:spacing w:line="440" w:lineRule="exact"/>
              <w:ind w:firstLine="480" w:firstLineChars="200"/>
              <w:rPr>
                <w:rFonts w:ascii="宋体" w:hAnsi="宋体" w:cs="宋体"/>
                <w:color w:val="auto"/>
                <w:sz w:val="24"/>
              </w:rPr>
            </w:pPr>
            <w:r>
              <w:rPr>
                <w:rFonts w:hint="eastAsia" w:ascii="宋体" w:hAnsi="宋体" w:cs="宋体"/>
                <w:color w:val="auto"/>
                <w:sz w:val="24"/>
              </w:rPr>
              <w:t>（签字）：</w:t>
            </w:r>
          </w:p>
        </w:tc>
        <w:tc>
          <w:tcPr>
            <w:tcW w:w="4635" w:type="dxa"/>
          </w:tcPr>
          <w:p w14:paraId="0095977D">
            <w:pPr>
              <w:spacing w:line="400" w:lineRule="exact"/>
              <w:jc w:val="left"/>
              <w:rPr>
                <w:color w:val="auto"/>
                <w:highlight w:val="yellow"/>
              </w:rPr>
            </w:pPr>
            <w:r>
              <w:rPr>
                <w:rFonts w:ascii="宋体" w:hAnsi="宋体" w:cs="宋体"/>
                <w:color w:val="auto"/>
                <w:sz w:val="24"/>
                <w:highlight w:val="yellow"/>
              </w:rPr>
              <w:t>法定代表人或其委托代理人</w:t>
            </w:r>
          </w:p>
          <w:p w14:paraId="4E108812">
            <w:pPr>
              <w:spacing w:line="400" w:lineRule="exact"/>
              <w:ind w:firstLine="420"/>
              <w:jc w:val="left"/>
              <w:rPr>
                <w:rFonts w:ascii="宋体" w:hAnsi="宋体" w:cs="宋体"/>
                <w:color w:val="auto"/>
                <w:sz w:val="24"/>
                <w:highlight w:val="yellow"/>
              </w:rPr>
            </w:pPr>
            <w:r>
              <w:rPr>
                <w:rFonts w:ascii="宋体" w:hAnsi="宋体" w:cs="宋体"/>
                <w:color w:val="auto"/>
                <w:sz w:val="24"/>
                <w:highlight w:val="yellow"/>
              </w:rPr>
              <w:t>（签字）：</w:t>
            </w:r>
          </w:p>
        </w:tc>
      </w:tr>
      <w:bookmarkEnd w:id="5"/>
      <w:tr w14:paraId="2F40941D">
        <w:tblPrEx>
          <w:tblCellMar>
            <w:top w:w="0" w:type="dxa"/>
            <w:left w:w="108" w:type="dxa"/>
            <w:bottom w:w="0" w:type="dxa"/>
            <w:right w:w="108" w:type="dxa"/>
          </w:tblCellMar>
        </w:tblPrEx>
        <w:trPr>
          <w:trHeight w:val="442" w:hRule="atLeast"/>
        </w:trPr>
        <w:tc>
          <w:tcPr>
            <w:tcW w:w="4755" w:type="dxa"/>
          </w:tcPr>
          <w:p w14:paraId="6DDF972B">
            <w:pPr>
              <w:spacing w:line="440" w:lineRule="exact"/>
              <w:jc w:val="left"/>
              <w:rPr>
                <w:rFonts w:ascii="宋体" w:hAnsi="宋体" w:cs="宋体"/>
                <w:color w:val="auto"/>
                <w:sz w:val="24"/>
              </w:rPr>
            </w:pPr>
            <w:r>
              <w:rPr>
                <w:rFonts w:hint="eastAsia" w:ascii="宋体" w:hAnsi="宋体" w:cs="宋体"/>
                <w:color w:val="auto"/>
                <w:sz w:val="24"/>
              </w:rPr>
              <w:t>统一社会信用代码：12450000498506139N</w:t>
            </w:r>
          </w:p>
        </w:tc>
        <w:tc>
          <w:tcPr>
            <w:tcW w:w="4635" w:type="dxa"/>
          </w:tcPr>
          <w:p w14:paraId="06DA94AE">
            <w:pPr>
              <w:spacing w:line="400" w:lineRule="exact"/>
              <w:jc w:val="left"/>
              <w:rPr>
                <w:rFonts w:hint="eastAsia" w:ascii="宋体" w:hAnsi="宋体" w:eastAsia="宋体" w:cs="宋体"/>
                <w:color w:val="auto"/>
                <w:sz w:val="24"/>
                <w:highlight w:val="yellow"/>
                <w:lang w:eastAsia="zh-CN"/>
              </w:rPr>
            </w:pPr>
            <w:r>
              <w:rPr>
                <w:rFonts w:ascii="宋体" w:hAnsi="宋体" w:cs="宋体"/>
                <w:color w:val="auto"/>
                <w:sz w:val="24"/>
                <w:highlight w:val="yellow"/>
              </w:rPr>
              <w:t>统一社会信用代码：</w:t>
            </w:r>
            <w:r>
              <w:rPr>
                <w:rFonts w:hint="eastAsia" w:ascii="宋体" w:hAnsi="宋体" w:cs="宋体"/>
                <w:color w:val="auto"/>
                <w:sz w:val="24"/>
                <w:highlight w:val="yellow"/>
                <w:lang w:val="en-US" w:eastAsia="zh-CN"/>
              </w:rPr>
              <w:t xml:space="preserve"> </w:t>
            </w:r>
          </w:p>
        </w:tc>
      </w:tr>
      <w:tr w14:paraId="646A3841">
        <w:tblPrEx>
          <w:tblCellMar>
            <w:top w:w="0" w:type="dxa"/>
            <w:left w:w="108" w:type="dxa"/>
            <w:bottom w:w="0" w:type="dxa"/>
            <w:right w:w="108" w:type="dxa"/>
          </w:tblCellMar>
        </w:tblPrEx>
        <w:trPr>
          <w:trHeight w:val="884" w:hRule="atLeast"/>
        </w:trPr>
        <w:tc>
          <w:tcPr>
            <w:tcW w:w="4755" w:type="dxa"/>
          </w:tcPr>
          <w:p w14:paraId="0637520C">
            <w:pPr>
              <w:spacing w:line="440" w:lineRule="exact"/>
              <w:rPr>
                <w:rFonts w:ascii="宋体" w:hAnsi="宋体" w:cs="宋体"/>
                <w:color w:val="auto"/>
                <w:sz w:val="24"/>
              </w:rPr>
            </w:pPr>
            <w:r>
              <w:rPr>
                <w:rFonts w:hint="eastAsia" w:ascii="宋体" w:hAnsi="宋体" w:cs="宋体"/>
                <w:color w:val="auto"/>
                <w:sz w:val="24"/>
              </w:rPr>
              <w:t>地址：广西南宁市西乡塘区明秀西路100号</w:t>
            </w:r>
          </w:p>
        </w:tc>
        <w:tc>
          <w:tcPr>
            <w:tcW w:w="4635" w:type="dxa"/>
          </w:tcPr>
          <w:p w14:paraId="25F57B10">
            <w:pPr>
              <w:spacing w:line="400" w:lineRule="exact"/>
              <w:jc w:val="left"/>
              <w:rPr>
                <w:rFonts w:ascii="宋体" w:hAnsi="宋体" w:cs="宋体"/>
                <w:color w:val="auto"/>
                <w:sz w:val="24"/>
                <w:highlight w:val="yellow"/>
              </w:rPr>
            </w:pPr>
            <w:r>
              <w:rPr>
                <w:rFonts w:ascii="宋体" w:hAnsi="宋体" w:cs="宋体"/>
                <w:color w:val="auto"/>
                <w:sz w:val="24"/>
                <w:highlight w:val="yellow"/>
              </w:rPr>
              <w:t>地址</w:t>
            </w:r>
            <w:r>
              <w:rPr>
                <w:rFonts w:hint="eastAsia" w:ascii="宋体" w:hAnsi="宋体" w:cs="宋体"/>
                <w:color w:val="auto"/>
                <w:sz w:val="24"/>
                <w:highlight w:val="yellow"/>
              </w:rPr>
              <w:t>：</w:t>
            </w:r>
            <w:r>
              <w:rPr>
                <w:rFonts w:hint="eastAsia" w:ascii="宋体" w:hAnsi="宋体" w:cs="宋体"/>
                <w:color w:val="auto"/>
                <w:sz w:val="24"/>
                <w:highlight w:val="yellow"/>
                <w:lang w:val="en-US" w:eastAsia="zh-CN"/>
              </w:rPr>
              <w:t xml:space="preserve"> </w:t>
            </w:r>
            <w:r>
              <w:rPr>
                <w:rFonts w:hint="eastAsia" w:ascii="宋体" w:hAnsi="宋体" w:cs="宋体"/>
                <w:color w:val="auto"/>
                <w:sz w:val="24"/>
                <w:highlight w:val="yellow"/>
              </w:rPr>
              <w:t xml:space="preserve"> </w:t>
            </w:r>
          </w:p>
        </w:tc>
      </w:tr>
      <w:tr w14:paraId="4DF3C0C3">
        <w:tblPrEx>
          <w:tblCellMar>
            <w:top w:w="0" w:type="dxa"/>
            <w:left w:w="108" w:type="dxa"/>
            <w:bottom w:w="0" w:type="dxa"/>
            <w:right w:w="108" w:type="dxa"/>
          </w:tblCellMar>
        </w:tblPrEx>
        <w:trPr>
          <w:trHeight w:val="442" w:hRule="atLeast"/>
        </w:trPr>
        <w:tc>
          <w:tcPr>
            <w:tcW w:w="4755" w:type="dxa"/>
          </w:tcPr>
          <w:p w14:paraId="78FB01FA">
            <w:pPr>
              <w:spacing w:line="440" w:lineRule="exact"/>
              <w:rPr>
                <w:rFonts w:ascii="宋体" w:hAnsi="宋体" w:cs="宋体"/>
                <w:color w:val="auto"/>
                <w:sz w:val="24"/>
              </w:rPr>
            </w:pPr>
            <w:r>
              <w:rPr>
                <w:rFonts w:hint="eastAsia" w:ascii="宋体" w:hAnsi="宋体" w:cs="宋体"/>
                <w:color w:val="auto"/>
                <w:sz w:val="24"/>
              </w:rPr>
              <w:t>邮政编码：530007</w:t>
            </w:r>
          </w:p>
        </w:tc>
        <w:tc>
          <w:tcPr>
            <w:tcW w:w="4635" w:type="dxa"/>
          </w:tcPr>
          <w:p w14:paraId="62D0132A">
            <w:pPr>
              <w:spacing w:line="400" w:lineRule="exact"/>
              <w:jc w:val="left"/>
              <w:rPr>
                <w:rFonts w:hint="eastAsia" w:ascii="宋体" w:hAnsi="宋体" w:eastAsia="宋体" w:cs="宋体"/>
                <w:color w:val="auto"/>
                <w:sz w:val="24"/>
                <w:highlight w:val="yellow"/>
                <w:lang w:eastAsia="zh-CN"/>
              </w:rPr>
            </w:pPr>
            <w:r>
              <w:rPr>
                <w:rFonts w:ascii="宋体" w:hAnsi="宋体" w:cs="宋体"/>
                <w:color w:val="auto"/>
                <w:sz w:val="24"/>
                <w:highlight w:val="yellow"/>
              </w:rPr>
              <w:t>邮政编码：</w:t>
            </w:r>
            <w:r>
              <w:rPr>
                <w:rFonts w:hint="eastAsia" w:ascii="宋体" w:hAnsi="宋体" w:cs="宋体"/>
                <w:color w:val="auto"/>
                <w:sz w:val="24"/>
                <w:highlight w:val="yellow"/>
                <w:lang w:val="en-US" w:eastAsia="zh-CN"/>
              </w:rPr>
              <w:t xml:space="preserve"> </w:t>
            </w:r>
          </w:p>
        </w:tc>
      </w:tr>
      <w:tr w14:paraId="0E613DDC">
        <w:tblPrEx>
          <w:tblCellMar>
            <w:top w:w="0" w:type="dxa"/>
            <w:left w:w="108" w:type="dxa"/>
            <w:bottom w:w="0" w:type="dxa"/>
            <w:right w:w="108" w:type="dxa"/>
          </w:tblCellMar>
        </w:tblPrEx>
        <w:trPr>
          <w:trHeight w:val="442" w:hRule="atLeast"/>
        </w:trPr>
        <w:tc>
          <w:tcPr>
            <w:tcW w:w="4755" w:type="dxa"/>
          </w:tcPr>
          <w:p w14:paraId="0AD2ACF5">
            <w:pPr>
              <w:spacing w:line="440" w:lineRule="exact"/>
              <w:rPr>
                <w:rFonts w:ascii="宋体" w:hAnsi="宋体" w:cs="宋体"/>
                <w:color w:val="auto"/>
                <w:sz w:val="24"/>
              </w:rPr>
            </w:pPr>
            <w:r>
              <w:rPr>
                <w:rFonts w:hint="eastAsia" w:ascii="宋体" w:hAnsi="宋体" w:cs="宋体"/>
                <w:color w:val="auto"/>
                <w:sz w:val="24"/>
              </w:rPr>
              <w:t>法定代表人：范祚军</w:t>
            </w:r>
          </w:p>
        </w:tc>
        <w:tc>
          <w:tcPr>
            <w:tcW w:w="4635" w:type="dxa"/>
          </w:tcPr>
          <w:p w14:paraId="5A5447B0">
            <w:pPr>
              <w:spacing w:line="400" w:lineRule="exact"/>
              <w:jc w:val="left"/>
              <w:rPr>
                <w:rFonts w:ascii="宋体" w:hAnsi="宋体" w:cs="宋体"/>
                <w:color w:val="auto"/>
                <w:sz w:val="24"/>
                <w:highlight w:val="yellow"/>
              </w:rPr>
            </w:pPr>
            <w:r>
              <w:rPr>
                <w:rFonts w:ascii="宋体" w:hAnsi="宋体" w:cs="宋体"/>
                <w:color w:val="auto"/>
                <w:sz w:val="24"/>
                <w:highlight w:val="yellow"/>
              </w:rPr>
              <w:t>法定代表人：</w:t>
            </w:r>
            <w:r>
              <w:rPr>
                <w:rFonts w:hint="eastAsia" w:ascii="宋体" w:hAnsi="宋体" w:cs="宋体"/>
                <w:color w:val="auto"/>
                <w:sz w:val="24"/>
                <w:highlight w:val="yellow"/>
              </w:rPr>
              <w:t xml:space="preserve"> </w:t>
            </w:r>
          </w:p>
        </w:tc>
      </w:tr>
      <w:tr w14:paraId="2F9846B4">
        <w:tblPrEx>
          <w:tblCellMar>
            <w:top w:w="0" w:type="dxa"/>
            <w:left w:w="108" w:type="dxa"/>
            <w:bottom w:w="0" w:type="dxa"/>
            <w:right w:w="108" w:type="dxa"/>
          </w:tblCellMar>
        </w:tblPrEx>
        <w:trPr>
          <w:trHeight w:val="442" w:hRule="atLeast"/>
        </w:trPr>
        <w:tc>
          <w:tcPr>
            <w:tcW w:w="4755" w:type="dxa"/>
          </w:tcPr>
          <w:p w14:paraId="4A600CFC">
            <w:pPr>
              <w:spacing w:line="440" w:lineRule="exact"/>
              <w:rPr>
                <w:rFonts w:hint="eastAsia" w:ascii="宋体" w:hAnsi="宋体" w:eastAsia="宋体" w:cs="宋体"/>
                <w:color w:val="auto"/>
                <w:sz w:val="24"/>
                <w:lang w:eastAsia="zh-CN"/>
              </w:rPr>
            </w:pPr>
            <w:r>
              <w:rPr>
                <w:rFonts w:hint="eastAsia" w:ascii="宋体" w:hAnsi="宋体" w:cs="宋体"/>
                <w:color w:val="auto"/>
                <w:sz w:val="24"/>
              </w:rPr>
              <w:t>委托代理人：</w:t>
            </w:r>
            <w:r>
              <w:rPr>
                <w:rFonts w:hint="eastAsia" w:ascii="宋体" w:hAnsi="宋体" w:cs="宋体"/>
                <w:color w:val="auto"/>
                <w:sz w:val="24"/>
                <w:lang w:val="en-US" w:eastAsia="zh-CN"/>
              </w:rPr>
              <w:t>李若海</w:t>
            </w:r>
          </w:p>
        </w:tc>
        <w:tc>
          <w:tcPr>
            <w:tcW w:w="4635" w:type="dxa"/>
          </w:tcPr>
          <w:p w14:paraId="62362ABA">
            <w:pPr>
              <w:spacing w:line="400" w:lineRule="exact"/>
              <w:jc w:val="left"/>
              <w:rPr>
                <w:rFonts w:ascii="宋体" w:hAnsi="宋体" w:cs="宋体"/>
                <w:color w:val="auto"/>
                <w:sz w:val="24"/>
                <w:highlight w:val="yellow"/>
              </w:rPr>
            </w:pPr>
            <w:r>
              <w:rPr>
                <w:rFonts w:ascii="宋体" w:hAnsi="宋体" w:cs="宋体"/>
                <w:color w:val="auto"/>
                <w:sz w:val="24"/>
                <w:highlight w:val="yellow"/>
              </w:rPr>
              <w:t>委托代理人：</w:t>
            </w:r>
            <w:r>
              <w:rPr>
                <w:rFonts w:hint="eastAsia" w:ascii="宋体" w:hAnsi="宋体" w:cs="宋体"/>
                <w:color w:val="auto"/>
                <w:sz w:val="24"/>
                <w:highlight w:val="yellow"/>
              </w:rPr>
              <w:t xml:space="preserve"> </w:t>
            </w:r>
          </w:p>
        </w:tc>
      </w:tr>
      <w:tr w14:paraId="634573F7">
        <w:tblPrEx>
          <w:tblCellMar>
            <w:top w:w="0" w:type="dxa"/>
            <w:left w:w="108" w:type="dxa"/>
            <w:bottom w:w="0" w:type="dxa"/>
            <w:right w:w="108" w:type="dxa"/>
          </w:tblCellMar>
        </w:tblPrEx>
        <w:trPr>
          <w:trHeight w:val="442" w:hRule="atLeast"/>
        </w:trPr>
        <w:tc>
          <w:tcPr>
            <w:tcW w:w="4755" w:type="dxa"/>
          </w:tcPr>
          <w:p w14:paraId="54A91D3C">
            <w:pPr>
              <w:spacing w:line="440" w:lineRule="exact"/>
              <w:rPr>
                <w:rFonts w:ascii="宋体" w:hAnsi="宋体" w:cs="宋体"/>
                <w:color w:val="auto"/>
                <w:sz w:val="24"/>
              </w:rPr>
            </w:pPr>
            <w:r>
              <w:rPr>
                <w:rFonts w:hint="eastAsia" w:ascii="宋体" w:hAnsi="宋体" w:cs="宋体"/>
                <w:color w:val="auto"/>
                <w:sz w:val="24"/>
              </w:rPr>
              <w:t>电话：</w:t>
            </w:r>
          </w:p>
        </w:tc>
        <w:tc>
          <w:tcPr>
            <w:tcW w:w="4635" w:type="dxa"/>
          </w:tcPr>
          <w:p w14:paraId="5F97C285">
            <w:pPr>
              <w:spacing w:line="400" w:lineRule="exact"/>
              <w:jc w:val="left"/>
              <w:rPr>
                <w:rFonts w:hint="eastAsia" w:eastAsia="宋体"/>
                <w:color w:val="auto"/>
                <w:sz w:val="32"/>
                <w:szCs w:val="32"/>
                <w:highlight w:val="yellow"/>
                <w:lang w:val="en-US" w:eastAsia="zh-CN"/>
              </w:rPr>
            </w:pPr>
            <w:r>
              <w:rPr>
                <w:rFonts w:ascii="宋体" w:hAnsi="宋体" w:cs="宋体"/>
                <w:color w:val="auto"/>
                <w:sz w:val="24"/>
                <w:highlight w:val="yellow"/>
              </w:rPr>
              <w:t>电话：</w:t>
            </w:r>
            <w:r>
              <w:rPr>
                <w:rFonts w:hint="eastAsia" w:ascii="宋体" w:hAnsi="宋体" w:cs="宋体"/>
                <w:color w:val="auto"/>
                <w:sz w:val="24"/>
                <w:highlight w:val="yellow"/>
                <w:lang w:val="en-US" w:eastAsia="zh-CN"/>
              </w:rPr>
              <w:t xml:space="preserve"> </w:t>
            </w:r>
          </w:p>
          <w:p w14:paraId="6650E1BF">
            <w:pPr>
              <w:spacing w:line="400" w:lineRule="exact"/>
              <w:jc w:val="left"/>
              <w:rPr>
                <w:rFonts w:ascii="宋体" w:hAnsi="宋体" w:cs="宋体"/>
                <w:color w:val="auto"/>
                <w:sz w:val="24"/>
                <w:highlight w:val="yellow"/>
              </w:rPr>
            </w:pPr>
          </w:p>
        </w:tc>
      </w:tr>
      <w:tr w14:paraId="12CEABEA">
        <w:tblPrEx>
          <w:tblCellMar>
            <w:top w:w="0" w:type="dxa"/>
            <w:left w:w="108" w:type="dxa"/>
            <w:bottom w:w="0" w:type="dxa"/>
            <w:right w:w="108" w:type="dxa"/>
          </w:tblCellMar>
        </w:tblPrEx>
        <w:trPr>
          <w:trHeight w:val="442" w:hRule="atLeast"/>
        </w:trPr>
        <w:tc>
          <w:tcPr>
            <w:tcW w:w="4755" w:type="dxa"/>
          </w:tcPr>
          <w:p w14:paraId="47D08FD1">
            <w:pPr>
              <w:spacing w:line="440" w:lineRule="exact"/>
              <w:rPr>
                <w:rFonts w:ascii="宋体" w:hAnsi="宋体" w:cs="宋体"/>
                <w:color w:val="auto"/>
                <w:sz w:val="24"/>
              </w:rPr>
            </w:pPr>
            <w:r>
              <w:rPr>
                <w:rFonts w:hint="eastAsia" w:ascii="宋体" w:hAnsi="宋体" w:cs="宋体"/>
                <w:color w:val="auto"/>
                <w:sz w:val="24"/>
              </w:rPr>
              <w:t>传真：/</w:t>
            </w:r>
          </w:p>
        </w:tc>
        <w:tc>
          <w:tcPr>
            <w:tcW w:w="4635" w:type="dxa"/>
          </w:tcPr>
          <w:p w14:paraId="4B8B98D0">
            <w:pPr>
              <w:spacing w:line="400" w:lineRule="exact"/>
              <w:jc w:val="left"/>
              <w:rPr>
                <w:rFonts w:hint="eastAsia" w:ascii="宋体" w:hAnsi="宋体" w:eastAsia="宋体" w:cs="宋体"/>
                <w:color w:val="auto"/>
                <w:sz w:val="24"/>
                <w:highlight w:val="yellow"/>
                <w:lang w:eastAsia="zh-CN"/>
              </w:rPr>
            </w:pPr>
            <w:r>
              <w:rPr>
                <w:rFonts w:hint="eastAsia" w:ascii="宋体" w:hAnsi="宋体" w:cs="宋体"/>
                <w:color w:val="auto"/>
                <w:sz w:val="24"/>
                <w:highlight w:val="yellow"/>
              </w:rPr>
              <w:t>传真：</w:t>
            </w:r>
            <w:r>
              <w:rPr>
                <w:rFonts w:hint="eastAsia" w:ascii="宋体" w:hAnsi="宋体" w:cs="宋体"/>
                <w:color w:val="auto"/>
                <w:sz w:val="24"/>
                <w:highlight w:val="yellow"/>
                <w:lang w:val="en-US" w:eastAsia="zh-CN"/>
              </w:rPr>
              <w:t xml:space="preserve"> </w:t>
            </w:r>
          </w:p>
        </w:tc>
      </w:tr>
      <w:tr w14:paraId="0580F4F3">
        <w:tblPrEx>
          <w:tblCellMar>
            <w:top w:w="0" w:type="dxa"/>
            <w:left w:w="108" w:type="dxa"/>
            <w:bottom w:w="0" w:type="dxa"/>
            <w:right w:w="108" w:type="dxa"/>
          </w:tblCellMar>
        </w:tblPrEx>
        <w:trPr>
          <w:trHeight w:val="442" w:hRule="atLeast"/>
        </w:trPr>
        <w:tc>
          <w:tcPr>
            <w:tcW w:w="4755" w:type="dxa"/>
          </w:tcPr>
          <w:p w14:paraId="1844896B">
            <w:pPr>
              <w:spacing w:line="440" w:lineRule="exact"/>
              <w:rPr>
                <w:rFonts w:ascii="宋体" w:hAnsi="宋体" w:cs="宋体"/>
                <w:color w:val="auto"/>
                <w:sz w:val="24"/>
              </w:rPr>
            </w:pPr>
            <w:r>
              <w:rPr>
                <w:rFonts w:hint="eastAsia" w:ascii="宋体" w:hAnsi="宋体" w:cs="宋体"/>
                <w:color w:val="auto"/>
                <w:sz w:val="24"/>
              </w:rPr>
              <w:t>电子信箱：/</w:t>
            </w:r>
          </w:p>
        </w:tc>
        <w:tc>
          <w:tcPr>
            <w:tcW w:w="4635" w:type="dxa"/>
          </w:tcPr>
          <w:p w14:paraId="6AD97B98">
            <w:pPr>
              <w:spacing w:line="400" w:lineRule="exact"/>
              <w:jc w:val="left"/>
              <w:rPr>
                <w:rFonts w:hint="eastAsia" w:ascii="宋体" w:hAnsi="宋体" w:eastAsia="宋体" w:cs="宋体"/>
                <w:color w:val="auto"/>
                <w:sz w:val="24"/>
                <w:highlight w:val="yellow"/>
                <w:lang w:eastAsia="zh-CN"/>
              </w:rPr>
            </w:pPr>
            <w:r>
              <w:rPr>
                <w:rFonts w:hint="eastAsia" w:ascii="宋体" w:hAnsi="宋体" w:cs="宋体"/>
                <w:color w:val="auto"/>
                <w:sz w:val="24"/>
                <w:highlight w:val="yellow"/>
              </w:rPr>
              <w:t>电子信箱：</w:t>
            </w:r>
            <w:r>
              <w:rPr>
                <w:rFonts w:hint="eastAsia" w:ascii="宋体" w:hAnsi="宋体" w:cs="宋体"/>
                <w:color w:val="auto"/>
                <w:sz w:val="24"/>
                <w:highlight w:val="yellow"/>
                <w:lang w:val="en-US" w:eastAsia="zh-CN"/>
              </w:rPr>
              <w:t xml:space="preserve"> </w:t>
            </w:r>
          </w:p>
        </w:tc>
      </w:tr>
      <w:tr w14:paraId="57234BC1">
        <w:tblPrEx>
          <w:tblCellMar>
            <w:top w:w="0" w:type="dxa"/>
            <w:left w:w="108" w:type="dxa"/>
            <w:bottom w:w="0" w:type="dxa"/>
            <w:right w:w="108" w:type="dxa"/>
          </w:tblCellMar>
        </w:tblPrEx>
        <w:trPr>
          <w:trHeight w:val="442" w:hRule="atLeast"/>
        </w:trPr>
        <w:tc>
          <w:tcPr>
            <w:tcW w:w="4755" w:type="dxa"/>
          </w:tcPr>
          <w:p w14:paraId="437ED69E">
            <w:pPr>
              <w:spacing w:line="440" w:lineRule="exact"/>
              <w:rPr>
                <w:rFonts w:ascii="宋体" w:hAnsi="宋体" w:cs="宋体"/>
                <w:color w:val="auto"/>
                <w:sz w:val="24"/>
              </w:rPr>
            </w:pPr>
            <w:r>
              <w:rPr>
                <w:rFonts w:hint="eastAsia" w:ascii="宋体" w:hAnsi="宋体" w:cs="宋体"/>
                <w:color w:val="auto"/>
                <w:sz w:val="24"/>
              </w:rPr>
              <w:t>开户银行：中国银行南宁明秀西路支行</w:t>
            </w:r>
          </w:p>
        </w:tc>
        <w:tc>
          <w:tcPr>
            <w:tcW w:w="4635" w:type="dxa"/>
          </w:tcPr>
          <w:p w14:paraId="2D7ACEF3">
            <w:pPr>
              <w:spacing w:line="400" w:lineRule="exact"/>
              <w:jc w:val="left"/>
              <w:rPr>
                <w:rFonts w:hint="eastAsia" w:ascii="宋体" w:hAnsi="宋体" w:eastAsia="宋体" w:cs="宋体"/>
                <w:color w:val="auto"/>
                <w:sz w:val="24"/>
                <w:highlight w:val="yellow"/>
                <w:lang w:eastAsia="zh-CN"/>
              </w:rPr>
            </w:pPr>
            <w:r>
              <w:rPr>
                <w:rFonts w:ascii="宋体" w:hAnsi="宋体" w:cs="宋体"/>
                <w:color w:val="auto"/>
                <w:sz w:val="24"/>
                <w:highlight w:val="yellow"/>
              </w:rPr>
              <w:t>开户银行：</w:t>
            </w:r>
            <w:r>
              <w:rPr>
                <w:rFonts w:hint="eastAsia" w:ascii="宋体" w:hAnsi="宋体" w:cs="宋体"/>
                <w:color w:val="auto"/>
                <w:sz w:val="24"/>
                <w:highlight w:val="yellow"/>
                <w:lang w:val="en-US" w:eastAsia="zh-CN"/>
              </w:rPr>
              <w:t xml:space="preserve"> </w:t>
            </w:r>
          </w:p>
        </w:tc>
      </w:tr>
      <w:tr w14:paraId="5092733A">
        <w:tblPrEx>
          <w:tblCellMar>
            <w:top w:w="0" w:type="dxa"/>
            <w:left w:w="108" w:type="dxa"/>
            <w:bottom w:w="0" w:type="dxa"/>
            <w:right w:w="108" w:type="dxa"/>
          </w:tblCellMar>
        </w:tblPrEx>
        <w:trPr>
          <w:trHeight w:val="442" w:hRule="atLeast"/>
        </w:trPr>
        <w:tc>
          <w:tcPr>
            <w:tcW w:w="4755" w:type="dxa"/>
          </w:tcPr>
          <w:p w14:paraId="12C1CCB0">
            <w:pPr>
              <w:spacing w:line="440" w:lineRule="exact"/>
              <w:rPr>
                <w:rFonts w:ascii="宋体" w:hAnsi="宋体" w:cs="宋体"/>
                <w:color w:val="auto"/>
                <w:sz w:val="24"/>
              </w:rPr>
            </w:pPr>
            <w:r>
              <w:rPr>
                <w:rFonts w:hint="eastAsia" w:ascii="宋体" w:hAnsi="宋体" w:cs="宋体"/>
                <w:color w:val="auto"/>
                <w:sz w:val="24"/>
              </w:rPr>
              <w:t>账号：611957485481</w:t>
            </w:r>
          </w:p>
        </w:tc>
        <w:tc>
          <w:tcPr>
            <w:tcW w:w="4635" w:type="dxa"/>
          </w:tcPr>
          <w:p w14:paraId="411DF8A2">
            <w:pPr>
              <w:spacing w:line="400" w:lineRule="exact"/>
              <w:jc w:val="left"/>
              <w:rPr>
                <w:rFonts w:hint="eastAsia" w:ascii="宋体" w:hAnsi="宋体" w:eastAsia="宋体" w:cs="宋体"/>
                <w:color w:val="auto"/>
                <w:sz w:val="24"/>
                <w:highlight w:val="yellow"/>
                <w:lang w:eastAsia="zh-CN"/>
              </w:rPr>
            </w:pPr>
            <w:r>
              <w:rPr>
                <w:rFonts w:ascii="宋体" w:hAnsi="宋体" w:cs="宋体"/>
                <w:color w:val="auto"/>
                <w:sz w:val="24"/>
                <w:highlight w:val="yellow"/>
              </w:rPr>
              <w:t>账号：</w:t>
            </w:r>
            <w:r>
              <w:rPr>
                <w:rFonts w:hint="eastAsia" w:ascii="宋体" w:hAnsi="宋体" w:cs="宋体"/>
                <w:color w:val="auto"/>
                <w:sz w:val="24"/>
                <w:highlight w:val="yellow"/>
                <w:lang w:val="en-US" w:eastAsia="zh-CN"/>
              </w:rPr>
              <w:t xml:space="preserve"> </w:t>
            </w:r>
          </w:p>
        </w:tc>
      </w:tr>
    </w:tbl>
    <w:p w14:paraId="097AC690">
      <w:pPr>
        <w:spacing w:line="440" w:lineRule="exact"/>
        <w:ind w:firstLine="480" w:firstLineChars="200"/>
        <w:rPr>
          <w:rFonts w:ascii="宋体" w:hAnsi="宋体" w:cs="宋体"/>
          <w:b/>
          <w:bCs/>
          <w:color w:val="auto"/>
          <w:sz w:val="32"/>
          <w:szCs w:val="32"/>
        </w:rPr>
      </w:pPr>
      <w:r>
        <w:rPr>
          <w:rFonts w:hint="eastAsia" w:ascii="宋体" w:hAnsi="宋体" w:cs="宋体"/>
          <w:color w:val="auto"/>
          <w:sz w:val="24"/>
        </w:rPr>
        <w:t>本合同一式</w:t>
      </w:r>
      <w:r>
        <w:rPr>
          <w:rFonts w:hint="eastAsia" w:ascii="宋体" w:hAnsi="宋体" w:cs="宋体"/>
          <w:color w:val="auto"/>
          <w:sz w:val="24"/>
          <w:u w:val="single"/>
        </w:rPr>
        <w:t>捌</w:t>
      </w:r>
      <w:r>
        <w:rPr>
          <w:rFonts w:hint="eastAsia" w:ascii="宋体" w:hAnsi="宋体" w:cs="宋体"/>
          <w:color w:val="auto"/>
          <w:sz w:val="24"/>
        </w:rPr>
        <w:t>份，均具有同等法律效力，发包人执</w:t>
      </w:r>
      <w:r>
        <w:rPr>
          <w:rFonts w:hint="eastAsia" w:ascii="宋体" w:hAnsi="宋体" w:cs="宋体"/>
          <w:color w:val="auto"/>
          <w:sz w:val="24"/>
          <w:u w:val="single"/>
        </w:rPr>
        <w:t>陆</w:t>
      </w:r>
      <w:r>
        <w:rPr>
          <w:rFonts w:hint="eastAsia" w:ascii="宋体" w:hAnsi="宋体" w:cs="宋体"/>
          <w:color w:val="auto"/>
          <w:sz w:val="24"/>
        </w:rPr>
        <w:t>份，承包人执</w:t>
      </w:r>
      <w:r>
        <w:rPr>
          <w:rFonts w:hint="eastAsia" w:ascii="宋体" w:hAnsi="宋体" w:cs="宋体"/>
          <w:color w:val="auto"/>
          <w:sz w:val="24"/>
          <w:u w:val="single"/>
        </w:rPr>
        <w:t>贰</w:t>
      </w:r>
      <w:r>
        <w:rPr>
          <w:rFonts w:hint="eastAsia" w:ascii="宋体" w:hAnsi="宋体" w:cs="宋体"/>
          <w:color w:val="auto"/>
          <w:sz w:val="24"/>
        </w:rPr>
        <w:t>份。</w:t>
      </w:r>
    </w:p>
    <w:p w14:paraId="485C694F">
      <w:pPr>
        <w:rPr>
          <w:rFonts w:ascii="宋体" w:hAnsi="宋体" w:cs="宋体"/>
          <w:b/>
          <w:bCs/>
          <w:color w:val="auto"/>
          <w:sz w:val="32"/>
          <w:szCs w:val="32"/>
        </w:rPr>
      </w:pPr>
      <w:r>
        <w:rPr>
          <w:rFonts w:hint="eastAsia" w:ascii="宋体" w:hAnsi="宋体" w:cs="宋体"/>
          <w:b/>
          <w:bCs/>
          <w:color w:val="auto"/>
          <w:sz w:val="32"/>
          <w:szCs w:val="32"/>
        </w:rPr>
        <w:br w:type="page"/>
      </w:r>
    </w:p>
    <w:p w14:paraId="5F44FA96">
      <w:pPr>
        <w:keepNext/>
        <w:keepLines/>
        <w:spacing w:before="260" w:after="260" w:line="415" w:lineRule="auto"/>
        <w:jc w:val="center"/>
        <w:rPr>
          <w:rFonts w:ascii="宋体" w:hAnsi="宋体" w:cs="宋体"/>
          <w:b/>
          <w:bCs/>
          <w:color w:val="auto"/>
          <w:sz w:val="32"/>
          <w:szCs w:val="32"/>
        </w:rPr>
      </w:pPr>
      <w:r>
        <w:rPr>
          <w:rFonts w:hint="eastAsia" w:ascii="宋体" w:hAnsi="宋体" w:cs="宋体"/>
          <w:b/>
          <w:bCs/>
          <w:color w:val="auto"/>
          <w:sz w:val="32"/>
          <w:szCs w:val="32"/>
        </w:rPr>
        <w:t>二、通用合同条款</w:t>
      </w:r>
    </w:p>
    <w:p w14:paraId="169DDA46">
      <w:pPr>
        <w:keepNext/>
        <w:keepLines/>
        <w:spacing w:before="260" w:after="260" w:line="415" w:lineRule="auto"/>
        <w:jc w:val="center"/>
        <w:rPr>
          <w:rFonts w:ascii="宋体" w:hAnsi="宋体" w:cs="宋体"/>
          <w:b/>
          <w:bCs/>
          <w:color w:val="auto"/>
          <w:sz w:val="28"/>
          <w:szCs w:val="28"/>
        </w:rPr>
      </w:pPr>
      <w:r>
        <w:rPr>
          <w:rFonts w:hint="eastAsia" w:ascii="宋体" w:hAnsi="宋体" w:cs="宋体"/>
          <w:b/>
          <w:bCs/>
          <w:color w:val="auto"/>
          <w:sz w:val="28"/>
          <w:szCs w:val="28"/>
        </w:rPr>
        <w:t>采用《建设工程施工合同（示范文本）》（GF—2017—0201）</w:t>
      </w:r>
    </w:p>
    <w:p w14:paraId="2E909E0A">
      <w:pPr>
        <w:keepNext/>
        <w:keepLines/>
        <w:spacing w:before="260" w:after="260" w:line="415" w:lineRule="auto"/>
        <w:jc w:val="center"/>
        <w:rPr>
          <w:rFonts w:ascii="宋体" w:hAnsi="宋体" w:cs="宋体"/>
          <w:b/>
          <w:bCs/>
          <w:color w:val="auto"/>
          <w:sz w:val="32"/>
          <w:szCs w:val="32"/>
        </w:rPr>
      </w:pPr>
      <w:r>
        <w:rPr>
          <w:rFonts w:hint="eastAsia" w:ascii="宋体" w:hAnsi="宋体" w:cs="宋体"/>
          <w:b/>
          <w:bCs/>
          <w:color w:val="auto"/>
          <w:sz w:val="32"/>
          <w:szCs w:val="32"/>
        </w:rPr>
        <w:t>三、专用合同条款</w:t>
      </w:r>
    </w:p>
    <w:p w14:paraId="72865D7A">
      <w:pPr>
        <w:spacing w:line="440" w:lineRule="exact"/>
        <w:ind w:firstLine="482" w:firstLineChars="200"/>
        <w:rPr>
          <w:rFonts w:ascii="宋体" w:hAnsi="宋体" w:cs="宋体"/>
          <w:b/>
          <w:bCs/>
          <w:color w:val="auto"/>
          <w:sz w:val="24"/>
        </w:rPr>
      </w:pPr>
      <w:r>
        <w:rPr>
          <w:rFonts w:hint="eastAsia" w:ascii="宋体" w:hAnsi="宋体" w:cs="宋体"/>
          <w:b/>
          <w:bCs/>
          <w:color w:val="auto"/>
          <w:sz w:val="24"/>
        </w:rPr>
        <w:t>1.一般约定</w:t>
      </w:r>
    </w:p>
    <w:p w14:paraId="21F71A40">
      <w:pPr>
        <w:tabs>
          <w:tab w:val="left" w:pos="4188"/>
        </w:tabs>
        <w:rPr>
          <w:rFonts w:ascii="宋体" w:hAnsi="宋体" w:cs="宋体"/>
          <w:color w:val="auto"/>
          <w:sz w:val="24"/>
        </w:rPr>
      </w:pPr>
      <w:r>
        <w:rPr>
          <w:rFonts w:ascii="宋体" w:hAnsi="宋体" w:cs="宋体"/>
          <w:color w:val="auto"/>
          <w:sz w:val="24"/>
        </w:rPr>
        <w:tab/>
      </w:r>
    </w:p>
    <w:p w14:paraId="3DC435FC">
      <w:pPr>
        <w:spacing w:line="440" w:lineRule="exact"/>
        <w:ind w:firstLine="480" w:firstLineChars="200"/>
        <w:rPr>
          <w:rFonts w:ascii="宋体" w:hAnsi="宋体" w:cs="宋体"/>
          <w:color w:val="auto"/>
          <w:sz w:val="24"/>
        </w:rPr>
      </w:pPr>
      <w:r>
        <w:rPr>
          <w:rFonts w:hint="eastAsia" w:ascii="宋体" w:hAnsi="宋体" w:cs="宋体"/>
          <w:color w:val="auto"/>
          <w:sz w:val="24"/>
        </w:rPr>
        <w:t>1.1 词语定义</w:t>
      </w:r>
    </w:p>
    <w:p w14:paraId="4321C79C">
      <w:pPr>
        <w:spacing w:line="440" w:lineRule="exact"/>
        <w:ind w:firstLine="480" w:firstLineChars="200"/>
        <w:rPr>
          <w:rFonts w:ascii="宋体" w:hAnsi="宋体" w:cs="宋体"/>
          <w:color w:val="auto"/>
          <w:sz w:val="24"/>
        </w:rPr>
      </w:pPr>
      <w:r>
        <w:rPr>
          <w:rFonts w:hint="eastAsia" w:ascii="宋体" w:hAnsi="宋体" w:cs="宋体"/>
          <w:color w:val="auto"/>
          <w:sz w:val="24"/>
        </w:rPr>
        <w:t>1.1.1 合同</w:t>
      </w:r>
    </w:p>
    <w:p w14:paraId="31C02033">
      <w:pPr>
        <w:spacing w:line="440" w:lineRule="exact"/>
        <w:ind w:firstLine="480" w:firstLineChars="200"/>
        <w:rPr>
          <w:rFonts w:ascii="宋体" w:hAnsi="宋体" w:cs="宋体"/>
          <w:color w:val="auto"/>
          <w:sz w:val="24"/>
        </w:rPr>
      </w:pPr>
      <w:r>
        <w:rPr>
          <w:rFonts w:hint="eastAsia" w:ascii="宋体" w:hAnsi="宋体" w:cs="宋体"/>
          <w:color w:val="auto"/>
          <w:sz w:val="24"/>
        </w:rPr>
        <w:t>1.1.1.1 其他合同文件包括：</w:t>
      </w:r>
      <w:r>
        <w:rPr>
          <w:rFonts w:ascii="宋体" w:hAnsi="宋体" w:cs="宋体"/>
          <w:color w:val="auto"/>
          <w:sz w:val="24"/>
          <w:u w:val="single"/>
        </w:rPr>
        <w:t xml:space="preserve">   /    </w:t>
      </w:r>
    </w:p>
    <w:p w14:paraId="0E814FD2">
      <w:pPr>
        <w:spacing w:line="440" w:lineRule="exact"/>
        <w:ind w:firstLine="480" w:firstLineChars="200"/>
        <w:rPr>
          <w:rFonts w:ascii="宋体" w:hAnsi="宋体" w:cs="宋体"/>
          <w:color w:val="auto"/>
          <w:sz w:val="24"/>
        </w:rPr>
      </w:pPr>
      <w:r>
        <w:rPr>
          <w:rFonts w:hint="eastAsia" w:ascii="宋体" w:hAnsi="宋体" w:cs="宋体"/>
          <w:color w:val="auto"/>
          <w:sz w:val="24"/>
        </w:rPr>
        <w:t>1.1.2 合同当事人及其他相关方</w:t>
      </w:r>
    </w:p>
    <w:p w14:paraId="186A5F2D">
      <w:pPr>
        <w:spacing w:line="440" w:lineRule="exact"/>
        <w:ind w:firstLine="480" w:firstLineChars="200"/>
        <w:rPr>
          <w:rFonts w:ascii="宋体" w:hAnsi="宋体" w:cs="宋体"/>
          <w:color w:val="auto"/>
          <w:sz w:val="24"/>
        </w:rPr>
      </w:pPr>
      <w:r>
        <w:rPr>
          <w:rFonts w:hint="eastAsia" w:ascii="宋体" w:hAnsi="宋体" w:cs="宋体"/>
          <w:color w:val="auto"/>
          <w:sz w:val="24"/>
        </w:rPr>
        <w:t>1.1.2.1 监理人：</w:t>
      </w:r>
    </w:p>
    <w:p w14:paraId="7998DF41">
      <w:pPr>
        <w:spacing w:line="440" w:lineRule="exact"/>
        <w:ind w:firstLine="480" w:firstLineChars="200"/>
        <w:rPr>
          <w:rFonts w:ascii="宋体" w:hAnsi="宋体" w:cs="宋体"/>
          <w:color w:val="auto"/>
          <w:sz w:val="24"/>
        </w:rPr>
      </w:pPr>
      <w:r>
        <w:rPr>
          <w:rFonts w:hint="eastAsia" w:ascii="宋体" w:hAnsi="宋体" w:cs="宋体"/>
          <w:color w:val="auto"/>
          <w:sz w:val="24"/>
        </w:rPr>
        <w:t>名称：</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  </w:t>
      </w:r>
      <w:r>
        <w:rPr>
          <w:rFonts w:hint="eastAsia" w:ascii="宋体" w:hAnsi="宋体" w:cs="宋体"/>
          <w:color w:val="auto"/>
          <w:sz w:val="24"/>
        </w:rPr>
        <w:t>；</w:t>
      </w:r>
    </w:p>
    <w:p w14:paraId="79BC63EE">
      <w:pPr>
        <w:spacing w:line="440" w:lineRule="exact"/>
        <w:ind w:firstLine="480" w:firstLineChars="200"/>
        <w:rPr>
          <w:rFonts w:ascii="宋体" w:hAnsi="宋体" w:cs="宋体"/>
          <w:color w:val="auto"/>
          <w:sz w:val="24"/>
        </w:rPr>
      </w:pPr>
      <w:r>
        <w:rPr>
          <w:rFonts w:hint="eastAsia" w:ascii="宋体" w:hAnsi="宋体" w:cs="宋体"/>
          <w:color w:val="auto"/>
          <w:sz w:val="24"/>
        </w:rPr>
        <w:t>资质类别和等级：</w:t>
      </w:r>
      <w:r>
        <w:rPr>
          <w:rFonts w:ascii="宋体" w:hAnsi="宋体" w:cs="宋体"/>
          <w:color w:val="auto"/>
          <w:sz w:val="24"/>
          <w:u w:val="single"/>
        </w:rPr>
        <w:t xml:space="preserve">    /      </w:t>
      </w:r>
      <w:r>
        <w:rPr>
          <w:rFonts w:hint="eastAsia" w:ascii="宋体" w:hAnsi="宋体" w:cs="宋体"/>
          <w:color w:val="auto"/>
          <w:sz w:val="24"/>
        </w:rPr>
        <w:t>；</w:t>
      </w:r>
    </w:p>
    <w:p w14:paraId="1CEAC09A">
      <w:pPr>
        <w:spacing w:line="440" w:lineRule="exact"/>
        <w:ind w:firstLine="480" w:firstLineChars="200"/>
        <w:rPr>
          <w:rFonts w:ascii="宋体" w:hAnsi="宋体" w:cs="宋体"/>
          <w:color w:val="auto"/>
          <w:sz w:val="24"/>
        </w:rPr>
      </w:pPr>
      <w:r>
        <w:rPr>
          <w:rFonts w:hint="eastAsia" w:ascii="宋体" w:hAnsi="宋体" w:cs="宋体"/>
          <w:color w:val="auto"/>
          <w:sz w:val="24"/>
        </w:rPr>
        <w:t>联系电话：</w:t>
      </w:r>
      <w:r>
        <w:rPr>
          <w:rFonts w:ascii="宋体" w:hAnsi="宋体" w:cs="宋体"/>
          <w:color w:val="auto"/>
          <w:sz w:val="24"/>
          <w:u w:val="single"/>
        </w:rPr>
        <w:t xml:space="preserve">  /    </w:t>
      </w:r>
      <w:r>
        <w:rPr>
          <w:rFonts w:hint="eastAsia" w:ascii="宋体" w:hAnsi="宋体" w:cs="宋体"/>
          <w:color w:val="auto"/>
          <w:sz w:val="24"/>
        </w:rPr>
        <w:t>；</w:t>
      </w:r>
    </w:p>
    <w:p w14:paraId="4B6E1156">
      <w:pPr>
        <w:spacing w:line="440" w:lineRule="exact"/>
        <w:ind w:firstLine="480" w:firstLineChars="200"/>
        <w:rPr>
          <w:rFonts w:ascii="宋体" w:hAnsi="宋体" w:cs="宋体"/>
          <w:color w:val="auto"/>
          <w:sz w:val="24"/>
          <w:u w:val="single"/>
        </w:rPr>
      </w:pPr>
      <w:r>
        <w:rPr>
          <w:rFonts w:hint="eastAsia" w:ascii="宋体" w:hAnsi="宋体" w:cs="宋体"/>
          <w:color w:val="auto"/>
          <w:sz w:val="24"/>
        </w:rPr>
        <w:t>电子信箱：</w:t>
      </w:r>
      <w:r>
        <w:rPr>
          <w:rFonts w:ascii="宋体" w:hAnsi="宋体" w:cs="宋体"/>
          <w:color w:val="auto"/>
          <w:sz w:val="24"/>
          <w:u w:val="single"/>
        </w:rPr>
        <w:t xml:space="preserve">     /    </w:t>
      </w:r>
      <w:r>
        <w:rPr>
          <w:rFonts w:hint="eastAsia" w:ascii="宋体" w:hAnsi="宋体" w:cs="宋体"/>
          <w:color w:val="auto"/>
          <w:sz w:val="24"/>
          <w:u w:val="single"/>
        </w:rPr>
        <w:t>；</w:t>
      </w:r>
    </w:p>
    <w:p w14:paraId="5671D372">
      <w:pPr>
        <w:spacing w:line="440" w:lineRule="exact"/>
        <w:ind w:firstLine="480" w:firstLineChars="200"/>
        <w:rPr>
          <w:rFonts w:ascii="宋体" w:hAnsi="宋体" w:cs="宋体"/>
          <w:color w:val="auto"/>
          <w:sz w:val="24"/>
        </w:rPr>
      </w:pPr>
      <w:r>
        <w:rPr>
          <w:rFonts w:hint="eastAsia" w:ascii="宋体" w:hAnsi="宋体" w:cs="宋体"/>
          <w:color w:val="auto"/>
          <w:sz w:val="24"/>
        </w:rPr>
        <w:t>通信地址：</w:t>
      </w:r>
      <w:r>
        <w:rPr>
          <w:rFonts w:ascii="宋体" w:hAnsi="宋体" w:cs="宋体"/>
          <w:color w:val="auto"/>
          <w:sz w:val="24"/>
          <w:u w:val="single"/>
        </w:rPr>
        <w:t xml:space="preserve">   /   </w:t>
      </w:r>
      <w:r>
        <w:rPr>
          <w:rFonts w:hint="eastAsia" w:ascii="宋体" w:hAnsi="宋体" w:cs="宋体"/>
          <w:color w:val="auto"/>
          <w:sz w:val="24"/>
        </w:rPr>
        <w:t>。</w:t>
      </w:r>
    </w:p>
    <w:p w14:paraId="62910619">
      <w:pPr>
        <w:spacing w:line="440" w:lineRule="exact"/>
        <w:ind w:firstLine="480" w:firstLineChars="200"/>
        <w:rPr>
          <w:rFonts w:ascii="宋体" w:hAnsi="宋体" w:cs="宋体"/>
          <w:color w:val="auto"/>
          <w:sz w:val="24"/>
        </w:rPr>
      </w:pPr>
      <w:r>
        <w:rPr>
          <w:rFonts w:hint="eastAsia" w:ascii="宋体" w:hAnsi="宋体" w:cs="宋体"/>
          <w:color w:val="auto"/>
          <w:sz w:val="24"/>
        </w:rPr>
        <w:t>1.1.2.2设计人：</w:t>
      </w:r>
    </w:p>
    <w:p w14:paraId="276D8B08">
      <w:pPr>
        <w:spacing w:line="440" w:lineRule="exact"/>
        <w:ind w:firstLine="480" w:firstLineChars="200"/>
        <w:rPr>
          <w:rFonts w:ascii="宋体" w:hAnsi="宋体" w:cs="宋体"/>
          <w:color w:val="auto"/>
          <w:sz w:val="24"/>
        </w:rPr>
      </w:pPr>
      <w:r>
        <w:rPr>
          <w:rFonts w:hint="eastAsia" w:ascii="宋体" w:hAnsi="宋体" w:cs="宋体"/>
          <w:color w:val="auto"/>
          <w:sz w:val="24"/>
        </w:rPr>
        <w:t>名称：</w:t>
      </w:r>
      <w:r>
        <w:rPr>
          <w:rFonts w:hint="eastAsia" w:ascii="宋体" w:hAnsi="宋体" w:cs="宋体"/>
          <w:color w:val="auto"/>
          <w:sz w:val="24"/>
          <w:u w:val="single"/>
        </w:rPr>
        <w:t xml:space="preserve">     </w:t>
      </w:r>
      <w:r>
        <w:rPr>
          <w:rFonts w:ascii="宋体" w:hAnsi="宋体" w:cs="宋体"/>
          <w:color w:val="auto"/>
          <w:sz w:val="24"/>
          <w:u w:val="single"/>
        </w:rPr>
        <w:t>/</w:t>
      </w:r>
      <w:r>
        <w:rPr>
          <w:rFonts w:hint="eastAsia" w:ascii="宋体" w:hAnsi="宋体" w:cs="宋体"/>
          <w:color w:val="auto"/>
          <w:sz w:val="24"/>
          <w:u w:val="single"/>
        </w:rPr>
        <w:t xml:space="preserve">     </w:t>
      </w:r>
      <w:r>
        <w:rPr>
          <w:rFonts w:hint="eastAsia" w:ascii="宋体" w:hAnsi="宋体" w:cs="宋体"/>
          <w:color w:val="auto"/>
          <w:sz w:val="24"/>
        </w:rPr>
        <w:t>；</w:t>
      </w:r>
    </w:p>
    <w:p w14:paraId="07FDCEB4">
      <w:pPr>
        <w:spacing w:line="440" w:lineRule="exact"/>
        <w:ind w:firstLine="480" w:firstLineChars="200"/>
        <w:rPr>
          <w:rFonts w:ascii="宋体" w:hAnsi="宋体" w:cs="宋体"/>
          <w:color w:val="auto"/>
          <w:sz w:val="24"/>
        </w:rPr>
      </w:pPr>
      <w:r>
        <w:rPr>
          <w:rFonts w:hint="eastAsia" w:ascii="宋体" w:hAnsi="宋体" w:cs="宋体"/>
          <w:color w:val="auto"/>
          <w:sz w:val="24"/>
        </w:rPr>
        <w:t>资质类别和等级：</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cs="宋体"/>
          <w:color w:val="auto"/>
          <w:sz w:val="24"/>
        </w:rPr>
        <w:t>；</w:t>
      </w:r>
    </w:p>
    <w:p w14:paraId="3981BE20">
      <w:pPr>
        <w:spacing w:line="440" w:lineRule="exact"/>
        <w:ind w:firstLine="480" w:firstLineChars="200"/>
        <w:rPr>
          <w:rFonts w:ascii="宋体" w:hAnsi="宋体" w:cs="宋体"/>
          <w:color w:val="auto"/>
          <w:sz w:val="24"/>
        </w:rPr>
      </w:pPr>
      <w:r>
        <w:rPr>
          <w:rFonts w:hint="eastAsia" w:ascii="宋体" w:hAnsi="宋体" w:cs="宋体"/>
          <w:color w:val="auto"/>
          <w:sz w:val="24"/>
        </w:rPr>
        <w:t>联系电话：</w:t>
      </w:r>
      <w:r>
        <w:rPr>
          <w:rFonts w:hint="eastAsia" w:ascii="宋体" w:hAnsi="宋体" w:cs="宋体"/>
          <w:color w:val="auto"/>
          <w:sz w:val="24"/>
          <w:u w:val="single"/>
        </w:rPr>
        <w:t xml:space="preserve">    </w:t>
      </w:r>
      <w:r>
        <w:rPr>
          <w:rFonts w:ascii="宋体" w:hAnsi="宋体" w:cs="宋体"/>
          <w:color w:val="auto"/>
          <w:sz w:val="24"/>
          <w:u w:val="single"/>
        </w:rPr>
        <w:t>/</w:t>
      </w:r>
      <w:r>
        <w:rPr>
          <w:rFonts w:hint="eastAsia" w:ascii="宋体" w:hAnsi="宋体" w:cs="宋体"/>
          <w:color w:val="auto"/>
          <w:sz w:val="24"/>
          <w:u w:val="single"/>
        </w:rPr>
        <w:t xml:space="preserve">  </w:t>
      </w:r>
      <w:r>
        <w:rPr>
          <w:rFonts w:hint="eastAsia" w:ascii="宋体" w:hAnsi="宋体" w:cs="宋体"/>
          <w:color w:val="auto"/>
          <w:sz w:val="24"/>
        </w:rPr>
        <w:t>；</w:t>
      </w:r>
    </w:p>
    <w:p w14:paraId="38585977">
      <w:pPr>
        <w:spacing w:line="440" w:lineRule="exact"/>
        <w:ind w:firstLine="480" w:firstLineChars="200"/>
        <w:rPr>
          <w:rFonts w:ascii="宋体" w:hAnsi="宋体" w:cs="宋体"/>
          <w:color w:val="auto"/>
          <w:sz w:val="24"/>
        </w:rPr>
      </w:pPr>
      <w:r>
        <w:rPr>
          <w:rFonts w:hint="eastAsia" w:ascii="宋体" w:hAnsi="宋体" w:cs="宋体"/>
          <w:color w:val="auto"/>
          <w:sz w:val="24"/>
        </w:rPr>
        <w:t>电子信箱：</w:t>
      </w:r>
      <w:r>
        <w:rPr>
          <w:rFonts w:hint="eastAsia" w:ascii="宋体" w:hAnsi="宋体" w:cs="宋体"/>
          <w:color w:val="auto"/>
          <w:sz w:val="24"/>
          <w:u w:val="single"/>
        </w:rPr>
        <w:t xml:space="preserve">   </w:t>
      </w:r>
      <w:r>
        <w:rPr>
          <w:rFonts w:ascii="宋体" w:hAnsi="宋体" w:cs="宋体"/>
          <w:color w:val="auto"/>
          <w:sz w:val="24"/>
          <w:u w:val="single"/>
        </w:rPr>
        <w:t>/</w:t>
      </w:r>
      <w:r>
        <w:rPr>
          <w:rFonts w:hint="eastAsia" w:ascii="宋体" w:hAnsi="宋体" w:cs="宋体"/>
          <w:color w:val="auto"/>
          <w:sz w:val="24"/>
          <w:u w:val="single"/>
        </w:rPr>
        <w:t xml:space="preserve">    </w:t>
      </w:r>
      <w:r>
        <w:rPr>
          <w:rFonts w:hint="eastAsia" w:ascii="宋体" w:hAnsi="宋体" w:cs="宋体"/>
          <w:color w:val="auto"/>
          <w:sz w:val="24"/>
        </w:rPr>
        <w:t>；</w:t>
      </w:r>
    </w:p>
    <w:p w14:paraId="1A6C643A">
      <w:pPr>
        <w:spacing w:line="440" w:lineRule="exact"/>
        <w:ind w:firstLine="480" w:firstLineChars="200"/>
        <w:rPr>
          <w:rFonts w:ascii="宋体" w:hAnsi="宋体" w:cs="宋体"/>
          <w:color w:val="auto"/>
          <w:sz w:val="24"/>
        </w:rPr>
      </w:pPr>
      <w:r>
        <w:rPr>
          <w:rFonts w:hint="eastAsia" w:ascii="宋体" w:hAnsi="宋体" w:cs="宋体"/>
          <w:color w:val="auto"/>
          <w:sz w:val="24"/>
        </w:rPr>
        <w:t>通信地址：</w:t>
      </w:r>
      <w:r>
        <w:rPr>
          <w:rFonts w:hint="eastAsia" w:ascii="宋体" w:hAnsi="宋体" w:cs="宋体"/>
          <w:color w:val="auto"/>
          <w:sz w:val="24"/>
          <w:u w:val="single"/>
        </w:rPr>
        <w:t xml:space="preserve">   </w:t>
      </w:r>
      <w:r>
        <w:rPr>
          <w:rFonts w:ascii="宋体" w:hAnsi="宋体" w:cs="宋体"/>
          <w:color w:val="auto"/>
          <w:sz w:val="24"/>
          <w:u w:val="single"/>
        </w:rPr>
        <w:t>/</w:t>
      </w:r>
      <w:r>
        <w:rPr>
          <w:rFonts w:hint="eastAsia" w:ascii="宋体" w:hAnsi="宋体" w:cs="宋体"/>
          <w:color w:val="auto"/>
          <w:sz w:val="24"/>
          <w:u w:val="single"/>
        </w:rPr>
        <w:t xml:space="preserve">   </w:t>
      </w:r>
      <w:r>
        <w:rPr>
          <w:rFonts w:hint="eastAsia" w:ascii="宋体" w:hAnsi="宋体" w:cs="宋体"/>
          <w:color w:val="auto"/>
          <w:sz w:val="24"/>
        </w:rPr>
        <w:t>。</w:t>
      </w:r>
    </w:p>
    <w:p w14:paraId="384C65E1">
      <w:pPr>
        <w:spacing w:line="440" w:lineRule="exact"/>
        <w:ind w:firstLine="480" w:firstLineChars="200"/>
        <w:rPr>
          <w:rFonts w:ascii="宋体" w:hAnsi="宋体" w:cs="宋体"/>
          <w:color w:val="auto"/>
          <w:sz w:val="24"/>
        </w:rPr>
      </w:pPr>
      <w:r>
        <w:rPr>
          <w:rFonts w:hint="eastAsia" w:ascii="宋体" w:hAnsi="宋体" w:cs="宋体"/>
          <w:color w:val="auto"/>
          <w:sz w:val="24"/>
        </w:rPr>
        <w:t>1.2 工程和设备</w:t>
      </w:r>
    </w:p>
    <w:p w14:paraId="48935C2B">
      <w:pPr>
        <w:spacing w:line="440" w:lineRule="exact"/>
        <w:ind w:firstLine="480" w:firstLineChars="200"/>
        <w:rPr>
          <w:rFonts w:ascii="宋体" w:hAnsi="宋体" w:cs="宋体"/>
          <w:color w:val="auto"/>
          <w:sz w:val="24"/>
        </w:rPr>
      </w:pPr>
      <w:r>
        <w:rPr>
          <w:rFonts w:hint="eastAsia" w:ascii="宋体" w:hAnsi="宋体" w:cs="宋体"/>
          <w:color w:val="auto"/>
          <w:sz w:val="24"/>
        </w:rPr>
        <w:t>1.2.1 作为施工现场组成部分的其他场所包括：</w:t>
      </w:r>
      <w:r>
        <w:rPr>
          <w:rFonts w:hint="eastAsia" w:ascii="宋体" w:hAnsi="宋体" w:cs="宋体"/>
          <w:color w:val="auto"/>
          <w:sz w:val="24"/>
          <w:u w:val="single"/>
        </w:rPr>
        <w:t>经双方确认的临建用地、组装用地及仓储用地等</w:t>
      </w:r>
      <w:r>
        <w:rPr>
          <w:rFonts w:hint="eastAsia" w:ascii="宋体" w:hAnsi="宋体" w:cs="宋体"/>
          <w:color w:val="auto"/>
          <w:sz w:val="24"/>
        </w:rPr>
        <w:t>。</w:t>
      </w:r>
    </w:p>
    <w:p w14:paraId="74653BF8">
      <w:pPr>
        <w:spacing w:line="440" w:lineRule="exact"/>
        <w:ind w:firstLine="480" w:firstLineChars="200"/>
        <w:rPr>
          <w:rFonts w:ascii="宋体" w:hAnsi="宋体" w:cs="宋体"/>
          <w:color w:val="auto"/>
          <w:sz w:val="24"/>
        </w:rPr>
      </w:pPr>
      <w:r>
        <w:rPr>
          <w:rFonts w:hint="eastAsia" w:ascii="宋体" w:hAnsi="宋体" w:cs="宋体"/>
          <w:color w:val="auto"/>
          <w:sz w:val="24"/>
        </w:rPr>
        <w:t>1.2.2永久占地包括：</w:t>
      </w:r>
      <w:r>
        <w:rPr>
          <w:rFonts w:hint="eastAsia" w:ascii="宋体" w:hAnsi="宋体" w:cs="宋体"/>
          <w:color w:val="auto"/>
          <w:sz w:val="24"/>
          <w:u w:val="single"/>
        </w:rPr>
        <w:t>施工图纸上标明的用地界限和坐标</w:t>
      </w:r>
      <w:r>
        <w:rPr>
          <w:rFonts w:hint="eastAsia" w:ascii="宋体" w:hAnsi="宋体" w:cs="宋体"/>
          <w:color w:val="auto"/>
          <w:sz w:val="24"/>
        </w:rPr>
        <w:t>。</w:t>
      </w:r>
    </w:p>
    <w:p w14:paraId="45FB0886">
      <w:pPr>
        <w:spacing w:line="440" w:lineRule="exact"/>
        <w:ind w:firstLine="480" w:firstLineChars="200"/>
        <w:rPr>
          <w:rFonts w:ascii="宋体" w:hAnsi="宋体" w:cs="宋体"/>
          <w:color w:val="auto"/>
          <w:sz w:val="24"/>
        </w:rPr>
      </w:pPr>
      <w:r>
        <w:rPr>
          <w:rFonts w:hint="eastAsia" w:ascii="宋体" w:hAnsi="宋体" w:cs="宋体"/>
          <w:color w:val="auto"/>
          <w:sz w:val="24"/>
        </w:rPr>
        <w:t>1.2.3 临时占地包括：</w:t>
      </w:r>
      <w:r>
        <w:rPr>
          <w:rFonts w:hint="eastAsia" w:ascii="宋体" w:hAnsi="宋体" w:cs="宋体"/>
          <w:color w:val="auto"/>
          <w:sz w:val="24"/>
          <w:u w:val="single"/>
        </w:rPr>
        <w:t>临时仓储占地范围，包括图纸中可供承包人使用的临时占地范围和发包人为实施合同需要的临时占地范围</w:t>
      </w:r>
      <w:r>
        <w:rPr>
          <w:rFonts w:hint="eastAsia" w:ascii="宋体" w:hAnsi="宋体" w:cs="宋体"/>
          <w:color w:val="auto"/>
          <w:sz w:val="24"/>
        </w:rPr>
        <w:t>。</w:t>
      </w:r>
    </w:p>
    <w:p w14:paraId="410B9C30">
      <w:pPr>
        <w:spacing w:line="440" w:lineRule="exact"/>
        <w:ind w:firstLine="480" w:firstLineChars="200"/>
        <w:rPr>
          <w:rFonts w:ascii="宋体" w:hAnsi="宋体" w:cs="宋体"/>
          <w:color w:val="auto"/>
          <w:sz w:val="24"/>
        </w:rPr>
      </w:pPr>
      <w:r>
        <w:rPr>
          <w:rFonts w:hint="eastAsia" w:ascii="宋体" w:hAnsi="宋体" w:cs="宋体"/>
          <w:color w:val="auto"/>
          <w:sz w:val="24"/>
        </w:rPr>
        <w:t>1.3 法律</w:t>
      </w:r>
    </w:p>
    <w:p w14:paraId="432F9215">
      <w:pPr>
        <w:spacing w:line="440" w:lineRule="exact"/>
        <w:ind w:firstLine="480" w:firstLineChars="200"/>
        <w:rPr>
          <w:rFonts w:ascii="宋体" w:hAnsi="宋体" w:cs="宋体"/>
          <w:color w:val="auto"/>
          <w:sz w:val="24"/>
        </w:rPr>
      </w:pPr>
      <w:r>
        <w:rPr>
          <w:rFonts w:hint="eastAsia" w:ascii="宋体" w:hAnsi="宋体" w:cs="宋体"/>
          <w:color w:val="auto"/>
          <w:sz w:val="24"/>
        </w:rPr>
        <w:t>适用于合同的其他规范性文件：</w:t>
      </w:r>
      <w:r>
        <w:rPr>
          <w:rFonts w:hint="eastAsia" w:ascii="宋体" w:hAnsi="宋体" w:cs="宋体"/>
          <w:color w:val="auto"/>
          <w:sz w:val="24"/>
          <w:u w:val="single"/>
        </w:rPr>
        <w:t>需要明示的法律、行政法规：《中华人民共和国民法典》《中华人民共和国建筑法》《中华人民共和国安全生产法》《建设工程质量管理条例》，以及其他有关法律、法规</w:t>
      </w:r>
      <w:r>
        <w:rPr>
          <w:rFonts w:hint="eastAsia" w:ascii="宋体" w:hAnsi="宋体" w:cs="宋体"/>
          <w:color w:val="auto"/>
          <w:sz w:val="24"/>
        </w:rPr>
        <w:t>。</w:t>
      </w:r>
    </w:p>
    <w:p w14:paraId="30C8C151">
      <w:pPr>
        <w:spacing w:line="440" w:lineRule="exact"/>
        <w:ind w:firstLine="480" w:firstLineChars="200"/>
        <w:rPr>
          <w:rFonts w:ascii="宋体" w:hAnsi="宋体" w:cs="宋体"/>
          <w:color w:val="auto"/>
          <w:sz w:val="24"/>
        </w:rPr>
      </w:pPr>
      <w:r>
        <w:rPr>
          <w:rFonts w:hint="eastAsia" w:ascii="宋体" w:hAnsi="宋体" w:cs="宋体"/>
          <w:color w:val="auto"/>
          <w:sz w:val="24"/>
        </w:rPr>
        <w:t>1.4 标准和规范</w:t>
      </w:r>
    </w:p>
    <w:p w14:paraId="6A236CD1">
      <w:pPr>
        <w:spacing w:line="440" w:lineRule="exact"/>
        <w:ind w:firstLine="480" w:firstLineChars="200"/>
        <w:rPr>
          <w:rFonts w:ascii="宋体" w:hAnsi="宋体" w:cs="宋体"/>
          <w:color w:val="auto"/>
          <w:sz w:val="24"/>
        </w:rPr>
      </w:pPr>
      <w:r>
        <w:rPr>
          <w:rFonts w:hint="eastAsia" w:ascii="宋体" w:hAnsi="宋体" w:cs="宋体"/>
          <w:color w:val="auto"/>
          <w:sz w:val="24"/>
        </w:rPr>
        <w:t>1.4.1 适用于工程的标准规范包括：</w:t>
      </w:r>
      <w:r>
        <w:rPr>
          <w:rFonts w:hint="eastAsia" w:ascii="宋体" w:hAnsi="宋体" w:cs="宋体"/>
          <w:color w:val="auto"/>
          <w:sz w:val="24"/>
          <w:u w:val="single"/>
        </w:rPr>
        <w:t>现行的国家、行业以及地方规范、标准和规程等</w:t>
      </w:r>
      <w:r>
        <w:rPr>
          <w:rFonts w:hint="eastAsia" w:ascii="宋体" w:hAnsi="宋体" w:cs="宋体"/>
          <w:color w:val="auto"/>
          <w:sz w:val="24"/>
        </w:rPr>
        <w:t>；</w:t>
      </w:r>
    </w:p>
    <w:p w14:paraId="5D8C770F">
      <w:pPr>
        <w:spacing w:line="440" w:lineRule="exact"/>
        <w:ind w:firstLine="480" w:firstLineChars="200"/>
        <w:rPr>
          <w:rFonts w:ascii="宋体" w:hAnsi="宋体" w:cs="宋体"/>
          <w:color w:val="auto"/>
          <w:sz w:val="24"/>
        </w:rPr>
      </w:pPr>
      <w:r>
        <w:rPr>
          <w:rFonts w:hint="eastAsia" w:ascii="宋体" w:hAnsi="宋体" w:cs="宋体"/>
          <w:color w:val="auto"/>
          <w:sz w:val="24"/>
        </w:rPr>
        <w:t>1.4.2 发包人提供国外标准、规范的名称：</w:t>
      </w:r>
      <w:r>
        <w:rPr>
          <w:rFonts w:hint="eastAsia" w:ascii="宋体" w:hAnsi="宋体" w:cs="宋体"/>
          <w:color w:val="auto"/>
          <w:sz w:val="24"/>
          <w:u w:val="single"/>
        </w:rPr>
        <w:t xml:space="preserve">    无                  </w:t>
      </w:r>
      <w:r>
        <w:rPr>
          <w:rFonts w:hint="eastAsia" w:ascii="宋体" w:hAnsi="宋体" w:cs="宋体"/>
          <w:color w:val="auto"/>
          <w:sz w:val="24"/>
        </w:rPr>
        <w:t>；</w:t>
      </w:r>
    </w:p>
    <w:p w14:paraId="7697AE4C">
      <w:pPr>
        <w:spacing w:line="440" w:lineRule="exact"/>
        <w:ind w:firstLine="480" w:firstLineChars="200"/>
        <w:rPr>
          <w:rFonts w:ascii="宋体" w:hAnsi="宋体" w:cs="宋体"/>
          <w:color w:val="auto"/>
          <w:sz w:val="24"/>
        </w:rPr>
      </w:pPr>
      <w:r>
        <w:rPr>
          <w:rFonts w:hint="eastAsia" w:ascii="宋体" w:hAnsi="宋体" w:cs="宋体"/>
          <w:color w:val="auto"/>
          <w:sz w:val="24"/>
        </w:rPr>
        <w:t>发包人提供国外标准、规范的份数：</w:t>
      </w:r>
      <w:r>
        <w:rPr>
          <w:rFonts w:hint="eastAsia" w:ascii="宋体" w:hAnsi="宋体" w:cs="宋体"/>
          <w:color w:val="auto"/>
          <w:sz w:val="24"/>
          <w:u w:val="single"/>
        </w:rPr>
        <w:t xml:space="preserve">     无                 </w:t>
      </w:r>
      <w:r>
        <w:rPr>
          <w:rFonts w:hint="eastAsia" w:ascii="宋体" w:hAnsi="宋体" w:cs="宋体"/>
          <w:color w:val="auto"/>
          <w:sz w:val="24"/>
        </w:rPr>
        <w:t>。</w:t>
      </w:r>
    </w:p>
    <w:p w14:paraId="7169489B">
      <w:pPr>
        <w:spacing w:line="440" w:lineRule="exact"/>
        <w:ind w:firstLine="480" w:firstLineChars="200"/>
        <w:rPr>
          <w:rFonts w:ascii="宋体" w:hAnsi="宋体" w:cs="宋体"/>
          <w:color w:val="auto"/>
          <w:sz w:val="24"/>
        </w:rPr>
      </w:pPr>
      <w:r>
        <w:rPr>
          <w:rFonts w:hint="eastAsia" w:ascii="宋体" w:hAnsi="宋体" w:cs="宋体"/>
          <w:color w:val="auto"/>
          <w:sz w:val="24"/>
        </w:rPr>
        <w:t>1.4.3 发包人对工程的技术标准和功能要求的特殊要求：</w:t>
      </w:r>
      <w:r>
        <w:rPr>
          <w:rFonts w:hint="eastAsia" w:ascii="宋体" w:hAnsi="宋体" w:cs="宋体"/>
          <w:color w:val="auto"/>
          <w:sz w:val="24"/>
          <w:u w:val="single"/>
        </w:rPr>
        <w:t>无。</w:t>
      </w:r>
    </w:p>
    <w:p w14:paraId="3D3677A0">
      <w:pPr>
        <w:spacing w:line="440" w:lineRule="exact"/>
        <w:ind w:firstLine="480" w:firstLineChars="200"/>
        <w:rPr>
          <w:rFonts w:ascii="宋体" w:hAnsi="宋体" w:cs="宋体"/>
          <w:color w:val="auto"/>
          <w:sz w:val="24"/>
        </w:rPr>
      </w:pPr>
      <w:r>
        <w:rPr>
          <w:rFonts w:hint="eastAsia" w:ascii="宋体" w:hAnsi="宋体" w:cs="宋体"/>
          <w:color w:val="auto"/>
          <w:sz w:val="24"/>
        </w:rPr>
        <w:t>1.5 合同文件的优先顺序</w:t>
      </w:r>
    </w:p>
    <w:p w14:paraId="05A3F622">
      <w:pPr>
        <w:spacing w:line="440" w:lineRule="exact"/>
        <w:ind w:firstLine="480" w:firstLineChars="200"/>
        <w:rPr>
          <w:rFonts w:ascii="宋体" w:hAnsi="宋体" w:cs="宋体"/>
          <w:color w:val="auto"/>
          <w:sz w:val="24"/>
        </w:rPr>
      </w:pPr>
      <w:r>
        <w:rPr>
          <w:rFonts w:hint="eastAsia" w:ascii="宋体" w:hAnsi="宋体" w:cs="宋体"/>
          <w:color w:val="auto"/>
          <w:sz w:val="24"/>
        </w:rPr>
        <w:t>合同文件组成及优先顺序为：</w:t>
      </w:r>
      <w:r>
        <w:rPr>
          <w:rFonts w:hint="eastAsia" w:ascii="宋体" w:hAnsi="宋体" w:cs="宋体"/>
          <w:color w:val="auto"/>
          <w:sz w:val="24"/>
          <w:u w:val="single"/>
        </w:rPr>
        <w:t>按《合同协议书》的第六条款执行。</w:t>
      </w:r>
    </w:p>
    <w:p w14:paraId="31C55DE4">
      <w:pPr>
        <w:spacing w:line="440" w:lineRule="exact"/>
        <w:ind w:firstLine="480" w:firstLineChars="200"/>
        <w:rPr>
          <w:rFonts w:ascii="宋体" w:hAnsi="宋体" w:cs="宋体"/>
          <w:color w:val="auto"/>
          <w:sz w:val="24"/>
        </w:rPr>
      </w:pPr>
      <w:r>
        <w:rPr>
          <w:rFonts w:hint="eastAsia" w:ascii="宋体" w:hAnsi="宋体" w:cs="宋体"/>
          <w:color w:val="auto"/>
          <w:sz w:val="24"/>
        </w:rPr>
        <w:t>1.6 图纸和承包人文件</w:t>
      </w:r>
      <w:r>
        <w:rPr>
          <w:color w:val="auto"/>
        </w:rPr>
        <w:tab/>
      </w:r>
    </w:p>
    <w:p w14:paraId="62249FA7">
      <w:pPr>
        <w:spacing w:line="440" w:lineRule="exact"/>
        <w:ind w:firstLine="480" w:firstLineChars="200"/>
        <w:rPr>
          <w:rFonts w:ascii="宋体" w:hAnsi="宋体" w:cs="宋体"/>
          <w:color w:val="auto"/>
          <w:sz w:val="24"/>
        </w:rPr>
      </w:pPr>
      <w:r>
        <w:rPr>
          <w:rFonts w:hint="eastAsia" w:ascii="宋体" w:hAnsi="宋体" w:cs="宋体"/>
          <w:color w:val="auto"/>
          <w:sz w:val="24"/>
        </w:rPr>
        <w:t>1.6.1 图纸的提供</w:t>
      </w:r>
    </w:p>
    <w:p w14:paraId="7D29BC9A">
      <w:pPr>
        <w:spacing w:line="440" w:lineRule="exact"/>
        <w:ind w:firstLine="480" w:firstLineChars="200"/>
        <w:rPr>
          <w:rFonts w:ascii="宋体" w:hAnsi="宋体" w:cs="宋体"/>
          <w:color w:val="auto"/>
          <w:sz w:val="24"/>
        </w:rPr>
      </w:pPr>
      <w:r>
        <w:rPr>
          <w:rFonts w:hint="eastAsia" w:ascii="宋体" w:hAnsi="宋体" w:cs="宋体"/>
          <w:color w:val="auto"/>
          <w:sz w:val="24"/>
        </w:rPr>
        <w:t>发包人向承包人提供图纸的期限：</w:t>
      </w:r>
      <w:r>
        <w:rPr>
          <w:rFonts w:hint="eastAsia" w:ascii="宋体" w:hAnsi="宋体" w:cs="宋体"/>
          <w:color w:val="auto"/>
          <w:sz w:val="24"/>
          <w:u w:val="single"/>
        </w:rPr>
        <w:t xml:space="preserve">合同签订后3个工作日内 </w:t>
      </w:r>
      <w:r>
        <w:rPr>
          <w:rFonts w:hint="eastAsia" w:ascii="宋体" w:hAnsi="宋体" w:cs="宋体"/>
          <w:color w:val="auto"/>
          <w:sz w:val="24"/>
        </w:rPr>
        <w:t>；</w:t>
      </w:r>
    </w:p>
    <w:p w14:paraId="01FA6477">
      <w:pPr>
        <w:spacing w:line="440" w:lineRule="exact"/>
        <w:ind w:firstLine="480" w:firstLineChars="200"/>
        <w:rPr>
          <w:rFonts w:ascii="宋体" w:hAnsi="宋体" w:cs="宋体"/>
          <w:color w:val="auto"/>
          <w:sz w:val="24"/>
        </w:rPr>
      </w:pPr>
      <w:r>
        <w:rPr>
          <w:rFonts w:hint="eastAsia" w:ascii="宋体" w:hAnsi="宋体" w:cs="宋体"/>
          <w:color w:val="auto"/>
          <w:sz w:val="24"/>
        </w:rPr>
        <w:t>发包人向承包人提供图纸的数量：</w:t>
      </w:r>
      <w:r>
        <w:rPr>
          <w:rFonts w:hint="eastAsia" w:ascii="宋体" w:hAnsi="宋体" w:cs="宋体"/>
          <w:color w:val="auto"/>
          <w:sz w:val="24"/>
          <w:u w:val="single"/>
        </w:rPr>
        <w:t>壹套，承包人需要增加图纸套数的，发包人可代为复制，复制费用由承包人承担</w:t>
      </w:r>
      <w:r>
        <w:rPr>
          <w:rFonts w:hint="eastAsia" w:ascii="宋体" w:hAnsi="宋体" w:cs="宋体"/>
          <w:color w:val="auto"/>
          <w:sz w:val="24"/>
        </w:rPr>
        <w:t>；</w:t>
      </w:r>
    </w:p>
    <w:p w14:paraId="7766F105">
      <w:pPr>
        <w:spacing w:line="440" w:lineRule="exact"/>
        <w:ind w:firstLine="480" w:firstLineChars="200"/>
        <w:rPr>
          <w:rFonts w:ascii="宋体" w:hAnsi="宋体" w:cs="宋体"/>
          <w:color w:val="auto"/>
          <w:sz w:val="24"/>
        </w:rPr>
      </w:pPr>
      <w:r>
        <w:rPr>
          <w:rFonts w:hint="eastAsia" w:ascii="宋体" w:hAnsi="宋体" w:cs="宋体"/>
          <w:color w:val="auto"/>
          <w:sz w:val="24"/>
        </w:rPr>
        <w:t>发包人向承包人提供图纸的内容：</w:t>
      </w:r>
      <w:r>
        <w:rPr>
          <w:rFonts w:hint="eastAsia" w:ascii="宋体" w:hAnsi="宋体" w:cs="宋体"/>
          <w:color w:val="auto"/>
          <w:sz w:val="24"/>
          <w:u w:val="single"/>
        </w:rPr>
        <w:t>所有图纸及补充文件</w:t>
      </w:r>
      <w:r>
        <w:rPr>
          <w:rFonts w:hint="eastAsia" w:ascii="宋体" w:hAnsi="宋体" w:cs="宋体"/>
          <w:color w:val="auto"/>
          <w:sz w:val="24"/>
        </w:rPr>
        <w:t>。</w:t>
      </w:r>
    </w:p>
    <w:p w14:paraId="078E7863">
      <w:pPr>
        <w:spacing w:line="440" w:lineRule="exact"/>
        <w:ind w:firstLine="480" w:firstLineChars="200"/>
        <w:rPr>
          <w:rFonts w:ascii="宋体" w:hAnsi="宋体" w:cs="宋体"/>
          <w:color w:val="auto"/>
          <w:sz w:val="24"/>
        </w:rPr>
      </w:pPr>
      <w:r>
        <w:rPr>
          <w:rFonts w:hint="eastAsia" w:ascii="宋体" w:hAnsi="宋体" w:cs="宋体"/>
          <w:color w:val="auto"/>
          <w:sz w:val="24"/>
        </w:rPr>
        <w:t>1.6.</w:t>
      </w:r>
      <w:r>
        <w:rPr>
          <w:rFonts w:ascii="宋体" w:hAnsi="宋体" w:cs="宋体"/>
          <w:color w:val="auto"/>
          <w:sz w:val="24"/>
        </w:rPr>
        <w:t>2</w:t>
      </w:r>
      <w:r>
        <w:rPr>
          <w:rFonts w:hint="eastAsia" w:ascii="宋体" w:hAnsi="宋体" w:cs="宋体"/>
          <w:color w:val="auto"/>
          <w:sz w:val="24"/>
        </w:rPr>
        <w:t xml:space="preserve"> 承包人文件</w:t>
      </w:r>
    </w:p>
    <w:p w14:paraId="33CE00F4">
      <w:pPr>
        <w:spacing w:line="440" w:lineRule="exact"/>
        <w:ind w:firstLine="480" w:firstLineChars="200"/>
        <w:rPr>
          <w:rFonts w:ascii="宋体" w:hAnsi="宋体" w:cs="宋体"/>
          <w:color w:val="auto"/>
          <w:sz w:val="24"/>
          <w:u w:val="single"/>
        </w:rPr>
      </w:pPr>
      <w:r>
        <w:rPr>
          <w:rFonts w:hint="eastAsia" w:ascii="宋体" w:hAnsi="宋体" w:cs="宋体"/>
          <w:color w:val="auto"/>
          <w:sz w:val="24"/>
        </w:rPr>
        <w:t>需要由承包人提供的文件，包括但不限于：</w:t>
      </w:r>
      <w:r>
        <w:rPr>
          <w:rFonts w:hint="eastAsia" w:ascii="宋体" w:hAnsi="宋体" w:cs="宋体"/>
          <w:color w:val="auto"/>
          <w:sz w:val="24"/>
          <w:u w:val="single"/>
        </w:rPr>
        <w:t>（1）施工组织设计、施工进度网络计划、项目管理机构等；（2）有关的专项施工方案、二次深化设计文件（如有）、必要的加工图和大样图；（3）工程竣工备案资料（含竣工图）、工程结算书及资料等</w:t>
      </w:r>
      <w:r>
        <w:rPr>
          <w:rFonts w:hint="eastAsia" w:ascii="宋体" w:hAnsi="宋体" w:cs="宋体"/>
          <w:color w:val="auto"/>
          <w:sz w:val="24"/>
        </w:rPr>
        <w:t>；</w:t>
      </w:r>
    </w:p>
    <w:p w14:paraId="1E444DEE">
      <w:pPr>
        <w:spacing w:line="440" w:lineRule="exact"/>
        <w:ind w:firstLine="480" w:firstLineChars="200"/>
        <w:rPr>
          <w:rFonts w:ascii="宋体" w:hAnsi="宋体" w:cs="宋体"/>
          <w:color w:val="auto"/>
          <w:sz w:val="24"/>
        </w:rPr>
      </w:pPr>
      <w:r>
        <w:rPr>
          <w:rFonts w:hint="eastAsia" w:ascii="宋体" w:hAnsi="宋体" w:cs="宋体"/>
          <w:color w:val="auto"/>
          <w:sz w:val="24"/>
        </w:rPr>
        <w:t>承包人提供的文件的期限为：</w:t>
      </w:r>
      <w:r>
        <w:rPr>
          <w:rFonts w:hint="eastAsia" w:ascii="宋体" w:hAnsi="宋体" w:cs="宋体"/>
          <w:color w:val="auto"/>
          <w:sz w:val="24"/>
          <w:u w:val="single"/>
        </w:rPr>
        <w:t>（1）以上第（1）部分内容的资料在签订合同之日起7日内；（2）以上第（2）部分内容的资料在项目计划实施前5日内；（3）以上第（3）部分内容的资料在工程竣工验收合格后10日内</w:t>
      </w:r>
      <w:r>
        <w:rPr>
          <w:rFonts w:hint="eastAsia" w:ascii="宋体" w:hAnsi="宋体" w:cs="宋体"/>
          <w:color w:val="auto"/>
          <w:sz w:val="24"/>
        </w:rPr>
        <w:t>；</w:t>
      </w:r>
    </w:p>
    <w:p w14:paraId="3C43D84A">
      <w:pPr>
        <w:spacing w:line="440" w:lineRule="exact"/>
        <w:ind w:firstLine="480" w:firstLineChars="200"/>
        <w:rPr>
          <w:rFonts w:ascii="宋体" w:hAnsi="宋体" w:cs="宋体"/>
          <w:color w:val="auto"/>
          <w:sz w:val="24"/>
        </w:rPr>
      </w:pPr>
      <w:bookmarkStart w:id="6" w:name="auto_fouce_9"/>
      <w:r>
        <w:rPr>
          <w:rFonts w:hint="eastAsia" w:ascii="宋体" w:hAnsi="宋体" w:cs="宋体"/>
          <w:color w:val="auto"/>
          <w:sz w:val="24"/>
        </w:rPr>
        <w:t>承包人提供的文件的数量为：</w:t>
      </w:r>
      <w:r>
        <w:rPr>
          <w:rFonts w:hint="eastAsia" w:ascii="宋体" w:hAnsi="宋体" w:cs="宋体"/>
          <w:color w:val="auto"/>
          <w:sz w:val="24"/>
          <w:u w:val="single"/>
        </w:rPr>
        <w:t>工程竣工备案资料（含竣工图）5套，其余资料均2套</w:t>
      </w:r>
      <w:r>
        <w:rPr>
          <w:rFonts w:hint="eastAsia" w:ascii="宋体" w:hAnsi="宋体" w:cs="宋体"/>
          <w:color w:val="auto"/>
          <w:sz w:val="24"/>
        </w:rPr>
        <w:t>；</w:t>
      </w:r>
      <w:bookmarkEnd w:id="6"/>
    </w:p>
    <w:p w14:paraId="77EDC618">
      <w:pPr>
        <w:spacing w:line="440" w:lineRule="exact"/>
        <w:ind w:firstLine="480" w:firstLineChars="200"/>
        <w:rPr>
          <w:rFonts w:ascii="宋体" w:hAnsi="宋体" w:cs="宋体"/>
          <w:color w:val="auto"/>
          <w:sz w:val="24"/>
        </w:rPr>
      </w:pPr>
      <w:r>
        <w:rPr>
          <w:rFonts w:hint="eastAsia" w:ascii="宋体" w:hAnsi="宋体" w:cs="宋体"/>
          <w:color w:val="auto"/>
          <w:sz w:val="24"/>
        </w:rPr>
        <w:t>承包人提供的文件的形式为：</w:t>
      </w:r>
      <w:r>
        <w:rPr>
          <w:rFonts w:hint="eastAsia" w:ascii="宋体" w:hAnsi="宋体" w:cs="宋体"/>
          <w:color w:val="auto"/>
          <w:sz w:val="24"/>
          <w:u w:val="single"/>
        </w:rPr>
        <w:t>纸质材料加电子版</w:t>
      </w:r>
      <w:r>
        <w:rPr>
          <w:rFonts w:hint="eastAsia" w:ascii="宋体" w:hAnsi="宋体" w:cs="宋体"/>
          <w:color w:val="auto"/>
          <w:sz w:val="24"/>
        </w:rPr>
        <w:t>；</w:t>
      </w:r>
    </w:p>
    <w:p w14:paraId="0E40F6A8">
      <w:pPr>
        <w:spacing w:line="440" w:lineRule="exact"/>
        <w:ind w:firstLine="480" w:firstLineChars="200"/>
        <w:rPr>
          <w:rFonts w:ascii="宋体" w:hAnsi="宋体" w:cs="宋体"/>
          <w:color w:val="auto"/>
          <w:sz w:val="24"/>
          <w:u w:val="single"/>
        </w:rPr>
      </w:pPr>
      <w:bookmarkStart w:id="7" w:name="auto_fouce_10"/>
      <w:r>
        <w:rPr>
          <w:rFonts w:hint="eastAsia" w:ascii="宋体" w:hAnsi="宋体" w:cs="宋体"/>
          <w:color w:val="auto"/>
          <w:sz w:val="24"/>
        </w:rPr>
        <w:t>发包人审批承包人文件的期限：</w:t>
      </w:r>
      <w:r>
        <w:rPr>
          <w:rFonts w:hint="eastAsia" w:ascii="宋体" w:hAnsi="宋体" w:cs="宋体"/>
          <w:color w:val="auto"/>
          <w:sz w:val="24"/>
          <w:u w:val="single"/>
        </w:rPr>
        <w:t>（1）以上第（1）部分内容的资料在收到后3日内；</w:t>
      </w:r>
    </w:p>
    <w:p w14:paraId="58228CC2">
      <w:pPr>
        <w:spacing w:line="440" w:lineRule="exact"/>
        <w:ind w:firstLine="3840" w:firstLineChars="1600"/>
        <w:rPr>
          <w:rFonts w:ascii="宋体" w:hAnsi="宋体" w:cs="宋体"/>
          <w:color w:val="auto"/>
          <w:sz w:val="24"/>
          <w:u w:val="single"/>
        </w:rPr>
      </w:pPr>
      <w:r>
        <w:rPr>
          <w:rFonts w:hint="eastAsia" w:ascii="宋体" w:hAnsi="宋体" w:cs="宋体"/>
          <w:color w:val="auto"/>
          <w:sz w:val="24"/>
          <w:u w:val="single"/>
        </w:rPr>
        <w:t>（2）以上第（2）部分内容的资料在收到后3日内；</w:t>
      </w:r>
    </w:p>
    <w:p w14:paraId="400568C3">
      <w:pPr>
        <w:spacing w:line="440" w:lineRule="exact"/>
        <w:ind w:firstLine="3840" w:firstLineChars="1600"/>
        <w:rPr>
          <w:rFonts w:ascii="宋体" w:hAnsi="宋体" w:cs="宋体"/>
          <w:color w:val="auto"/>
          <w:sz w:val="24"/>
          <w:u w:val="single"/>
        </w:rPr>
      </w:pPr>
      <w:r>
        <w:rPr>
          <w:rFonts w:hint="eastAsia" w:ascii="宋体" w:hAnsi="宋体" w:cs="宋体"/>
          <w:color w:val="auto"/>
          <w:sz w:val="24"/>
          <w:u w:val="single"/>
        </w:rPr>
        <w:t>（3）以上第（3）部分内容的资料在收到后20日内。</w:t>
      </w:r>
      <w:bookmarkEnd w:id="7"/>
    </w:p>
    <w:p w14:paraId="56BB7298">
      <w:pPr>
        <w:spacing w:line="440" w:lineRule="exact"/>
        <w:ind w:firstLine="480" w:firstLineChars="200"/>
        <w:rPr>
          <w:rFonts w:ascii="宋体" w:hAnsi="宋体" w:cs="宋体"/>
          <w:color w:val="auto"/>
          <w:sz w:val="24"/>
        </w:rPr>
      </w:pPr>
      <w:r>
        <w:rPr>
          <w:rFonts w:hint="eastAsia" w:ascii="宋体" w:hAnsi="宋体" w:cs="宋体"/>
          <w:color w:val="auto"/>
          <w:sz w:val="24"/>
        </w:rPr>
        <w:t>1.6.</w:t>
      </w:r>
      <w:r>
        <w:rPr>
          <w:rFonts w:ascii="宋体" w:hAnsi="宋体" w:cs="宋体"/>
          <w:color w:val="auto"/>
          <w:sz w:val="24"/>
        </w:rPr>
        <w:t>3</w:t>
      </w:r>
      <w:r>
        <w:rPr>
          <w:rFonts w:hint="eastAsia" w:ascii="宋体" w:hAnsi="宋体" w:cs="宋体"/>
          <w:color w:val="auto"/>
          <w:sz w:val="24"/>
        </w:rPr>
        <w:t xml:space="preserve"> 现场图纸准备</w:t>
      </w:r>
    </w:p>
    <w:p w14:paraId="49CB96E0">
      <w:pPr>
        <w:spacing w:line="440" w:lineRule="exact"/>
        <w:ind w:firstLine="480" w:firstLineChars="200"/>
        <w:rPr>
          <w:rFonts w:ascii="宋体" w:hAnsi="宋体" w:cs="宋体"/>
          <w:color w:val="auto"/>
          <w:sz w:val="24"/>
        </w:rPr>
      </w:pPr>
      <w:r>
        <w:rPr>
          <w:rFonts w:hint="eastAsia" w:ascii="宋体" w:hAnsi="宋体" w:cs="宋体"/>
          <w:color w:val="auto"/>
          <w:sz w:val="24"/>
        </w:rPr>
        <w:t>关于现场图纸准备的约定：</w:t>
      </w:r>
      <w:r>
        <w:rPr>
          <w:rFonts w:hint="eastAsia" w:ascii="宋体" w:hAnsi="宋体" w:cs="宋体"/>
          <w:color w:val="auto"/>
          <w:sz w:val="24"/>
          <w:u w:val="single"/>
        </w:rPr>
        <w:t>按通用条款第1.6款执行。承包人应在施工现场保留一套完整的施工图纸，供工程师及有关人员进行工程检查时使用，未经发包人书面同意不得将图纸泄露和转让给第三方</w:t>
      </w:r>
      <w:r>
        <w:rPr>
          <w:rFonts w:hint="eastAsia" w:ascii="宋体" w:hAnsi="宋体" w:cs="宋体"/>
          <w:color w:val="auto"/>
          <w:sz w:val="24"/>
        </w:rPr>
        <w:t>。</w:t>
      </w:r>
    </w:p>
    <w:p w14:paraId="50EA1B9F">
      <w:pPr>
        <w:spacing w:line="440" w:lineRule="exact"/>
        <w:ind w:firstLine="480" w:firstLineChars="200"/>
        <w:rPr>
          <w:rFonts w:ascii="宋体" w:hAnsi="宋体" w:cs="宋体"/>
          <w:color w:val="auto"/>
          <w:sz w:val="24"/>
        </w:rPr>
      </w:pPr>
      <w:r>
        <w:rPr>
          <w:rFonts w:hint="eastAsia" w:ascii="宋体" w:hAnsi="宋体" w:cs="宋体"/>
          <w:color w:val="auto"/>
          <w:sz w:val="24"/>
        </w:rPr>
        <w:t>1.7 联络</w:t>
      </w:r>
    </w:p>
    <w:p w14:paraId="65B09C99">
      <w:pPr>
        <w:spacing w:line="440" w:lineRule="exact"/>
        <w:ind w:firstLine="480" w:firstLineChars="200"/>
        <w:rPr>
          <w:rFonts w:ascii="宋体" w:hAnsi="宋体" w:cs="宋体"/>
          <w:color w:val="auto"/>
          <w:sz w:val="24"/>
        </w:rPr>
      </w:pPr>
      <w:r>
        <w:rPr>
          <w:rFonts w:hint="eastAsia" w:ascii="宋体" w:hAnsi="宋体" w:cs="宋体"/>
          <w:color w:val="auto"/>
          <w:sz w:val="24"/>
        </w:rPr>
        <w:t>1.7.1 发包人和承包人应当在</w:t>
      </w:r>
      <w:r>
        <w:rPr>
          <w:rFonts w:hint="eastAsia" w:ascii="宋体" w:hAnsi="宋体" w:cs="宋体"/>
          <w:color w:val="auto"/>
          <w:sz w:val="24"/>
          <w:u w:val="single"/>
        </w:rPr>
        <w:t>3</w:t>
      </w:r>
      <w:r>
        <w:rPr>
          <w:rFonts w:hint="eastAsia" w:ascii="宋体" w:hAnsi="宋体" w:cs="宋体"/>
          <w:color w:val="auto"/>
          <w:sz w:val="24"/>
        </w:rPr>
        <w:t>天内将与合同有关的通知、批准、证明、证书、指示、指令、要求、请求、同意、意见、确定和决定等书面函件送达对方当事人。</w:t>
      </w:r>
    </w:p>
    <w:p w14:paraId="1ACA001E">
      <w:pPr>
        <w:spacing w:line="440" w:lineRule="exact"/>
        <w:ind w:firstLine="480" w:firstLineChars="200"/>
        <w:rPr>
          <w:rFonts w:ascii="宋体" w:hAnsi="宋体" w:cs="宋体"/>
          <w:color w:val="auto"/>
          <w:sz w:val="24"/>
        </w:rPr>
      </w:pPr>
      <w:r>
        <w:rPr>
          <w:rFonts w:hint="eastAsia" w:ascii="宋体" w:hAnsi="宋体" w:cs="宋体"/>
          <w:color w:val="auto"/>
          <w:sz w:val="24"/>
        </w:rPr>
        <w:t>1.7.2 发包人接收文件的地点：</w:t>
      </w:r>
      <w:r>
        <w:rPr>
          <w:rFonts w:hint="eastAsia" w:ascii="宋体" w:hAnsi="宋体" w:cs="宋体"/>
          <w:color w:val="auto"/>
          <w:sz w:val="24"/>
          <w:u w:val="single"/>
        </w:rPr>
        <w:t>行政办公地点优先于施工现场</w:t>
      </w:r>
      <w:r>
        <w:rPr>
          <w:rFonts w:hint="eastAsia" w:ascii="宋体" w:hAnsi="宋体" w:cs="宋体"/>
          <w:color w:val="auto"/>
          <w:sz w:val="24"/>
        </w:rPr>
        <w:t>；</w:t>
      </w:r>
    </w:p>
    <w:p w14:paraId="0B2570E7">
      <w:pPr>
        <w:spacing w:line="440" w:lineRule="exact"/>
        <w:ind w:firstLine="480" w:firstLineChars="200"/>
        <w:rPr>
          <w:rFonts w:ascii="宋体" w:hAnsi="宋体" w:cs="宋体"/>
          <w:color w:val="auto"/>
          <w:sz w:val="24"/>
        </w:rPr>
      </w:pPr>
      <w:r>
        <w:rPr>
          <w:rFonts w:hint="eastAsia" w:ascii="宋体" w:hAnsi="宋体" w:cs="宋体"/>
          <w:color w:val="auto"/>
          <w:sz w:val="24"/>
        </w:rPr>
        <w:t>发包人指定的接收人为：</w:t>
      </w:r>
      <w:r>
        <w:rPr>
          <w:rFonts w:hint="eastAsia" w:ascii="宋体" w:hAnsi="宋体" w:cs="宋体"/>
          <w:color w:val="auto"/>
          <w:sz w:val="24"/>
          <w:u w:val="single"/>
        </w:rPr>
        <w:t>按本合同专用条款第2.1条执行</w:t>
      </w:r>
      <w:r>
        <w:rPr>
          <w:rFonts w:hint="eastAsia" w:ascii="宋体" w:hAnsi="宋体" w:cs="宋体"/>
          <w:color w:val="auto"/>
          <w:sz w:val="24"/>
        </w:rPr>
        <w:t>。</w:t>
      </w:r>
    </w:p>
    <w:p w14:paraId="5AC40318">
      <w:pPr>
        <w:spacing w:line="440" w:lineRule="exact"/>
        <w:ind w:firstLine="480" w:firstLineChars="200"/>
        <w:rPr>
          <w:rFonts w:ascii="宋体" w:hAnsi="宋体" w:cs="宋体"/>
          <w:color w:val="auto"/>
          <w:sz w:val="24"/>
        </w:rPr>
      </w:pPr>
      <w:r>
        <w:rPr>
          <w:rFonts w:hint="eastAsia" w:ascii="宋体" w:hAnsi="宋体" w:cs="宋体"/>
          <w:color w:val="auto"/>
          <w:sz w:val="24"/>
        </w:rPr>
        <w:t>承包人接收文件的地点：</w:t>
      </w:r>
      <w:r>
        <w:rPr>
          <w:rFonts w:hint="eastAsia" w:ascii="宋体" w:hAnsi="宋体" w:cs="宋体"/>
          <w:color w:val="auto"/>
          <w:sz w:val="24"/>
          <w:u w:val="single"/>
        </w:rPr>
        <w:t>项目所在地承包人项目部</w:t>
      </w:r>
      <w:r>
        <w:rPr>
          <w:rFonts w:hint="eastAsia" w:ascii="宋体" w:hAnsi="宋体" w:cs="宋体"/>
          <w:color w:val="auto"/>
          <w:sz w:val="24"/>
        </w:rPr>
        <w:t>；承包人指定的接收人为：</w:t>
      </w:r>
      <w:r>
        <w:rPr>
          <w:rFonts w:hint="eastAsia" w:ascii="宋体" w:hAnsi="宋体" w:cs="宋体"/>
          <w:color w:val="auto"/>
          <w:sz w:val="24"/>
          <w:u w:val="single"/>
        </w:rPr>
        <w:t>承包方项目经理或技术（现场）负责人</w:t>
      </w:r>
      <w:r>
        <w:rPr>
          <w:rFonts w:hint="eastAsia" w:ascii="宋体" w:hAnsi="宋体" w:cs="宋体"/>
          <w:color w:val="auto"/>
          <w:sz w:val="24"/>
        </w:rPr>
        <w:t>。</w:t>
      </w:r>
    </w:p>
    <w:p w14:paraId="55303961">
      <w:pPr>
        <w:spacing w:line="440" w:lineRule="exact"/>
        <w:ind w:firstLine="480" w:firstLineChars="200"/>
        <w:rPr>
          <w:rFonts w:ascii="宋体" w:hAnsi="宋体" w:cs="宋体"/>
          <w:color w:val="auto"/>
          <w:sz w:val="24"/>
        </w:rPr>
      </w:pPr>
      <w:r>
        <w:rPr>
          <w:rFonts w:hint="eastAsia" w:ascii="宋体" w:hAnsi="宋体" w:cs="宋体"/>
          <w:color w:val="auto"/>
          <w:sz w:val="24"/>
        </w:rPr>
        <w:t>监理人接收文件的地点：</w:t>
      </w:r>
      <w:r>
        <w:rPr>
          <w:rFonts w:hint="eastAsia" w:ascii="宋体" w:hAnsi="宋体" w:cs="宋体"/>
          <w:color w:val="auto"/>
          <w:sz w:val="24"/>
          <w:u w:val="single"/>
        </w:rPr>
        <w:t>项目所在地监理人办公室</w:t>
      </w:r>
      <w:r>
        <w:rPr>
          <w:rFonts w:hint="eastAsia" w:ascii="宋体" w:hAnsi="宋体" w:cs="宋体"/>
          <w:color w:val="auto"/>
          <w:sz w:val="24"/>
        </w:rPr>
        <w:t>；监理人指定的接收人为：</w:t>
      </w:r>
      <w:r>
        <w:rPr>
          <w:rFonts w:hint="eastAsia" w:ascii="宋体" w:hAnsi="宋体" w:cs="宋体"/>
          <w:color w:val="auto"/>
          <w:sz w:val="24"/>
          <w:u w:val="single"/>
        </w:rPr>
        <w:t>总监理工程师或总监代表</w:t>
      </w:r>
      <w:r>
        <w:rPr>
          <w:rFonts w:hint="eastAsia" w:ascii="宋体" w:hAnsi="宋体" w:cs="宋体"/>
          <w:color w:val="auto"/>
          <w:sz w:val="24"/>
        </w:rPr>
        <w:t>。</w:t>
      </w:r>
    </w:p>
    <w:p w14:paraId="6E7E239A">
      <w:pPr>
        <w:spacing w:line="440" w:lineRule="exact"/>
        <w:ind w:firstLine="480" w:firstLineChars="200"/>
        <w:rPr>
          <w:rFonts w:ascii="宋体" w:hAnsi="宋体" w:cs="宋体"/>
          <w:color w:val="auto"/>
          <w:sz w:val="24"/>
          <w:u w:val="single"/>
        </w:rPr>
      </w:pPr>
      <w:r>
        <w:rPr>
          <w:rFonts w:hint="eastAsia" w:ascii="宋体" w:hAnsi="宋体" w:cs="宋体"/>
          <w:color w:val="auto"/>
          <w:sz w:val="24"/>
        </w:rPr>
        <w:t>注：</w:t>
      </w:r>
      <w:r>
        <w:rPr>
          <w:rFonts w:hint="eastAsia" w:ascii="宋体" w:hAnsi="宋体" w:cs="宋体"/>
          <w:color w:val="auto"/>
          <w:sz w:val="24"/>
          <w:u w:val="single"/>
        </w:rPr>
        <w:t>（1）除合同另有约定外，任何与本合同有关的通知、批准、证明、证书、指示、指令、要求、请求、同意、意见、确定和决定等或其他通讯往来应当采用书面形式并送达至上述列明的地址。除合同另有约定外，任何面呈的通知或其他通讯往来递交并得到签收时视为送达；任何以特快专递方式发出的通知或其他通讯往来在投邮后3个工作日视为送达；任何以邮寄方式发出的通知或其他通讯往来在投邮后7个工作日视为送达；任何以传真方式发出的通知或其他通讯往来在发出时视为送达。任何写上本合同列明的地址邮寄的信件及任何附有收件人已收取传真的传真报告，将视为任何有关通知或其他通讯往来已根据本合同被妥善传递及发出。</w:t>
      </w:r>
    </w:p>
    <w:p w14:paraId="766DD39D">
      <w:pPr>
        <w:spacing w:line="440" w:lineRule="exact"/>
        <w:ind w:firstLine="480" w:firstLineChars="200"/>
        <w:rPr>
          <w:rFonts w:ascii="宋体" w:hAnsi="宋体" w:cs="宋体"/>
          <w:color w:val="auto"/>
          <w:sz w:val="24"/>
          <w:u w:val="single"/>
        </w:rPr>
      </w:pPr>
      <w:r>
        <w:rPr>
          <w:rFonts w:hint="eastAsia" w:ascii="宋体" w:hAnsi="宋体" w:cs="宋体"/>
          <w:color w:val="auto"/>
          <w:sz w:val="24"/>
          <w:u w:val="single"/>
        </w:rPr>
        <w:t>（2）承包人指定的接收人为合同协议书中载明的承包人项目经理本人或者项目经理的授权代表。项目经理委托授权代表作为接收人的，应在收到开工通知后1天内，将其授权代表的姓名、授权范围和签名式样通知监理人和发包人。除合同另有约定外，承包人施工场地管理机构的办公地点即为承包人指定的接收地点。</w:t>
      </w:r>
    </w:p>
    <w:p w14:paraId="706B6630">
      <w:pPr>
        <w:spacing w:line="440" w:lineRule="exact"/>
        <w:ind w:firstLine="480" w:firstLineChars="200"/>
        <w:rPr>
          <w:rFonts w:ascii="宋体" w:hAnsi="宋体" w:cs="宋体"/>
          <w:color w:val="auto"/>
          <w:sz w:val="24"/>
          <w:u w:val="single"/>
        </w:rPr>
      </w:pPr>
      <w:r>
        <w:rPr>
          <w:rFonts w:hint="eastAsia" w:ascii="宋体" w:hAnsi="宋体" w:cs="宋体"/>
          <w:color w:val="auto"/>
          <w:sz w:val="24"/>
          <w:u w:val="single"/>
        </w:rPr>
        <w:t>（3）以上任何一方指定的接收人或者接收地点发生变动，应当提前至少一个工作日以书面方式通知其他各方，并应当确保其指定的接收人在法定的和（或）符合合同约定的工作时间内始终工作在指定的接收地点，指定接收人离开工作岗位而无法及时签收来往信函的，构成拒不签收。</w:t>
      </w:r>
    </w:p>
    <w:p w14:paraId="76452A3E">
      <w:pPr>
        <w:spacing w:line="440" w:lineRule="exact"/>
        <w:ind w:firstLine="480" w:firstLineChars="200"/>
        <w:rPr>
          <w:rFonts w:ascii="宋体" w:hAnsi="宋体" w:cs="宋体"/>
          <w:color w:val="auto"/>
          <w:sz w:val="24"/>
          <w:u w:val="single"/>
        </w:rPr>
      </w:pPr>
      <w:r>
        <w:rPr>
          <w:rFonts w:hint="eastAsia" w:ascii="宋体" w:hAnsi="宋体" w:cs="宋体"/>
          <w:color w:val="auto"/>
          <w:sz w:val="24"/>
          <w:u w:val="single"/>
        </w:rPr>
        <w:t>（4）以上任何一方均应当及时签收另一方送达其指定接收地点的来往信函，拒不签收的，送达信函的一方可以采用挂号或者公证方式送达，由此所造成的直接和间接的费用增加（包括被迫采用特殊送达方式所发生的费用）和（或）延误的工期由拒绝签收的一方承担。</w:t>
      </w:r>
    </w:p>
    <w:p w14:paraId="04263A3F">
      <w:pPr>
        <w:spacing w:line="440" w:lineRule="exact"/>
        <w:ind w:firstLine="480" w:firstLineChars="200"/>
        <w:rPr>
          <w:rFonts w:ascii="宋体" w:hAnsi="宋体" w:cs="宋体"/>
          <w:color w:val="auto"/>
          <w:sz w:val="24"/>
        </w:rPr>
      </w:pPr>
      <w:r>
        <w:rPr>
          <w:rFonts w:hint="eastAsia" w:ascii="宋体" w:hAnsi="宋体" w:cs="宋体"/>
          <w:color w:val="auto"/>
          <w:sz w:val="24"/>
        </w:rPr>
        <w:t>1.</w:t>
      </w:r>
      <w:r>
        <w:rPr>
          <w:rFonts w:ascii="宋体" w:hAnsi="宋体" w:cs="宋体"/>
          <w:color w:val="auto"/>
          <w:sz w:val="24"/>
        </w:rPr>
        <w:t>8</w:t>
      </w:r>
      <w:r>
        <w:rPr>
          <w:rFonts w:hint="eastAsia" w:ascii="宋体" w:hAnsi="宋体" w:cs="宋体"/>
          <w:color w:val="auto"/>
          <w:sz w:val="24"/>
        </w:rPr>
        <w:t xml:space="preserve"> 交通运输</w:t>
      </w:r>
    </w:p>
    <w:p w14:paraId="4FBFC2C8">
      <w:pPr>
        <w:spacing w:line="440" w:lineRule="exact"/>
        <w:ind w:firstLine="480" w:firstLineChars="200"/>
        <w:rPr>
          <w:rFonts w:ascii="宋体" w:hAnsi="宋体" w:cs="宋体"/>
          <w:color w:val="auto"/>
          <w:sz w:val="24"/>
        </w:rPr>
      </w:pPr>
      <w:r>
        <w:rPr>
          <w:rFonts w:hint="eastAsia" w:ascii="宋体" w:hAnsi="宋体" w:cs="宋体"/>
          <w:color w:val="auto"/>
          <w:sz w:val="24"/>
        </w:rPr>
        <w:t>1.</w:t>
      </w:r>
      <w:r>
        <w:rPr>
          <w:rFonts w:ascii="宋体" w:hAnsi="宋体" w:cs="宋体"/>
          <w:color w:val="auto"/>
          <w:sz w:val="24"/>
        </w:rPr>
        <w:t>8</w:t>
      </w:r>
      <w:r>
        <w:rPr>
          <w:rFonts w:hint="eastAsia" w:ascii="宋体" w:hAnsi="宋体" w:cs="宋体"/>
          <w:color w:val="auto"/>
          <w:sz w:val="24"/>
        </w:rPr>
        <w:t>.1 出入现场的权利</w:t>
      </w:r>
    </w:p>
    <w:p w14:paraId="41E0F3E4">
      <w:pPr>
        <w:spacing w:line="440" w:lineRule="exact"/>
        <w:ind w:firstLine="480" w:firstLineChars="200"/>
        <w:rPr>
          <w:rFonts w:ascii="宋体" w:hAnsi="宋体" w:cs="宋体"/>
          <w:color w:val="auto"/>
          <w:sz w:val="24"/>
        </w:rPr>
      </w:pPr>
      <w:r>
        <w:rPr>
          <w:rFonts w:hint="eastAsia" w:ascii="宋体" w:hAnsi="宋体" w:cs="宋体"/>
          <w:color w:val="auto"/>
          <w:sz w:val="24"/>
        </w:rPr>
        <w:t>关于出入现场的权利的约定：</w:t>
      </w:r>
      <w:r>
        <w:rPr>
          <w:rFonts w:hint="eastAsia" w:ascii="宋体" w:hAnsi="宋体" w:cs="宋体"/>
          <w:color w:val="auto"/>
          <w:sz w:val="24"/>
          <w:u w:val="single"/>
        </w:rPr>
        <w:t>由承包人按发包人要求办理出入施工现场所需的批准手续，在发包人确定的路线和活动区域内开展施工，自觉遵守发包人的管理规定</w:t>
      </w:r>
      <w:r>
        <w:rPr>
          <w:rFonts w:hint="eastAsia" w:ascii="宋体" w:hAnsi="宋体" w:cs="宋体"/>
          <w:color w:val="auto"/>
          <w:sz w:val="24"/>
        </w:rPr>
        <w:t>。</w:t>
      </w:r>
    </w:p>
    <w:p w14:paraId="6E3DF69B">
      <w:pPr>
        <w:spacing w:line="440" w:lineRule="exact"/>
        <w:ind w:firstLine="480" w:firstLineChars="200"/>
        <w:rPr>
          <w:rFonts w:ascii="宋体" w:hAnsi="宋体" w:cs="宋体"/>
          <w:color w:val="auto"/>
          <w:sz w:val="24"/>
        </w:rPr>
      </w:pPr>
      <w:r>
        <w:rPr>
          <w:rFonts w:hint="eastAsia" w:ascii="宋体" w:hAnsi="宋体" w:cs="宋体"/>
          <w:color w:val="auto"/>
          <w:sz w:val="24"/>
        </w:rPr>
        <w:t>1.</w:t>
      </w:r>
      <w:r>
        <w:rPr>
          <w:rFonts w:ascii="宋体" w:hAnsi="宋体" w:cs="宋体"/>
          <w:color w:val="auto"/>
          <w:sz w:val="24"/>
        </w:rPr>
        <w:t>8</w:t>
      </w:r>
      <w:r>
        <w:rPr>
          <w:rFonts w:hint="eastAsia" w:ascii="宋体" w:hAnsi="宋体" w:cs="宋体"/>
          <w:color w:val="auto"/>
          <w:sz w:val="24"/>
        </w:rPr>
        <w:t>.</w:t>
      </w:r>
      <w:r>
        <w:rPr>
          <w:rFonts w:ascii="宋体" w:hAnsi="宋体" w:cs="宋体"/>
          <w:color w:val="auto"/>
          <w:sz w:val="24"/>
        </w:rPr>
        <w:t>2</w:t>
      </w:r>
      <w:r>
        <w:rPr>
          <w:rFonts w:hint="eastAsia" w:ascii="宋体" w:hAnsi="宋体" w:cs="宋体"/>
          <w:color w:val="auto"/>
          <w:sz w:val="24"/>
        </w:rPr>
        <w:t xml:space="preserve"> 场内交通</w:t>
      </w:r>
    </w:p>
    <w:p w14:paraId="0345E8DD">
      <w:pPr>
        <w:spacing w:line="440" w:lineRule="exact"/>
        <w:ind w:firstLine="480" w:firstLineChars="200"/>
        <w:rPr>
          <w:rFonts w:ascii="宋体" w:hAnsi="宋体" w:cs="宋体"/>
          <w:color w:val="auto"/>
          <w:sz w:val="24"/>
        </w:rPr>
      </w:pPr>
      <w:r>
        <w:rPr>
          <w:rFonts w:hint="eastAsia" w:ascii="宋体" w:hAnsi="宋体" w:cs="宋体"/>
          <w:color w:val="auto"/>
          <w:sz w:val="24"/>
        </w:rPr>
        <w:t>关于场外交通和场内交通的边界的约定：</w:t>
      </w:r>
      <w:r>
        <w:rPr>
          <w:rFonts w:hint="eastAsia" w:ascii="宋体" w:hAnsi="宋体" w:cs="宋体"/>
          <w:color w:val="auto"/>
          <w:sz w:val="24"/>
          <w:u w:val="single"/>
        </w:rPr>
        <w:t xml:space="preserve">以现场实际施工条件为准 </w:t>
      </w:r>
      <w:r>
        <w:rPr>
          <w:rFonts w:hint="eastAsia" w:ascii="宋体" w:hAnsi="宋体" w:cs="宋体"/>
          <w:color w:val="auto"/>
          <w:sz w:val="24"/>
        </w:rPr>
        <w:t>。</w:t>
      </w:r>
    </w:p>
    <w:p w14:paraId="34CC0A3A">
      <w:pPr>
        <w:spacing w:line="440" w:lineRule="exact"/>
        <w:ind w:firstLine="480" w:firstLineChars="200"/>
        <w:rPr>
          <w:rFonts w:ascii="宋体" w:hAnsi="宋体" w:cs="宋体"/>
          <w:color w:val="auto"/>
          <w:sz w:val="24"/>
        </w:rPr>
      </w:pPr>
      <w:r>
        <w:rPr>
          <w:rFonts w:hint="eastAsia" w:ascii="宋体" w:hAnsi="宋体" w:cs="宋体"/>
          <w:color w:val="auto"/>
          <w:sz w:val="24"/>
        </w:rPr>
        <w:t>关于发包人向承包人免费提供满足工程施工需要的场内道路和交通设施的约定：</w:t>
      </w:r>
      <w:r>
        <w:rPr>
          <w:rFonts w:hint="eastAsia" w:ascii="宋体" w:hAnsi="宋体" w:cs="宋体"/>
          <w:color w:val="auto"/>
          <w:sz w:val="24"/>
          <w:u w:val="single"/>
        </w:rPr>
        <w:t>以现场实际施工条件为准</w:t>
      </w:r>
      <w:r>
        <w:rPr>
          <w:rFonts w:hint="eastAsia" w:ascii="宋体" w:hAnsi="宋体" w:cs="宋体"/>
          <w:color w:val="auto"/>
          <w:sz w:val="24"/>
        </w:rPr>
        <w:t>。</w:t>
      </w:r>
    </w:p>
    <w:p w14:paraId="6E236D78">
      <w:pPr>
        <w:spacing w:line="440" w:lineRule="exact"/>
        <w:ind w:firstLine="480" w:firstLineChars="200"/>
        <w:rPr>
          <w:rFonts w:ascii="宋体" w:hAnsi="宋体" w:cs="宋体"/>
          <w:color w:val="auto"/>
          <w:sz w:val="24"/>
        </w:rPr>
      </w:pPr>
      <w:r>
        <w:rPr>
          <w:rFonts w:ascii="宋体" w:hAnsi="宋体" w:cs="宋体"/>
          <w:color w:val="auto"/>
          <w:sz w:val="24"/>
        </w:rPr>
        <w:t>关于承包人出入校园的停车费的约定：</w:t>
      </w:r>
      <w:r>
        <w:rPr>
          <w:rFonts w:ascii="宋体" w:hAnsi="宋体" w:cs="宋体"/>
          <w:color w:val="auto"/>
          <w:sz w:val="24"/>
          <w:u w:val="single"/>
        </w:rPr>
        <w:t>由承包人自负</w:t>
      </w:r>
      <w:r>
        <w:rPr>
          <w:rFonts w:ascii="宋体" w:hAnsi="宋体" w:cs="宋体"/>
          <w:color w:val="auto"/>
          <w:sz w:val="24"/>
        </w:rPr>
        <w:t>。</w:t>
      </w:r>
    </w:p>
    <w:p w14:paraId="11203010">
      <w:pPr>
        <w:spacing w:line="440" w:lineRule="exact"/>
        <w:ind w:firstLine="480" w:firstLineChars="200"/>
        <w:rPr>
          <w:rFonts w:ascii="宋体" w:hAnsi="宋体" w:cs="宋体"/>
          <w:color w:val="auto"/>
          <w:sz w:val="24"/>
        </w:rPr>
      </w:pPr>
      <w:r>
        <w:rPr>
          <w:rFonts w:hint="eastAsia" w:ascii="宋体" w:hAnsi="宋体" w:cs="宋体"/>
          <w:color w:val="auto"/>
          <w:sz w:val="24"/>
        </w:rPr>
        <w:t>1.</w:t>
      </w:r>
      <w:r>
        <w:rPr>
          <w:rFonts w:ascii="宋体" w:hAnsi="宋体" w:cs="宋体"/>
          <w:color w:val="auto"/>
          <w:sz w:val="24"/>
        </w:rPr>
        <w:t>8</w:t>
      </w:r>
      <w:r>
        <w:rPr>
          <w:rFonts w:hint="eastAsia" w:ascii="宋体" w:hAnsi="宋体" w:cs="宋体"/>
          <w:color w:val="auto"/>
          <w:sz w:val="24"/>
        </w:rPr>
        <w:t>.</w:t>
      </w:r>
      <w:r>
        <w:rPr>
          <w:rFonts w:ascii="宋体" w:hAnsi="宋体" w:cs="宋体"/>
          <w:color w:val="auto"/>
          <w:sz w:val="24"/>
        </w:rPr>
        <w:t>3</w:t>
      </w:r>
      <w:r>
        <w:rPr>
          <w:rFonts w:hint="eastAsia" w:ascii="宋体" w:hAnsi="宋体" w:cs="宋体"/>
          <w:color w:val="auto"/>
          <w:sz w:val="24"/>
        </w:rPr>
        <w:t xml:space="preserve"> 超大件和超重件的运输</w:t>
      </w:r>
    </w:p>
    <w:p w14:paraId="7D318591">
      <w:pPr>
        <w:spacing w:line="440" w:lineRule="exact"/>
        <w:ind w:firstLine="480" w:firstLineChars="200"/>
        <w:rPr>
          <w:rFonts w:ascii="宋体" w:hAnsi="宋体" w:cs="宋体"/>
          <w:color w:val="auto"/>
          <w:sz w:val="24"/>
        </w:rPr>
      </w:pPr>
      <w:r>
        <w:rPr>
          <w:rFonts w:hint="eastAsia" w:ascii="宋体" w:hAnsi="宋体" w:cs="宋体"/>
          <w:color w:val="auto"/>
          <w:sz w:val="24"/>
        </w:rPr>
        <w:t>运输超大件或超重件所需的道路和桥梁临时加固改造费用和其他有关费用由</w:t>
      </w:r>
      <w:r>
        <w:rPr>
          <w:rFonts w:hint="eastAsia" w:ascii="宋体" w:hAnsi="宋体" w:cs="宋体"/>
          <w:color w:val="auto"/>
          <w:sz w:val="24"/>
          <w:u w:val="single"/>
        </w:rPr>
        <w:t>承包人</w:t>
      </w:r>
      <w:r>
        <w:rPr>
          <w:rFonts w:hint="eastAsia" w:ascii="宋体" w:hAnsi="宋体" w:cs="宋体"/>
          <w:color w:val="auto"/>
          <w:sz w:val="24"/>
        </w:rPr>
        <w:t>承担。</w:t>
      </w:r>
    </w:p>
    <w:p w14:paraId="1A63A66E">
      <w:pPr>
        <w:spacing w:line="440" w:lineRule="exact"/>
        <w:ind w:firstLine="480" w:firstLineChars="200"/>
        <w:rPr>
          <w:rFonts w:ascii="宋体" w:hAnsi="宋体" w:cs="宋体"/>
          <w:color w:val="auto"/>
          <w:sz w:val="24"/>
        </w:rPr>
      </w:pPr>
      <w:r>
        <w:rPr>
          <w:rFonts w:hint="eastAsia" w:ascii="宋体" w:hAnsi="宋体" w:cs="宋体"/>
          <w:color w:val="auto"/>
          <w:sz w:val="24"/>
        </w:rPr>
        <w:t>1.</w:t>
      </w:r>
      <w:r>
        <w:rPr>
          <w:rFonts w:ascii="宋体" w:hAnsi="宋体" w:cs="宋体"/>
          <w:color w:val="auto"/>
          <w:sz w:val="24"/>
        </w:rPr>
        <w:t>9</w:t>
      </w:r>
      <w:r>
        <w:rPr>
          <w:rFonts w:hint="eastAsia" w:ascii="宋体" w:hAnsi="宋体" w:cs="宋体"/>
          <w:color w:val="auto"/>
          <w:sz w:val="24"/>
        </w:rPr>
        <w:t xml:space="preserve"> 知识产权</w:t>
      </w:r>
    </w:p>
    <w:p w14:paraId="34720587">
      <w:pPr>
        <w:spacing w:line="440" w:lineRule="exact"/>
        <w:ind w:firstLine="480" w:firstLineChars="200"/>
        <w:rPr>
          <w:rFonts w:ascii="宋体" w:hAnsi="宋体" w:cs="宋体"/>
          <w:color w:val="auto"/>
          <w:sz w:val="24"/>
        </w:rPr>
      </w:pPr>
      <w:r>
        <w:rPr>
          <w:rFonts w:hint="eastAsia" w:ascii="宋体" w:hAnsi="宋体" w:cs="宋体"/>
          <w:color w:val="auto"/>
          <w:sz w:val="24"/>
        </w:rPr>
        <w:t>1.</w:t>
      </w:r>
      <w:r>
        <w:rPr>
          <w:rFonts w:ascii="宋体" w:hAnsi="宋体" w:cs="宋体"/>
          <w:color w:val="auto"/>
          <w:sz w:val="24"/>
        </w:rPr>
        <w:t>9</w:t>
      </w:r>
      <w:r>
        <w:rPr>
          <w:rFonts w:hint="eastAsia" w:ascii="宋体" w:hAnsi="宋体" w:cs="宋体"/>
          <w:color w:val="auto"/>
          <w:sz w:val="24"/>
        </w:rPr>
        <w:t>.1 关于发包人提供给承包人的图纸、发包人为实施工程自行编制或委托编制的技术规范以及反映发包人关于合同要求或其他类似性质的文件的著作权的归属：</w:t>
      </w:r>
      <w:r>
        <w:rPr>
          <w:rFonts w:hint="eastAsia" w:ascii="宋体" w:hAnsi="宋体" w:cs="宋体"/>
          <w:color w:val="auto"/>
          <w:sz w:val="24"/>
          <w:u w:val="single"/>
        </w:rPr>
        <w:t>发包人</w:t>
      </w:r>
      <w:r>
        <w:rPr>
          <w:rFonts w:hint="eastAsia" w:ascii="宋体" w:hAnsi="宋体" w:cs="宋体"/>
          <w:color w:val="auto"/>
          <w:sz w:val="24"/>
        </w:rPr>
        <w:t>。</w:t>
      </w:r>
    </w:p>
    <w:p w14:paraId="5D952EFD">
      <w:pPr>
        <w:spacing w:line="440" w:lineRule="exact"/>
        <w:ind w:firstLine="480" w:firstLineChars="200"/>
        <w:rPr>
          <w:rFonts w:ascii="宋体" w:hAnsi="宋体" w:cs="宋体"/>
          <w:color w:val="auto"/>
          <w:sz w:val="24"/>
        </w:rPr>
      </w:pPr>
      <w:r>
        <w:rPr>
          <w:rFonts w:hint="eastAsia" w:ascii="宋体" w:hAnsi="宋体" w:cs="宋体"/>
          <w:color w:val="auto"/>
          <w:sz w:val="24"/>
        </w:rPr>
        <w:t>关于发包人提供的上述文件的使用限制的要求：</w:t>
      </w:r>
      <w:r>
        <w:rPr>
          <w:rFonts w:hint="eastAsia" w:ascii="宋体" w:hAnsi="宋体" w:cs="宋体"/>
          <w:color w:val="auto"/>
          <w:sz w:val="24"/>
          <w:u w:val="single"/>
        </w:rPr>
        <w:t>只能用于本项目，未经发包人同意，承包人不得为了合同以外的目的而复制、使用上述文件或将之提供给任何第三方</w:t>
      </w:r>
      <w:r>
        <w:rPr>
          <w:rFonts w:hint="eastAsia" w:ascii="宋体" w:hAnsi="宋体" w:cs="宋体"/>
          <w:color w:val="auto"/>
          <w:sz w:val="24"/>
        </w:rPr>
        <w:t>。</w:t>
      </w:r>
    </w:p>
    <w:p w14:paraId="52E9D5C4">
      <w:pPr>
        <w:spacing w:line="440" w:lineRule="exact"/>
        <w:ind w:firstLine="480" w:firstLineChars="200"/>
        <w:rPr>
          <w:rFonts w:ascii="宋体" w:hAnsi="宋体" w:cs="宋体"/>
          <w:color w:val="auto"/>
          <w:sz w:val="24"/>
        </w:rPr>
      </w:pPr>
      <w:r>
        <w:rPr>
          <w:rFonts w:hint="eastAsia" w:ascii="宋体" w:hAnsi="宋体" w:cs="宋体"/>
          <w:color w:val="auto"/>
          <w:sz w:val="24"/>
        </w:rPr>
        <w:t>1.</w:t>
      </w:r>
      <w:r>
        <w:rPr>
          <w:rFonts w:ascii="宋体" w:hAnsi="宋体" w:cs="宋体"/>
          <w:color w:val="auto"/>
          <w:sz w:val="24"/>
        </w:rPr>
        <w:t>9</w:t>
      </w:r>
      <w:r>
        <w:rPr>
          <w:rFonts w:hint="eastAsia" w:ascii="宋体" w:hAnsi="宋体" w:cs="宋体"/>
          <w:color w:val="auto"/>
          <w:sz w:val="24"/>
        </w:rPr>
        <w:t>.2 关于承包人为实施工程所编制文件的著作权的归属：</w:t>
      </w:r>
      <w:r>
        <w:rPr>
          <w:rFonts w:hint="eastAsia" w:ascii="宋体" w:hAnsi="宋体" w:cs="宋体"/>
          <w:color w:val="auto"/>
          <w:sz w:val="24"/>
          <w:u w:val="single"/>
        </w:rPr>
        <w:t>承包人为实施工程所编制的文件，除署名权以外的著作权属于发包人</w:t>
      </w:r>
      <w:r>
        <w:rPr>
          <w:rFonts w:hint="eastAsia" w:ascii="宋体" w:hAnsi="宋体" w:cs="宋体"/>
          <w:color w:val="auto"/>
          <w:sz w:val="24"/>
        </w:rPr>
        <w:t>。</w:t>
      </w:r>
    </w:p>
    <w:p w14:paraId="6C88D156">
      <w:pPr>
        <w:spacing w:line="440" w:lineRule="exact"/>
        <w:ind w:firstLine="480" w:firstLineChars="200"/>
        <w:rPr>
          <w:rFonts w:ascii="宋体" w:hAnsi="宋体" w:cs="宋体"/>
          <w:color w:val="auto"/>
          <w:sz w:val="24"/>
        </w:rPr>
      </w:pPr>
      <w:r>
        <w:rPr>
          <w:rFonts w:hint="eastAsia" w:ascii="宋体" w:hAnsi="宋体" w:cs="宋体"/>
          <w:color w:val="auto"/>
          <w:sz w:val="24"/>
        </w:rPr>
        <w:t>关于承包人提供的上述文件的使用限制的要求：</w:t>
      </w:r>
      <w:r>
        <w:rPr>
          <w:rFonts w:hint="eastAsia" w:ascii="宋体" w:hAnsi="宋体" w:cs="宋体"/>
          <w:color w:val="auto"/>
          <w:sz w:val="24"/>
          <w:u w:val="single"/>
        </w:rPr>
        <w:t>只能用于本项目施工、保修，未经发包人同意，承包人不得为了合同以外的目的而复制、使用上述文件或将之提供给任何第三方</w:t>
      </w:r>
      <w:r>
        <w:rPr>
          <w:rFonts w:hint="eastAsia" w:ascii="宋体" w:hAnsi="宋体" w:cs="宋体"/>
          <w:color w:val="auto"/>
          <w:sz w:val="24"/>
        </w:rPr>
        <w:t>。</w:t>
      </w:r>
    </w:p>
    <w:p w14:paraId="3100B977">
      <w:pPr>
        <w:spacing w:line="440" w:lineRule="exact"/>
        <w:ind w:firstLine="480" w:firstLineChars="200"/>
        <w:rPr>
          <w:rFonts w:ascii="宋体" w:hAnsi="宋体" w:cs="宋体"/>
          <w:color w:val="auto"/>
          <w:sz w:val="24"/>
        </w:rPr>
      </w:pPr>
      <w:r>
        <w:rPr>
          <w:rFonts w:hint="eastAsia" w:ascii="宋体" w:hAnsi="宋体" w:cs="宋体"/>
          <w:color w:val="auto"/>
          <w:sz w:val="24"/>
        </w:rPr>
        <w:t>1.</w:t>
      </w:r>
      <w:r>
        <w:rPr>
          <w:rFonts w:ascii="宋体" w:hAnsi="宋体" w:cs="宋体"/>
          <w:color w:val="auto"/>
          <w:sz w:val="24"/>
        </w:rPr>
        <w:t>9</w:t>
      </w:r>
      <w:r>
        <w:rPr>
          <w:rFonts w:hint="eastAsia" w:ascii="宋体" w:hAnsi="宋体" w:cs="宋体"/>
          <w:color w:val="auto"/>
          <w:sz w:val="24"/>
        </w:rPr>
        <w:t>.</w:t>
      </w:r>
      <w:r>
        <w:rPr>
          <w:rFonts w:ascii="宋体" w:hAnsi="宋体" w:cs="宋体"/>
          <w:color w:val="auto"/>
          <w:sz w:val="24"/>
        </w:rPr>
        <w:t>3</w:t>
      </w:r>
      <w:r>
        <w:rPr>
          <w:rFonts w:hint="eastAsia" w:ascii="宋体" w:hAnsi="宋体" w:cs="宋体"/>
          <w:color w:val="auto"/>
          <w:sz w:val="24"/>
        </w:rPr>
        <w:t xml:space="preserve"> 承包人在施工过程中所采用的专利、专有技术、技术秘密的使用费的承担方式：</w:t>
      </w:r>
      <w:r>
        <w:rPr>
          <w:rFonts w:hint="eastAsia" w:ascii="宋体" w:hAnsi="宋体" w:cs="宋体"/>
          <w:color w:val="auto"/>
          <w:sz w:val="24"/>
          <w:u w:val="single"/>
        </w:rPr>
        <w:t>承包人承担</w:t>
      </w:r>
      <w:r>
        <w:rPr>
          <w:rFonts w:hint="eastAsia" w:ascii="宋体" w:hAnsi="宋体" w:cs="宋体"/>
          <w:color w:val="auto"/>
          <w:sz w:val="24"/>
        </w:rPr>
        <w:t>。</w:t>
      </w:r>
    </w:p>
    <w:p w14:paraId="62AD3382">
      <w:pPr>
        <w:spacing w:line="440" w:lineRule="exact"/>
        <w:ind w:firstLine="480" w:firstLineChars="200"/>
        <w:rPr>
          <w:rFonts w:ascii="宋体" w:hAnsi="宋体" w:cs="宋体"/>
          <w:color w:val="auto"/>
          <w:sz w:val="24"/>
        </w:rPr>
      </w:pPr>
      <w:r>
        <w:rPr>
          <w:rFonts w:hint="eastAsia" w:ascii="宋体" w:hAnsi="宋体" w:cs="宋体"/>
          <w:color w:val="auto"/>
          <w:sz w:val="24"/>
        </w:rPr>
        <w:t>1.1</w:t>
      </w:r>
      <w:r>
        <w:rPr>
          <w:rFonts w:ascii="宋体" w:hAnsi="宋体" w:cs="宋体"/>
          <w:color w:val="auto"/>
          <w:sz w:val="24"/>
        </w:rPr>
        <w:t>0</w:t>
      </w:r>
      <w:r>
        <w:rPr>
          <w:rFonts w:hint="eastAsia" w:ascii="宋体" w:hAnsi="宋体" w:cs="宋体"/>
          <w:color w:val="auto"/>
          <w:sz w:val="24"/>
        </w:rPr>
        <w:t xml:space="preserve"> </w:t>
      </w:r>
      <w:bookmarkStart w:id="8" w:name="tip_risk_bookmark_11"/>
      <w:r>
        <w:rPr>
          <w:rFonts w:hint="eastAsia" w:ascii="宋体" w:hAnsi="宋体" w:cs="宋体"/>
          <w:color w:val="auto"/>
          <w:sz w:val="24"/>
        </w:rPr>
        <w:t>工程量清单错误的修正</w:t>
      </w:r>
    </w:p>
    <w:p w14:paraId="6F094BBB">
      <w:pPr>
        <w:spacing w:line="440" w:lineRule="exact"/>
        <w:ind w:firstLine="480" w:firstLineChars="200"/>
        <w:rPr>
          <w:rFonts w:ascii="宋体" w:hAnsi="宋体" w:cs="宋体"/>
          <w:color w:val="auto"/>
          <w:sz w:val="24"/>
          <w:u w:val="single"/>
        </w:rPr>
      </w:pPr>
      <w:r>
        <w:rPr>
          <w:rFonts w:hint="eastAsia" w:ascii="宋体" w:hAnsi="宋体" w:cs="宋体"/>
          <w:color w:val="auto"/>
          <w:sz w:val="24"/>
        </w:rPr>
        <w:t>出现工程量清单错误、漏项、缺项时，是否调整合同价格：</w:t>
      </w:r>
      <w:r>
        <w:rPr>
          <w:rFonts w:hint="eastAsia" w:ascii="宋体" w:hAnsi="宋体" w:cs="宋体"/>
          <w:color w:val="auto"/>
          <w:sz w:val="24"/>
          <w:u w:val="single"/>
        </w:rPr>
        <w:t>否</w:t>
      </w:r>
      <w:bookmarkEnd w:id="8"/>
      <w:r>
        <w:rPr>
          <w:rFonts w:hint="eastAsia" w:ascii="宋体" w:hAnsi="宋体" w:cs="宋体"/>
          <w:color w:val="auto"/>
          <w:sz w:val="24"/>
          <w:u w:val="single"/>
        </w:rPr>
        <w:t>，除非经发包人书面签字盖章确认的设计变更或新增工程，否则承包人不得就清单疏漏主张任何价款调整。</w:t>
      </w:r>
    </w:p>
    <w:p w14:paraId="502E6FBD">
      <w:pPr>
        <w:spacing w:line="440" w:lineRule="exact"/>
        <w:ind w:firstLine="480" w:firstLineChars="200"/>
        <w:rPr>
          <w:rFonts w:ascii="宋体" w:hAnsi="宋体" w:cs="宋体"/>
          <w:color w:val="auto"/>
          <w:sz w:val="24"/>
        </w:rPr>
      </w:pPr>
      <w:r>
        <w:rPr>
          <w:rFonts w:hint="eastAsia" w:ascii="宋体" w:hAnsi="宋体" w:cs="宋体"/>
          <w:color w:val="auto"/>
          <w:sz w:val="24"/>
        </w:rPr>
        <w:t>允许调整合同价格的工程量偏差范围：</w:t>
      </w:r>
      <w:r>
        <w:rPr>
          <w:rFonts w:hint="eastAsia" w:ascii="宋体" w:hAnsi="宋体" w:cs="宋体"/>
          <w:color w:val="auto"/>
          <w:sz w:val="24"/>
          <w:u w:val="single"/>
        </w:rPr>
        <w:t xml:space="preserve"> / </w:t>
      </w:r>
      <w:r>
        <w:rPr>
          <w:rFonts w:hint="eastAsia" w:ascii="宋体" w:hAnsi="宋体" w:cs="宋体"/>
          <w:color w:val="auto"/>
          <w:sz w:val="24"/>
        </w:rPr>
        <w:t>。</w:t>
      </w:r>
    </w:p>
    <w:p w14:paraId="0ECB01E7">
      <w:pPr>
        <w:spacing w:line="440" w:lineRule="exact"/>
        <w:ind w:firstLine="482" w:firstLineChars="200"/>
        <w:rPr>
          <w:rFonts w:ascii="宋体" w:hAnsi="宋体" w:cs="宋体"/>
          <w:b/>
          <w:bCs/>
          <w:color w:val="auto"/>
          <w:sz w:val="24"/>
        </w:rPr>
      </w:pPr>
      <w:r>
        <w:rPr>
          <w:rFonts w:hint="eastAsia" w:ascii="宋体" w:hAnsi="宋体" w:cs="宋体"/>
          <w:b/>
          <w:bCs/>
          <w:color w:val="auto"/>
          <w:sz w:val="24"/>
        </w:rPr>
        <w:t>2.发包人</w:t>
      </w:r>
    </w:p>
    <w:p w14:paraId="4FC6A392">
      <w:pPr>
        <w:spacing w:line="440" w:lineRule="exact"/>
        <w:ind w:firstLine="480" w:firstLineChars="200"/>
        <w:rPr>
          <w:rFonts w:hint="default" w:ascii="宋体" w:hAnsi="宋体" w:eastAsia="宋体" w:cs="宋体"/>
          <w:color w:val="auto"/>
          <w:sz w:val="24"/>
          <w:u w:val="single"/>
          <w:lang w:val="en-US" w:eastAsia="zh-CN"/>
        </w:rPr>
      </w:pPr>
      <w:r>
        <w:rPr>
          <w:rFonts w:hint="eastAsia" w:ascii="宋体" w:hAnsi="宋体" w:cs="宋体"/>
          <w:color w:val="auto"/>
          <w:sz w:val="24"/>
        </w:rPr>
        <w:t>2.</w:t>
      </w:r>
      <w:r>
        <w:rPr>
          <w:rFonts w:ascii="宋体" w:hAnsi="宋体" w:cs="宋体"/>
          <w:color w:val="auto"/>
          <w:sz w:val="24"/>
        </w:rPr>
        <w:t>1</w:t>
      </w:r>
      <w:r>
        <w:rPr>
          <w:rFonts w:hint="eastAsia" w:ascii="宋体" w:hAnsi="宋体" w:cs="宋体"/>
          <w:color w:val="auto"/>
          <w:sz w:val="24"/>
        </w:rPr>
        <w:t>发包人代表：姓名：</w:t>
      </w:r>
      <w:r>
        <w:rPr>
          <w:rFonts w:hint="eastAsia" w:ascii="宋体" w:hAnsi="宋体" w:cs="宋体"/>
          <w:color w:val="auto"/>
          <w:sz w:val="24"/>
          <w:u w:val="single"/>
        </w:rPr>
        <w:t xml:space="preserve"> </w:t>
      </w:r>
      <w:r>
        <w:rPr>
          <w:rFonts w:hint="eastAsia" w:ascii="宋体" w:hAnsi="宋体" w:cs="宋体"/>
          <w:color w:val="auto"/>
          <w:sz w:val="24"/>
          <w:u w:val="single"/>
          <w:lang w:val="en-US" w:eastAsia="zh-CN"/>
        </w:rPr>
        <w:t>马海斌</w:t>
      </w:r>
      <w:r>
        <w:rPr>
          <w:rFonts w:hint="eastAsia" w:ascii="宋体" w:hAnsi="宋体" w:cs="宋体"/>
          <w:color w:val="auto"/>
          <w:sz w:val="24"/>
          <w:u w:val="single"/>
        </w:rPr>
        <w:t xml:space="preserve"> </w:t>
      </w:r>
      <w:r>
        <w:rPr>
          <w:rFonts w:hint="eastAsia" w:ascii="宋体" w:hAnsi="宋体" w:cs="宋体"/>
          <w:color w:val="auto"/>
          <w:sz w:val="24"/>
        </w:rPr>
        <w:t>；职务：</w:t>
      </w:r>
      <w:r>
        <w:rPr>
          <w:rFonts w:hint="eastAsia" w:ascii="宋体" w:hAnsi="宋体" w:cs="宋体"/>
          <w:color w:val="auto"/>
          <w:sz w:val="24"/>
          <w:u w:val="single"/>
        </w:rPr>
        <w:t xml:space="preserve"> 科长 </w:t>
      </w:r>
      <w:r>
        <w:rPr>
          <w:rFonts w:hint="eastAsia" w:ascii="宋体" w:hAnsi="宋体" w:cs="宋体"/>
          <w:color w:val="auto"/>
          <w:sz w:val="24"/>
        </w:rPr>
        <w:t>；联系电话：</w:t>
      </w:r>
      <w:r>
        <w:rPr>
          <w:rFonts w:hint="eastAsia" w:ascii="宋体" w:hAnsi="宋体" w:cs="宋体"/>
          <w:color w:val="auto"/>
          <w:sz w:val="24"/>
          <w:u w:val="single"/>
        </w:rPr>
        <w:t>183</w:t>
      </w:r>
      <w:r>
        <w:rPr>
          <w:rFonts w:hint="eastAsia" w:ascii="宋体" w:hAnsi="宋体" w:cs="宋体"/>
          <w:color w:val="auto"/>
          <w:sz w:val="24"/>
          <w:u w:val="single"/>
          <w:lang w:val="en-US" w:eastAsia="zh-CN"/>
        </w:rPr>
        <w:t>76652846</w:t>
      </w:r>
    </w:p>
    <w:p w14:paraId="7C212747">
      <w:pPr>
        <w:spacing w:line="440" w:lineRule="exact"/>
        <w:rPr>
          <w:rFonts w:ascii="宋体" w:hAnsi="宋体" w:cs="宋体"/>
          <w:color w:val="000000" w:themeColor="text1"/>
          <w:sz w:val="24"/>
          <w:highlight w:val="none"/>
          <w:u w:val="singl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 xml:space="preserve">       技术负责人：</w:t>
      </w:r>
      <w:r>
        <w:rPr>
          <w:rFonts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u w:val="single"/>
          <w14:textFill>
            <w14:solidFill>
              <w14:schemeClr w14:val="tx1"/>
            </w14:solidFill>
          </w14:textFill>
        </w:rPr>
        <w:t>卢顺兴</w:t>
      </w:r>
      <w:r>
        <w:rPr>
          <w:rFonts w:ascii="宋体" w:hAnsi="宋体" w:cs="宋体"/>
          <w:color w:val="000000" w:themeColor="text1"/>
          <w:sz w:val="24"/>
          <w:highlight w:val="none"/>
          <w:u w:val="singl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 xml:space="preserve"> ；联系电话：</w:t>
      </w:r>
      <w:r>
        <w:rPr>
          <w:rFonts w:hint="eastAsia" w:ascii="宋体" w:hAnsi="宋体" w:cs="宋体"/>
          <w:color w:val="000000" w:themeColor="text1"/>
          <w:sz w:val="24"/>
          <w:highlight w:val="none"/>
          <w:u w:val="single"/>
          <w14:textFill>
            <w14:solidFill>
              <w14:schemeClr w14:val="tx1"/>
            </w14:solidFill>
          </w14:textFill>
        </w:rPr>
        <w:t>13878831212</w:t>
      </w:r>
    </w:p>
    <w:p w14:paraId="592401CB">
      <w:pPr>
        <w:spacing w:line="440" w:lineRule="exact"/>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 xml:space="preserve">       现场管理工程师：</w:t>
      </w:r>
      <w:r>
        <w:rPr>
          <w:rFonts w:hint="eastAsia" w:ascii="宋体" w:hAnsi="宋体" w:cs="宋体"/>
          <w:color w:val="000000" w:themeColor="text1"/>
          <w:sz w:val="24"/>
          <w:highlight w:val="none"/>
          <w:u w:val="single"/>
          <w14:textFill>
            <w14:solidFill>
              <w14:schemeClr w14:val="tx1"/>
            </w14:solidFill>
          </w14:textFill>
        </w:rPr>
        <w:t>苏进豪</w:t>
      </w:r>
      <w:r>
        <w:rPr>
          <w:rFonts w:ascii="宋体" w:hAnsi="宋体" w:cs="宋体"/>
          <w:color w:val="000000" w:themeColor="text1"/>
          <w:sz w:val="24"/>
          <w:highlight w:val="none"/>
          <w14:textFill>
            <w14:solidFill>
              <w14:schemeClr w14:val="tx1"/>
            </w14:solidFill>
          </w14:textFill>
        </w:rPr>
        <w:t xml:space="preserve">   联系电话：</w:t>
      </w:r>
      <w:r>
        <w:rPr>
          <w:rFonts w:hint="eastAsia" w:ascii="宋体" w:hAnsi="宋体" w:cs="宋体"/>
          <w:color w:val="000000" w:themeColor="text1"/>
          <w:sz w:val="24"/>
          <w:highlight w:val="none"/>
          <w:u w:val="single"/>
          <w14:textFill>
            <w14:solidFill>
              <w14:schemeClr w14:val="tx1"/>
            </w14:solidFill>
          </w14:textFill>
        </w:rPr>
        <w:t>13077739475</w:t>
      </w:r>
    </w:p>
    <w:p w14:paraId="13D7557B">
      <w:pPr>
        <w:spacing w:line="440" w:lineRule="exact"/>
        <w:rPr>
          <w:rFonts w:ascii="宋体" w:hAnsi="宋体" w:cs="宋体"/>
          <w:color w:val="000000" w:themeColor="text1"/>
          <w:sz w:val="24"/>
          <w:highlight w:val="none"/>
          <w:u w:val="singl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 xml:space="preserve">       资料交接联系人：</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u w:val="single"/>
          <w:lang w:val="en-US" w:eastAsia="zh-CN"/>
          <w14:textFill>
            <w14:solidFill>
              <w14:schemeClr w14:val="tx1"/>
            </w14:solidFill>
          </w14:textFill>
        </w:rPr>
        <w:t>奉祝鼎新</w:t>
      </w:r>
      <w:r>
        <w:rPr>
          <w:rFonts w:ascii="宋体" w:hAnsi="宋体" w:cs="宋体"/>
          <w:color w:val="000000" w:themeColor="text1"/>
          <w:sz w:val="24"/>
          <w:highlight w:val="none"/>
          <w:u w:val="singl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；联系电话：</w:t>
      </w:r>
      <w:r>
        <w:rPr>
          <w:rFonts w:hint="eastAsia" w:ascii="宋体" w:hAnsi="宋体" w:cs="宋体"/>
          <w:color w:val="000000" w:themeColor="text1"/>
          <w:sz w:val="24"/>
          <w:highlight w:val="none"/>
          <w:u w:val="single"/>
          <w14:textFill>
            <w14:solidFill>
              <w14:schemeClr w14:val="tx1"/>
            </w14:solidFill>
          </w14:textFill>
        </w:rPr>
        <w:t>1</w:t>
      </w:r>
      <w:r>
        <w:rPr>
          <w:rFonts w:hint="eastAsia" w:ascii="宋体" w:hAnsi="宋体" w:cs="宋体"/>
          <w:color w:val="000000" w:themeColor="text1"/>
          <w:sz w:val="24"/>
          <w:highlight w:val="none"/>
          <w:u w:val="single"/>
          <w:lang w:val="en-US" w:eastAsia="zh-CN"/>
          <w14:textFill>
            <w14:solidFill>
              <w14:schemeClr w14:val="tx1"/>
            </w14:solidFill>
          </w14:textFill>
        </w:rPr>
        <w:t>5677463056</w:t>
      </w:r>
    </w:p>
    <w:p w14:paraId="1076F812">
      <w:pPr>
        <w:spacing w:line="440" w:lineRule="exact"/>
        <w:ind w:firstLine="480" w:firstLineChars="200"/>
        <w:rPr>
          <w:rFonts w:hint="eastAsia" w:ascii="宋体" w:hAnsi="宋体" w:cs="宋体"/>
          <w:color w:val="auto"/>
          <w:sz w:val="24"/>
        </w:rPr>
      </w:pPr>
      <w:r>
        <w:rPr>
          <w:rFonts w:hint="eastAsia" w:ascii="宋体" w:hAnsi="宋体" w:cs="宋体"/>
          <w:color w:val="auto"/>
          <w:sz w:val="24"/>
        </w:rPr>
        <w:t>通信地址：</w:t>
      </w:r>
      <w:r>
        <w:rPr>
          <w:rFonts w:hint="eastAsia" w:ascii="宋体" w:hAnsi="宋体" w:cs="宋体"/>
          <w:color w:val="auto"/>
          <w:sz w:val="24"/>
          <w:u w:val="single"/>
        </w:rPr>
        <w:t xml:space="preserve">  广西财经学院武鸣校区内（南宁市武鸣区红岭大道636号）</w:t>
      </w:r>
      <w:r>
        <w:rPr>
          <w:rFonts w:hint="eastAsia" w:ascii="宋体" w:hAnsi="宋体" w:cs="宋体"/>
          <w:color w:val="auto"/>
          <w:sz w:val="24"/>
        </w:rPr>
        <w:t xml:space="preserve"> 。</w:t>
      </w:r>
    </w:p>
    <w:p w14:paraId="00D02D21">
      <w:pPr>
        <w:spacing w:line="480" w:lineRule="exact"/>
        <w:ind w:firstLine="470" w:firstLineChars="196"/>
        <w:rPr>
          <w:rFonts w:ascii="宋体" w:hAnsi="宋体" w:cs="宋体"/>
          <w:color w:val="auto"/>
          <w:sz w:val="24"/>
          <w:u w:val="single"/>
        </w:rPr>
      </w:pPr>
      <w:r>
        <w:rPr>
          <w:rFonts w:hint="eastAsia" w:ascii="宋体" w:hAnsi="宋体" w:cs="宋体"/>
          <w:color w:val="auto"/>
          <w:sz w:val="24"/>
        </w:rPr>
        <w:t>发包人对发包人代表的授权范围如下：</w:t>
      </w:r>
      <w:r>
        <w:rPr>
          <w:rFonts w:hint="eastAsia" w:ascii="宋体" w:hAnsi="宋体" w:cs="宋体"/>
          <w:color w:val="auto"/>
          <w:sz w:val="24"/>
          <w:u w:val="single"/>
        </w:rPr>
        <w:t>督促指导监理工程师行使职权，协调工程参建各方的关系，协调处理工程质量、进度和安全文明施工存在的问题。</w:t>
      </w:r>
    </w:p>
    <w:p w14:paraId="5282C889">
      <w:pPr>
        <w:spacing w:line="480" w:lineRule="exact"/>
        <w:ind w:firstLine="470" w:firstLineChars="196"/>
        <w:rPr>
          <w:rFonts w:ascii="宋体" w:hAnsi="宋体" w:cs="宋体"/>
          <w:color w:val="auto"/>
          <w:sz w:val="24"/>
        </w:rPr>
      </w:pPr>
      <w:r>
        <w:rPr>
          <w:rFonts w:hint="eastAsia" w:ascii="宋体" w:hAnsi="宋体" w:cs="宋体"/>
          <w:color w:val="auto"/>
          <w:sz w:val="24"/>
        </w:rPr>
        <w:t>2.</w:t>
      </w:r>
      <w:r>
        <w:rPr>
          <w:rFonts w:ascii="宋体" w:hAnsi="宋体" w:cs="宋体"/>
          <w:color w:val="auto"/>
          <w:sz w:val="24"/>
        </w:rPr>
        <w:t>2</w:t>
      </w:r>
      <w:r>
        <w:rPr>
          <w:rFonts w:hint="eastAsia" w:ascii="宋体" w:hAnsi="宋体" w:cs="宋体"/>
          <w:color w:val="auto"/>
          <w:sz w:val="24"/>
        </w:rPr>
        <w:t xml:space="preserve"> 施工现场、施工条件和基础资料的提供</w:t>
      </w:r>
    </w:p>
    <w:p w14:paraId="5A9299CE">
      <w:pPr>
        <w:spacing w:line="440" w:lineRule="exact"/>
        <w:ind w:firstLine="480" w:firstLineChars="200"/>
        <w:rPr>
          <w:rFonts w:ascii="宋体" w:hAnsi="宋体" w:cs="宋体"/>
          <w:color w:val="auto"/>
          <w:sz w:val="24"/>
        </w:rPr>
      </w:pPr>
      <w:r>
        <w:rPr>
          <w:rFonts w:hint="eastAsia" w:ascii="宋体" w:hAnsi="宋体" w:cs="宋体"/>
          <w:color w:val="auto"/>
          <w:sz w:val="24"/>
        </w:rPr>
        <w:t>2.</w:t>
      </w:r>
      <w:r>
        <w:rPr>
          <w:rFonts w:ascii="宋体" w:hAnsi="宋体" w:cs="宋体"/>
          <w:color w:val="auto"/>
          <w:sz w:val="24"/>
        </w:rPr>
        <w:t>2</w:t>
      </w:r>
      <w:r>
        <w:rPr>
          <w:rFonts w:hint="eastAsia" w:ascii="宋体" w:hAnsi="宋体" w:cs="宋体"/>
          <w:color w:val="auto"/>
          <w:sz w:val="24"/>
        </w:rPr>
        <w:t>.1 提供施工现场</w:t>
      </w:r>
    </w:p>
    <w:p w14:paraId="252BB76B">
      <w:pPr>
        <w:spacing w:line="440" w:lineRule="exact"/>
        <w:ind w:firstLine="480" w:firstLineChars="200"/>
        <w:rPr>
          <w:rFonts w:ascii="宋体" w:hAnsi="宋体" w:cs="宋体"/>
          <w:color w:val="auto"/>
          <w:sz w:val="24"/>
        </w:rPr>
      </w:pPr>
      <w:r>
        <w:rPr>
          <w:rFonts w:hint="eastAsia" w:ascii="宋体" w:hAnsi="宋体" w:cs="宋体"/>
          <w:color w:val="auto"/>
          <w:sz w:val="24"/>
        </w:rPr>
        <w:t>关于发包人移交施工现场的期限要求：</w:t>
      </w:r>
      <w:r>
        <w:rPr>
          <w:rFonts w:hint="eastAsia" w:ascii="宋体" w:hAnsi="宋体" w:cs="宋体"/>
          <w:color w:val="auto"/>
          <w:sz w:val="24"/>
          <w:u w:val="single"/>
        </w:rPr>
        <w:t>开工前3日内移交，满足工程开工条件</w:t>
      </w:r>
      <w:r>
        <w:rPr>
          <w:rFonts w:hint="eastAsia" w:ascii="宋体" w:hAnsi="宋体" w:cs="宋体"/>
          <w:color w:val="auto"/>
          <w:sz w:val="24"/>
        </w:rPr>
        <w:t>。</w:t>
      </w:r>
    </w:p>
    <w:p w14:paraId="51068352">
      <w:pPr>
        <w:spacing w:line="440" w:lineRule="exact"/>
        <w:ind w:firstLine="480" w:firstLineChars="200"/>
        <w:rPr>
          <w:rFonts w:ascii="宋体" w:hAnsi="宋体" w:cs="宋体"/>
          <w:color w:val="auto"/>
          <w:sz w:val="24"/>
        </w:rPr>
      </w:pPr>
      <w:r>
        <w:rPr>
          <w:rFonts w:hint="eastAsia" w:ascii="宋体" w:hAnsi="宋体" w:cs="宋体"/>
          <w:color w:val="auto"/>
          <w:sz w:val="24"/>
        </w:rPr>
        <w:t>2.</w:t>
      </w:r>
      <w:r>
        <w:rPr>
          <w:rFonts w:ascii="宋体" w:hAnsi="宋体" w:cs="宋体"/>
          <w:color w:val="auto"/>
          <w:sz w:val="24"/>
        </w:rPr>
        <w:t>2</w:t>
      </w:r>
      <w:r>
        <w:rPr>
          <w:rFonts w:hint="eastAsia" w:ascii="宋体" w:hAnsi="宋体" w:cs="宋体"/>
          <w:color w:val="auto"/>
          <w:sz w:val="24"/>
        </w:rPr>
        <w:t>.2 提供施工条件</w:t>
      </w:r>
    </w:p>
    <w:p w14:paraId="1FCD8677">
      <w:pPr>
        <w:spacing w:line="440" w:lineRule="exact"/>
        <w:ind w:firstLine="480" w:firstLineChars="200"/>
        <w:rPr>
          <w:rFonts w:ascii="宋体" w:hAnsi="宋体" w:cs="宋体"/>
          <w:color w:val="auto"/>
          <w:sz w:val="24"/>
        </w:rPr>
      </w:pPr>
      <w:bookmarkStart w:id="9" w:name="auto_fouce_12"/>
      <w:r>
        <w:rPr>
          <w:rFonts w:hint="eastAsia" w:ascii="宋体" w:hAnsi="宋体" w:cs="宋体"/>
          <w:color w:val="auto"/>
          <w:sz w:val="24"/>
        </w:rPr>
        <w:t>关于发包人应负责提供施工所需要的条件，包括：</w:t>
      </w:r>
      <w:r>
        <w:rPr>
          <w:rFonts w:hint="eastAsia" w:ascii="宋体" w:hAnsi="宋体" w:cs="宋体"/>
          <w:color w:val="auto"/>
          <w:sz w:val="24"/>
          <w:u w:val="single"/>
        </w:rPr>
        <w:t>发包人仅负责将施工用水、用电接驳点及场外道路接至施工现场周边位置，施工区域内的水电管线接驳、使用及水电费用、场内道路维护费用均由</w:t>
      </w:r>
      <w:r>
        <w:rPr>
          <w:rFonts w:hint="eastAsia" w:ascii="宋体" w:hAnsi="宋体" w:cs="宋体"/>
          <w:color w:val="auto"/>
          <w:sz w:val="24"/>
        </w:rPr>
        <w:t>乙方</w:t>
      </w:r>
      <w:r>
        <w:rPr>
          <w:rFonts w:hint="eastAsia" w:ascii="宋体" w:hAnsi="宋体" w:cs="宋体"/>
          <w:color w:val="auto"/>
          <w:sz w:val="24"/>
          <w:u w:val="single"/>
        </w:rPr>
        <w:t>自行承担，相关费用已包含在合同价款内</w:t>
      </w:r>
      <w:r>
        <w:rPr>
          <w:rFonts w:hint="eastAsia" w:ascii="宋体" w:hAnsi="宋体" w:cs="宋体"/>
          <w:color w:val="auto"/>
          <w:sz w:val="24"/>
        </w:rPr>
        <w:t>。</w:t>
      </w:r>
      <w:bookmarkEnd w:id="9"/>
    </w:p>
    <w:p w14:paraId="631487D9">
      <w:pPr>
        <w:spacing w:line="440" w:lineRule="exact"/>
        <w:ind w:firstLine="480" w:firstLineChars="200"/>
        <w:rPr>
          <w:rFonts w:ascii="宋体" w:hAnsi="宋体" w:cs="宋体"/>
          <w:color w:val="auto"/>
          <w:sz w:val="24"/>
        </w:rPr>
      </w:pPr>
      <w:r>
        <w:rPr>
          <w:rFonts w:hint="eastAsia" w:ascii="宋体" w:hAnsi="宋体" w:cs="宋体"/>
          <w:color w:val="auto"/>
          <w:sz w:val="24"/>
        </w:rPr>
        <w:t>2.</w:t>
      </w:r>
      <w:r>
        <w:rPr>
          <w:rFonts w:ascii="宋体" w:hAnsi="宋体" w:cs="宋体"/>
          <w:color w:val="auto"/>
          <w:sz w:val="24"/>
        </w:rPr>
        <w:t>3</w:t>
      </w:r>
      <w:r>
        <w:rPr>
          <w:rFonts w:hint="eastAsia" w:ascii="宋体" w:hAnsi="宋体" w:cs="宋体"/>
          <w:color w:val="auto"/>
          <w:sz w:val="24"/>
        </w:rPr>
        <w:t xml:space="preserve"> 资金来源证明及支付担保</w:t>
      </w:r>
    </w:p>
    <w:p w14:paraId="51CC0DB0">
      <w:pPr>
        <w:spacing w:line="440" w:lineRule="exact"/>
        <w:ind w:firstLine="480" w:firstLineChars="200"/>
        <w:rPr>
          <w:rFonts w:ascii="宋体" w:hAnsi="宋体" w:cs="宋体"/>
          <w:color w:val="auto"/>
          <w:sz w:val="24"/>
        </w:rPr>
      </w:pPr>
      <w:r>
        <w:rPr>
          <w:rFonts w:hint="eastAsia" w:ascii="宋体" w:hAnsi="宋体" w:cs="宋体"/>
          <w:color w:val="auto"/>
          <w:sz w:val="24"/>
        </w:rPr>
        <w:t>发包人提供资金来源证明的期限要求：</w:t>
      </w:r>
      <w:r>
        <w:rPr>
          <w:rFonts w:hint="eastAsia" w:ascii="宋体" w:hAnsi="宋体" w:cs="宋体"/>
          <w:color w:val="auto"/>
          <w:sz w:val="24"/>
          <w:u w:val="single"/>
        </w:rPr>
        <w:t xml:space="preserve">/ </w:t>
      </w:r>
      <w:r>
        <w:rPr>
          <w:rFonts w:hint="eastAsia" w:ascii="宋体" w:hAnsi="宋体" w:cs="宋体"/>
          <w:color w:val="auto"/>
          <w:sz w:val="24"/>
        </w:rPr>
        <w:t>。</w:t>
      </w:r>
    </w:p>
    <w:p w14:paraId="741B4F51">
      <w:pPr>
        <w:spacing w:line="440" w:lineRule="exact"/>
        <w:ind w:firstLine="480" w:firstLineChars="200"/>
        <w:rPr>
          <w:rFonts w:ascii="宋体" w:hAnsi="宋体" w:cs="宋体"/>
          <w:color w:val="auto"/>
          <w:sz w:val="24"/>
        </w:rPr>
      </w:pPr>
      <w:r>
        <w:rPr>
          <w:rFonts w:hint="eastAsia" w:ascii="宋体" w:hAnsi="宋体" w:cs="宋体"/>
          <w:color w:val="auto"/>
          <w:sz w:val="24"/>
        </w:rPr>
        <w:t>发包人是否提供支付担保：</w:t>
      </w:r>
      <w:r>
        <w:rPr>
          <w:rFonts w:hint="eastAsia" w:ascii="宋体" w:hAnsi="宋体" w:cs="宋体"/>
          <w:color w:val="auto"/>
          <w:sz w:val="24"/>
          <w:u w:val="single"/>
        </w:rPr>
        <w:t xml:space="preserve">  否  </w:t>
      </w:r>
      <w:r>
        <w:rPr>
          <w:rFonts w:hint="eastAsia" w:ascii="宋体" w:hAnsi="宋体" w:cs="宋体"/>
          <w:color w:val="auto"/>
          <w:sz w:val="24"/>
        </w:rPr>
        <w:t>。</w:t>
      </w:r>
    </w:p>
    <w:p w14:paraId="7F997C94">
      <w:pPr>
        <w:spacing w:line="440" w:lineRule="exact"/>
        <w:ind w:firstLine="480" w:firstLineChars="200"/>
        <w:rPr>
          <w:rFonts w:ascii="宋体" w:hAnsi="宋体" w:cs="宋体"/>
          <w:color w:val="auto"/>
          <w:sz w:val="24"/>
        </w:rPr>
      </w:pPr>
      <w:r>
        <w:rPr>
          <w:rFonts w:hint="eastAsia" w:ascii="宋体" w:hAnsi="宋体" w:cs="宋体"/>
          <w:color w:val="auto"/>
          <w:sz w:val="24"/>
        </w:rPr>
        <w:t>发包人提供支付担保的形式：</w:t>
      </w:r>
      <w:r>
        <w:rPr>
          <w:rFonts w:hint="eastAsia" w:ascii="宋体" w:hAnsi="宋体" w:cs="宋体"/>
          <w:color w:val="auto"/>
          <w:sz w:val="24"/>
          <w:u w:val="single"/>
        </w:rPr>
        <w:t>/</w:t>
      </w:r>
      <w:r>
        <w:rPr>
          <w:rFonts w:hint="eastAsia" w:ascii="宋体" w:hAnsi="宋体" w:cs="宋体"/>
          <w:color w:val="auto"/>
          <w:sz w:val="24"/>
        </w:rPr>
        <w:t>。</w:t>
      </w:r>
    </w:p>
    <w:p w14:paraId="781C8542">
      <w:pPr>
        <w:spacing w:line="440" w:lineRule="exact"/>
        <w:ind w:firstLine="482" w:firstLineChars="200"/>
        <w:rPr>
          <w:rFonts w:ascii="宋体" w:hAnsi="宋体" w:cs="宋体"/>
          <w:b/>
          <w:bCs/>
          <w:color w:val="auto"/>
          <w:sz w:val="24"/>
        </w:rPr>
      </w:pPr>
      <w:r>
        <w:rPr>
          <w:rFonts w:hint="eastAsia" w:ascii="宋体" w:hAnsi="宋体" w:cs="宋体"/>
          <w:b/>
          <w:bCs/>
          <w:color w:val="auto"/>
          <w:sz w:val="24"/>
        </w:rPr>
        <w:t>3.承包人</w:t>
      </w:r>
    </w:p>
    <w:p w14:paraId="27117F5F">
      <w:pPr>
        <w:spacing w:line="440" w:lineRule="exact"/>
        <w:ind w:firstLine="480" w:firstLineChars="200"/>
        <w:rPr>
          <w:rFonts w:ascii="宋体" w:hAnsi="宋体" w:cs="宋体"/>
          <w:color w:val="auto"/>
          <w:sz w:val="24"/>
        </w:rPr>
      </w:pPr>
      <w:r>
        <w:rPr>
          <w:rFonts w:hint="eastAsia" w:ascii="宋体" w:hAnsi="宋体" w:cs="宋体"/>
          <w:color w:val="auto"/>
          <w:sz w:val="24"/>
        </w:rPr>
        <w:t>3.1 承包人的一般义务</w:t>
      </w:r>
    </w:p>
    <w:p w14:paraId="076D6195">
      <w:pPr>
        <w:spacing w:line="440" w:lineRule="exact"/>
        <w:ind w:firstLine="480" w:firstLineChars="200"/>
        <w:rPr>
          <w:rFonts w:ascii="宋体" w:hAnsi="宋体" w:cs="宋体"/>
          <w:color w:val="auto"/>
          <w:sz w:val="24"/>
          <w:u w:val="single"/>
        </w:rPr>
      </w:pPr>
      <w:r>
        <w:rPr>
          <w:rFonts w:hint="eastAsia" w:ascii="宋体" w:hAnsi="宋体" w:cs="宋体"/>
          <w:color w:val="auto"/>
          <w:sz w:val="24"/>
        </w:rPr>
        <w:t>（1）承包人提交的竣工资料的内容：</w:t>
      </w:r>
      <w:r>
        <w:rPr>
          <w:rFonts w:hint="eastAsia" w:ascii="宋体" w:hAnsi="宋体" w:cs="宋体"/>
          <w:color w:val="auto"/>
          <w:sz w:val="24"/>
          <w:u w:val="single"/>
        </w:rPr>
        <w:t>施工技术管理文件；施工质量证明文件；检验和检测报告；施工记录；检验和质量验收记录；竣工图（设计变更较多需重新绘制竣工图的，还包含竣工图电子文档）；工程结算书及相关支撑资料；现场影像资料；工程材料的质保资料；工程质量保修书等。</w:t>
      </w:r>
    </w:p>
    <w:p w14:paraId="2E37CE45">
      <w:pPr>
        <w:spacing w:line="440" w:lineRule="exact"/>
        <w:ind w:firstLine="480" w:firstLineChars="200"/>
        <w:rPr>
          <w:rFonts w:ascii="宋体" w:hAnsi="宋体" w:cs="宋体"/>
          <w:color w:val="auto"/>
          <w:sz w:val="24"/>
        </w:rPr>
      </w:pPr>
      <w:bookmarkStart w:id="10" w:name="auto_fouce_13"/>
      <w:r>
        <w:rPr>
          <w:rFonts w:hint="eastAsia" w:ascii="宋体" w:hAnsi="宋体" w:cs="宋体"/>
          <w:color w:val="auto"/>
          <w:sz w:val="24"/>
        </w:rPr>
        <w:t>承包人需要提交的竣工资料套数：</w:t>
      </w:r>
      <w:r>
        <w:rPr>
          <w:rFonts w:hint="eastAsia" w:ascii="宋体" w:hAnsi="宋体" w:cs="宋体"/>
          <w:color w:val="auto"/>
          <w:sz w:val="24"/>
          <w:u w:val="single"/>
        </w:rPr>
        <w:t>5套</w:t>
      </w:r>
      <w:r>
        <w:rPr>
          <w:rFonts w:hint="eastAsia" w:ascii="宋体" w:hAnsi="宋体" w:cs="宋体"/>
          <w:color w:val="auto"/>
          <w:sz w:val="24"/>
        </w:rPr>
        <w:t>。</w:t>
      </w:r>
      <w:bookmarkEnd w:id="10"/>
    </w:p>
    <w:p w14:paraId="4CE09406">
      <w:pPr>
        <w:spacing w:line="440" w:lineRule="exact"/>
        <w:ind w:firstLine="480" w:firstLineChars="200"/>
        <w:rPr>
          <w:rFonts w:ascii="宋体" w:hAnsi="宋体" w:cs="宋体"/>
          <w:color w:val="auto"/>
          <w:sz w:val="24"/>
        </w:rPr>
      </w:pPr>
      <w:r>
        <w:rPr>
          <w:rFonts w:hint="eastAsia" w:ascii="宋体" w:hAnsi="宋体" w:cs="宋体"/>
          <w:color w:val="auto"/>
          <w:sz w:val="24"/>
        </w:rPr>
        <w:t>承包人提交的竣工资料的费用承担：</w:t>
      </w:r>
      <w:r>
        <w:rPr>
          <w:rFonts w:hint="eastAsia" w:ascii="宋体" w:hAnsi="宋体" w:cs="宋体"/>
          <w:color w:val="auto"/>
          <w:sz w:val="24"/>
          <w:u w:val="single"/>
        </w:rPr>
        <w:t>承包人自行承担</w:t>
      </w:r>
      <w:r>
        <w:rPr>
          <w:rFonts w:hint="eastAsia" w:ascii="宋体" w:hAnsi="宋体" w:cs="宋体"/>
          <w:color w:val="auto"/>
          <w:sz w:val="24"/>
        </w:rPr>
        <w:t>。</w:t>
      </w:r>
    </w:p>
    <w:p w14:paraId="10B9711B">
      <w:pPr>
        <w:spacing w:line="440" w:lineRule="exact"/>
        <w:ind w:firstLine="480" w:firstLineChars="200"/>
        <w:rPr>
          <w:rFonts w:ascii="宋体" w:hAnsi="宋体" w:cs="宋体"/>
          <w:color w:val="auto"/>
          <w:sz w:val="24"/>
        </w:rPr>
      </w:pPr>
      <w:r>
        <w:rPr>
          <w:rFonts w:hint="eastAsia" w:ascii="宋体" w:hAnsi="宋体" w:cs="宋体"/>
          <w:color w:val="auto"/>
          <w:sz w:val="24"/>
        </w:rPr>
        <w:t>承包人提交的竣工资料移交时间：</w:t>
      </w:r>
      <w:r>
        <w:rPr>
          <w:rFonts w:hint="eastAsia" w:ascii="宋体" w:hAnsi="宋体" w:cs="宋体"/>
          <w:color w:val="auto"/>
          <w:sz w:val="24"/>
          <w:u w:val="single"/>
        </w:rPr>
        <w:t>承包人应在竣工验收合格后10天内向发包人移交竣工资料</w:t>
      </w:r>
      <w:r>
        <w:rPr>
          <w:rFonts w:hint="eastAsia" w:ascii="宋体" w:hAnsi="宋体" w:cs="宋体"/>
          <w:color w:val="auto"/>
          <w:sz w:val="24"/>
        </w:rPr>
        <w:t>。</w:t>
      </w:r>
    </w:p>
    <w:p w14:paraId="4F9F26ED">
      <w:pPr>
        <w:spacing w:line="440" w:lineRule="exact"/>
        <w:ind w:firstLine="480" w:firstLineChars="200"/>
        <w:rPr>
          <w:rFonts w:ascii="宋体" w:hAnsi="宋体" w:cs="宋体"/>
          <w:color w:val="auto"/>
          <w:sz w:val="24"/>
        </w:rPr>
      </w:pPr>
      <w:r>
        <w:rPr>
          <w:rFonts w:hint="eastAsia" w:ascii="宋体" w:hAnsi="宋体" w:cs="宋体"/>
          <w:color w:val="auto"/>
          <w:sz w:val="24"/>
        </w:rPr>
        <w:t>承包人提交的竣工资料形式要求：</w:t>
      </w:r>
      <w:r>
        <w:rPr>
          <w:rFonts w:hint="eastAsia" w:ascii="宋体" w:hAnsi="宋体" w:cs="宋体"/>
          <w:color w:val="auto"/>
          <w:sz w:val="24"/>
          <w:u w:val="single"/>
        </w:rPr>
        <w:t>除提供纸质文件外，还应提供相关电子文件及影像文件</w:t>
      </w:r>
      <w:r>
        <w:rPr>
          <w:rFonts w:hint="eastAsia" w:ascii="宋体" w:hAnsi="宋体" w:cs="宋体"/>
          <w:color w:val="auto"/>
          <w:sz w:val="24"/>
        </w:rPr>
        <w:t>。</w:t>
      </w:r>
    </w:p>
    <w:p w14:paraId="65CC988D">
      <w:pPr>
        <w:spacing w:line="440" w:lineRule="exact"/>
        <w:ind w:firstLine="480" w:firstLineChars="200"/>
        <w:rPr>
          <w:rFonts w:ascii="宋体" w:hAnsi="宋体" w:cs="宋体"/>
          <w:color w:val="auto"/>
          <w:sz w:val="24"/>
          <w:u w:val="single"/>
        </w:rPr>
      </w:pPr>
      <w:r>
        <w:rPr>
          <w:rFonts w:hint="eastAsia" w:ascii="宋体" w:hAnsi="宋体" w:cs="宋体"/>
          <w:color w:val="auto"/>
          <w:sz w:val="24"/>
        </w:rPr>
        <w:t>（</w:t>
      </w:r>
      <w:r>
        <w:rPr>
          <w:rFonts w:ascii="宋体" w:hAnsi="宋体" w:cs="宋体"/>
          <w:color w:val="auto"/>
          <w:sz w:val="24"/>
        </w:rPr>
        <w:t>2</w:t>
      </w:r>
      <w:r>
        <w:rPr>
          <w:rFonts w:hint="eastAsia" w:ascii="宋体" w:hAnsi="宋体" w:cs="宋体"/>
          <w:color w:val="auto"/>
          <w:sz w:val="24"/>
        </w:rPr>
        <w:t>）承包人应履行的其他义务：</w:t>
      </w:r>
      <w:r>
        <w:rPr>
          <w:rFonts w:hint="eastAsia" w:ascii="宋体" w:hAnsi="宋体" w:cs="宋体"/>
          <w:color w:val="auto"/>
          <w:sz w:val="24"/>
          <w:u w:val="single"/>
        </w:rPr>
        <w:t>a、安全生产，文明施工必须符合当地或发包人监督部门规定。b、按当地相关主管部门及发包人监督部门有关规定配合发包人其他工程的施工。c、根据现场场地条件，负责施工场地围场施工，所发生的费用由承包人自行负责。d、迎接主管部门及发包人监督部门相关检查并按有关要求进行资料和现场准备。e、施工期间和施工完毕后，均应及时对施工场地和为其施工提供的公共道路进行保洁、维护以及维修，产生的垃圾和被破坏的场地，必须遵照发包人或监理工程师和发包人的指示进行清理、修复，并根据实际情况将场地恢复到原有状态，费用自理。</w:t>
      </w:r>
      <w:bookmarkStart w:id="11" w:name="auto_fouce_14"/>
    </w:p>
    <w:p w14:paraId="28ED96CD">
      <w:pPr>
        <w:spacing w:line="440" w:lineRule="exact"/>
        <w:ind w:firstLine="480" w:firstLineChars="200"/>
        <w:rPr>
          <w:rFonts w:ascii="宋体" w:hAnsi="宋体" w:cs="宋体"/>
          <w:color w:val="auto"/>
          <w:sz w:val="24"/>
          <w:u w:val="single"/>
        </w:rPr>
      </w:pPr>
      <w:r>
        <w:rPr>
          <w:rFonts w:hint="eastAsia" w:ascii="宋体" w:hAnsi="宋体" w:cs="宋体"/>
          <w:color w:val="auto"/>
          <w:sz w:val="24"/>
        </w:rPr>
        <w:t>乙方</w:t>
      </w:r>
      <w:r>
        <w:rPr>
          <w:rFonts w:hint="eastAsia" w:ascii="宋体" w:hAnsi="宋体" w:cs="宋体"/>
          <w:color w:val="auto"/>
          <w:sz w:val="24"/>
          <w:u w:val="single"/>
        </w:rPr>
        <w:t>因本项目施工接触到的</w:t>
      </w:r>
      <w:r>
        <w:rPr>
          <w:rFonts w:hint="eastAsia" w:ascii="宋体" w:hAnsi="宋体" w:cs="宋体"/>
          <w:color w:val="auto"/>
          <w:sz w:val="24"/>
        </w:rPr>
        <w:t>甲方</w:t>
      </w:r>
      <w:r>
        <w:rPr>
          <w:rFonts w:hint="eastAsia" w:ascii="宋体" w:hAnsi="宋体" w:cs="宋体"/>
          <w:color w:val="auto"/>
          <w:sz w:val="24"/>
          <w:u w:val="single"/>
        </w:rPr>
        <w:t>所有内部管理数据、师生个人信息、校园场地及资产资料等，仅可用于本项目施工用途，不得泄露、复制、转让或挪作他用，项目完工后</w:t>
      </w:r>
      <w:r>
        <w:rPr>
          <w:rFonts w:hint="eastAsia" w:ascii="宋体" w:hAnsi="宋体" w:cs="宋体"/>
          <w:color w:val="auto"/>
          <w:sz w:val="24"/>
        </w:rPr>
        <w:t>乙方</w:t>
      </w:r>
      <w:r>
        <w:rPr>
          <w:rFonts w:hint="eastAsia" w:ascii="宋体" w:hAnsi="宋体" w:cs="宋体"/>
          <w:color w:val="auto"/>
          <w:sz w:val="24"/>
          <w:u w:val="single"/>
        </w:rPr>
        <w:t>应将相关资料全部移交</w:t>
      </w:r>
      <w:r>
        <w:rPr>
          <w:rFonts w:hint="eastAsia" w:ascii="宋体" w:hAnsi="宋体" w:cs="宋体"/>
          <w:color w:val="auto"/>
          <w:sz w:val="24"/>
        </w:rPr>
        <w:t>甲方</w:t>
      </w:r>
      <w:r>
        <w:rPr>
          <w:rFonts w:hint="eastAsia" w:ascii="宋体" w:hAnsi="宋体" w:cs="宋体"/>
          <w:color w:val="auto"/>
          <w:sz w:val="24"/>
          <w:u w:val="single"/>
        </w:rPr>
        <w:t>或自行销毁，前述数据及基于数据产生的所有衍生权益、知识产权均归</w:t>
      </w:r>
      <w:r>
        <w:rPr>
          <w:rFonts w:hint="eastAsia" w:ascii="宋体" w:hAnsi="宋体" w:cs="宋体"/>
          <w:color w:val="auto"/>
          <w:sz w:val="24"/>
        </w:rPr>
        <w:t>甲方</w:t>
      </w:r>
      <w:r>
        <w:rPr>
          <w:rFonts w:hint="eastAsia" w:ascii="宋体" w:hAnsi="宋体" w:cs="宋体"/>
          <w:color w:val="auto"/>
          <w:sz w:val="24"/>
          <w:u w:val="single"/>
        </w:rPr>
        <w:t>所有。</w:t>
      </w:r>
      <w:bookmarkEnd w:id="11"/>
    </w:p>
    <w:p w14:paraId="0C335D5D">
      <w:pPr>
        <w:spacing w:line="440" w:lineRule="exact"/>
        <w:ind w:firstLine="480" w:firstLineChars="200"/>
        <w:rPr>
          <w:rFonts w:ascii="宋体" w:hAnsi="宋体" w:cs="宋体"/>
          <w:color w:val="auto"/>
          <w:sz w:val="24"/>
          <w:u w:val="single"/>
        </w:rPr>
      </w:pPr>
      <w:r>
        <w:rPr>
          <w:rFonts w:hint="eastAsia" w:ascii="宋体" w:hAnsi="宋体" w:cs="宋体"/>
          <w:color w:val="auto"/>
          <w:sz w:val="24"/>
          <w:lang w:eastAsia="zh-CN"/>
        </w:rPr>
        <w:t>（</w:t>
      </w:r>
      <w:r>
        <w:rPr>
          <w:rFonts w:hint="eastAsia" w:ascii="宋体" w:hAnsi="宋体" w:cs="宋体"/>
          <w:color w:val="auto"/>
          <w:sz w:val="24"/>
          <w:lang w:val="en-US" w:eastAsia="zh-CN"/>
        </w:rPr>
        <w:t>3</w:t>
      </w:r>
      <w:r>
        <w:rPr>
          <w:rFonts w:hint="eastAsia" w:ascii="宋体" w:hAnsi="宋体" w:cs="宋体"/>
          <w:color w:val="auto"/>
          <w:sz w:val="24"/>
          <w:lang w:eastAsia="zh-CN"/>
        </w:rPr>
        <w:t>）</w:t>
      </w:r>
      <w:r>
        <w:rPr>
          <w:rFonts w:hint="eastAsia" w:ascii="宋体" w:hAnsi="宋体" w:cs="宋体"/>
          <w:color w:val="auto"/>
          <w:sz w:val="24"/>
        </w:rPr>
        <w:t>图纸核查、补遗和深化工作：</w:t>
      </w:r>
      <w:r>
        <w:rPr>
          <w:rFonts w:hint="eastAsia" w:ascii="宋体" w:hAnsi="宋体" w:cs="宋体"/>
          <w:color w:val="auto"/>
          <w:sz w:val="24"/>
          <w:u w:val="single"/>
        </w:rPr>
        <w:t>开工前承包人应对施工图纸进行认真核查，积极配合发包人组织的施工图纸交底及会审工作，指出图纸上任何不符合施工常规、惯例或规范之处，以及设计图纸中错、漏、碰问题，并做好各系统管线的综合平衡工作，如因承包人未能在施工该道工序前7天协调解决好此类矛盾、问题而造成工程费用增加和工期损失，由承包人承担相关责任。施工过程中，若发现施工图中出现错误或明显不合理的情况，承包人应在该分项工程开工前7日通知发包人，并提出相应的处理方案，经发包人同意后实施，如：施工图纸未标明，但明显属于使用功能需要的、施工（相关）规范有要求的或明显影响美观效果的，承包人有责任和义务自行完善。</w:t>
      </w:r>
    </w:p>
    <w:p w14:paraId="01E74AF2">
      <w:pPr>
        <w:spacing w:line="440" w:lineRule="exact"/>
        <w:ind w:firstLine="480" w:firstLineChars="200"/>
        <w:rPr>
          <w:rFonts w:ascii="宋体" w:hAnsi="宋体" w:cs="宋体"/>
          <w:color w:val="auto"/>
          <w:sz w:val="24"/>
          <w:u w:val="single"/>
        </w:rPr>
      </w:pPr>
      <w:r>
        <w:rPr>
          <w:rFonts w:hint="eastAsia" w:ascii="宋体" w:hAnsi="宋体" w:cs="宋体"/>
          <w:color w:val="auto"/>
          <w:sz w:val="24"/>
          <w:u w:val="single"/>
        </w:rPr>
        <w:t>如果任何明显属于本工程的承包范围，且未以文字形式明确约定为属于任何专业分包人的工作范围，也未在本合同中以文字形式明确约定为属于承包人自行完成的工作范围，此类工作也应由承包人自行完成。</w:t>
      </w:r>
    </w:p>
    <w:p w14:paraId="1CD6B0F7">
      <w:pPr>
        <w:spacing w:line="440" w:lineRule="exact"/>
        <w:ind w:firstLine="480" w:firstLineChars="200"/>
        <w:rPr>
          <w:rFonts w:ascii="宋体" w:hAnsi="宋体" w:cs="宋体"/>
          <w:color w:val="auto"/>
          <w:sz w:val="24"/>
          <w:u w:val="single"/>
        </w:rPr>
      </w:pPr>
      <w:r>
        <w:rPr>
          <w:rFonts w:hint="eastAsia" w:ascii="宋体" w:hAnsi="宋体" w:cs="宋体"/>
          <w:color w:val="auto"/>
          <w:sz w:val="24"/>
          <w:u w:val="single"/>
        </w:rPr>
        <w:t>发包人就施工场地情况、各类隐蔽管线和设施提供资料后，承包人应当独立尽职调查，包括向有关的管理部门、管线监管部门进行调查或对现场详细勘查等，以获得全部真实资料。</w:t>
      </w:r>
    </w:p>
    <w:p w14:paraId="6A8D4A24">
      <w:pPr>
        <w:spacing w:line="440" w:lineRule="exact"/>
        <w:ind w:firstLine="480" w:firstLineChars="200"/>
        <w:rPr>
          <w:rFonts w:ascii="宋体" w:hAnsi="宋体" w:cs="宋体"/>
          <w:color w:val="auto"/>
          <w:sz w:val="24"/>
          <w:u w:val="single"/>
        </w:rPr>
      </w:pPr>
      <w:r>
        <w:rPr>
          <w:rFonts w:hint="eastAsia" w:ascii="宋体" w:hAnsi="宋体" w:cs="宋体"/>
          <w:color w:val="auto"/>
          <w:sz w:val="24"/>
          <w:u w:val="single"/>
        </w:rPr>
        <w:t>由承包人负责完成的二次深化设计文件属于合同条款第1.6.2项约定的承包人提供的文件，承包人应按照专用合同条款第1.6.2项约定的期限和数量提交，由此发生的设计、施工等相关费用被认为已经包括在承包人的签约合同价（成交价）中。</w:t>
      </w:r>
    </w:p>
    <w:p w14:paraId="15B11A64">
      <w:pPr>
        <w:spacing w:line="440" w:lineRule="exact"/>
        <w:ind w:firstLine="480" w:firstLineChars="200"/>
        <w:rPr>
          <w:rFonts w:ascii="宋体" w:hAnsi="宋体" w:cs="宋体"/>
          <w:color w:val="auto"/>
          <w:sz w:val="24"/>
          <w:u w:val="single"/>
        </w:rPr>
      </w:pPr>
      <w:r>
        <w:rPr>
          <w:rFonts w:hint="eastAsia" w:ascii="宋体" w:hAnsi="宋体" w:cs="宋体"/>
          <w:color w:val="auto"/>
          <w:sz w:val="24"/>
          <w:lang w:eastAsia="zh-CN"/>
        </w:rPr>
        <w:t>（</w:t>
      </w:r>
      <w:r>
        <w:rPr>
          <w:rFonts w:hint="eastAsia" w:ascii="宋体" w:hAnsi="宋体" w:cs="宋体"/>
          <w:color w:val="auto"/>
          <w:sz w:val="24"/>
          <w:lang w:val="en-US" w:eastAsia="zh-CN"/>
        </w:rPr>
        <w:t>4</w:t>
      </w:r>
      <w:r>
        <w:rPr>
          <w:rFonts w:hint="eastAsia" w:ascii="宋体" w:hAnsi="宋体" w:cs="宋体"/>
          <w:color w:val="auto"/>
          <w:sz w:val="24"/>
          <w:lang w:eastAsia="zh-CN"/>
        </w:rPr>
        <w:t>）</w:t>
      </w:r>
      <w:r>
        <w:rPr>
          <w:rFonts w:hint="eastAsia" w:ascii="宋体" w:hAnsi="宋体" w:cs="宋体"/>
          <w:color w:val="auto"/>
          <w:sz w:val="24"/>
        </w:rPr>
        <w:t>编制切实可行的施工组织设计：</w:t>
      </w:r>
      <w:r>
        <w:rPr>
          <w:rFonts w:hint="eastAsia" w:ascii="宋体" w:hAnsi="宋体" w:cs="宋体"/>
          <w:color w:val="auto"/>
          <w:sz w:val="24"/>
          <w:u w:val="single"/>
        </w:rPr>
        <w:t>签订工程承包合同1日内，承包人应提供细化后的施工组织设计，报发包人及监理单位审批，施工组织设计应包括全部设备、材料、成品、半成品等需求供应进场计划，人员安排、质保体系、安全文明施工措施、保密措施、施工机械设备配置情况，以及施工现场优化布置等内容。发包人接到监理报来的施工组织设计（各工期节点不得迟于合同工期节点规定）之日起3日内组织审核批准或提出修改意见，因施工组织设计变化引起的经费增减，结算时该部分价款不再调整。承包人不按时送审符合要求的施工组织设计，造成发包人无法判断工程进展顺利与否，发包人可拒付相应部分工程进度款，责任由承包人承担。</w:t>
      </w:r>
    </w:p>
    <w:p w14:paraId="3DD7E797">
      <w:pPr>
        <w:spacing w:line="440" w:lineRule="exact"/>
        <w:ind w:firstLine="480" w:firstLineChars="200"/>
        <w:rPr>
          <w:rFonts w:ascii="宋体" w:hAnsi="宋体" w:cs="宋体"/>
          <w:color w:val="auto"/>
          <w:sz w:val="24"/>
          <w:u w:val="single"/>
        </w:rPr>
      </w:pPr>
      <w:r>
        <w:rPr>
          <w:rFonts w:hint="eastAsia" w:ascii="宋体" w:hAnsi="宋体" w:cs="宋体"/>
          <w:color w:val="auto"/>
          <w:sz w:val="24"/>
          <w:u w:val="single"/>
        </w:rPr>
        <w:t>根据项目质量目标和质量保证体系，协助、要求和督促各专业承包人建立起完善的专业工程质量目标和质量保证体系，将各专业承包人纳入统一的质量管理和保证体系，确保质量体系的有效运行，并定期检查质量保证体系的运行情况。</w:t>
      </w:r>
    </w:p>
    <w:p w14:paraId="44F14E98">
      <w:pPr>
        <w:spacing w:line="440" w:lineRule="exact"/>
        <w:ind w:firstLine="480" w:firstLineChars="200"/>
        <w:rPr>
          <w:rFonts w:ascii="宋体" w:hAnsi="宋体" w:cs="宋体"/>
          <w:color w:val="auto"/>
          <w:sz w:val="24"/>
          <w:u w:val="single"/>
        </w:rPr>
      </w:pPr>
      <w:r>
        <w:rPr>
          <w:rFonts w:hint="eastAsia" w:ascii="宋体" w:hAnsi="宋体" w:cs="宋体"/>
          <w:color w:val="auto"/>
          <w:sz w:val="24"/>
          <w:u w:val="single"/>
        </w:rPr>
        <w:t>制定质量通病预防及纠正措施，实现对通病的预控，进行有针对性的质量会诊、质量讲评；质量的控制包括对深化设计和施工详图设计图纸的质量控制，以及施工方案、材料设备、现场施工、工程资料的质量控制等各个方面。</w:t>
      </w:r>
    </w:p>
    <w:p w14:paraId="20A26D2A">
      <w:pPr>
        <w:spacing w:line="440" w:lineRule="exact"/>
        <w:ind w:firstLine="480" w:firstLineChars="200"/>
        <w:rPr>
          <w:rFonts w:ascii="宋体" w:hAnsi="宋体" w:cs="宋体"/>
          <w:color w:val="auto"/>
          <w:sz w:val="24"/>
          <w:u w:val="single"/>
        </w:rPr>
      </w:pPr>
      <w:r>
        <w:rPr>
          <w:rFonts w:hint="eastAsia" w:ascii="宋体" w:hAnsi="宋体" w:cs="宋体"/>
          <w:color w:val="auto"/>
          <w:sz w:val="24"/>
          <w:lang w:eastAsia="zh-CN"/>
        </w:rPr>
        <w:t>（</w:t>
      </w:r>
      <w:r>
        <w:rPr>
          <w:rFonts w:hint="eastAsia" w:ascii="宋体" w:hAnsi="宋体" w:cs="宋体"/>
          <w:color w:val="auto"/>
          <w:sz w:val="24"/>
          <w:lang w:val="en-US" w:eastAsia="zh-CN"/>
        </w:rPr>
        <w:t>5</w:t>
      </w:r>
      <w:r>
        <w:rPr>
          <w:rFonts w:hint="eastAsia" w:ascii="宋体" w:hAnsi="宋体" w:cs="宋体"/>
          <w:color w:val="auto"/>
          <w:sz w:val="24"/>
          <w:lang w:eastAsia="zh-CN"/>
        </w:rPr>
        <w:t>）</w:t>
      </w:r>
      <w:r>
        <w:rPr>
          <w:rFonts w:hint="eastAsia" w:ascii="宋体" w:hAnsi="宋体" w:cs="宋体"/>
          <w:color w:val="auto"/>
          <w:sz w:val="24"/>
        </w:rPr>
        <w:t>工程现场管理方面：</w:t>
      </w:r>
      <w:r>
        <w:rPr>
          <w:rFonts w:hint="eastAsia" w:ascii="宋体" w:hAnsi="宋体" w:cs="宋体"/>
          <w:color w:val="auto"/>
          <w:sz w:val="24"/>
          <w:u w:val="single"/>
        </w:rPr>
        <w:t>承包人须对本合同下的整个工程负责，对整个现场的施工组织和施工方案的适用性、稳定性和安全性负全面责任，包括专业分包人、其他承包人工作或工程；并对在施工现场或者附近实施与合同工程有关的其他工作的独立承包人履行管理、协调、配合、照管和服务义务。</w:t>
      </w:r>
    </w:p>
    <w:p w14:paraId="4F109569">
      <w:pPr>
        <w:spacing w:line="440" w:lineRule="exact"/>
        <w:ind w:firstLine="480" w:firstLineChars="200"/>
        <w:rPr>
          <w:rFonts w:ascii="宋体" w:hAnsi="宋体" w:cs="宋体"/>
          <w:color w:val="auto"/>
          <w:sz w:val="24"/>
          <w:u w:val="single"/>
        </w:rPr>
      </w:pPr>
      <w:r>
        <w:rPr>
          <w:rFonts w:hint="eastAsia" w:ascii="宋体" w:hAnsi="宋体" w:cs="宋体"/>
          <w:color w:val="auto"/>
          <w:sz w:val="24"/>
          <w:u w:val="single"/>
        </w:rPr>
        <w:t>承包人应参加本工程相关各类施工协调、配合会，对交叉施工引起的问题，有义务进行配合协商解决，服从发包人及现场总监的决定；应制定相应的管理办法保证承包人、专业分包人和其他承包人都能遵照执行，以确保现场始终处于整洁状态；承包人制定的管理办法须经过监理人的审批。</w:t>
      </w:r>
    </w:p>
    <w:p w14:paraId="13899C58">
      <w:pPr>
        <w:spacing w:line="440" w:lineRule="exact"/>
        <w:ind w:firstLine="480" w:firstLineChars="200"/>
        <w:rPr>
          <w:rFonts w:ascii="宋体" w:hAnsi="宋体" w:cs="宋体"/>
          <w:color w:val="auto"/>
          <w:sz w:val="24"/>
          <w:u w:val="single"/>
        </w:rPr>
      </w:pPr>
      <w:r>
        <w:rPr>
          <w:rFonts w:hint="eastAsia" w:ascii="宋体" w:hAnsi="宋体" w:cs="宋体"/>
          <w:color w:val="auto"/>
          <w:sz w:val="24"/>
          <w:u w:val="single"/>
        </w:rPr>
        <w:t>承包人须做好施工记录，隐蔽工程记录，汇集施工技术资料，包括摄影、录像资料。负责做好施工现场安全保卫和施工现场的组织管理工作，创建文明施工工地及标准化管理。</w:t>
      </w:r>
    </w:p>
    <w:p w14:paraId="0DCC138D">
      <w:pPr>
        <w:spacing w:line="440" w:lineRule="exact"/>
        <w:ind w:firstLine="480" w:firstLineChars="200"/>
        <w:rPr>
          <w:rFonts w:ascii="宋体" w:hAnsi="宋体" w:cs="宋体"/>
          <w:color w:val="auto"/>
          <w:sz w:val="24"/>
          <w:u w:val="single"/>
        </w:rPr>
      </w:pPr>
      <w:r>
        <w:rPr>
          <w:rFonts w:hint="eastAsia" w:ascii="宋体" w:hAnsi="宋体" w:cs="宋体"/>
          <w:color w:val="auto"/>
          <w:sz w:val="24"/>
          <w:u w:val="single"/>
        </w:rPr>
        <w:t>承包人必须配备专职的造价人员，向发包人书面报送《施工计划》和《完成工程量月报表》，施工计划必须具体、详细，包括人力安排、增加人力的来源、工程量等。如不按时、按要求报送，发包人有权不予支付本期进度款或支付时间顺延。</w:t>
      </w:r>
    </w:p>
    <w:p w14:paraId="00827A15">
      <w:pPr>
        <w:spacing w:line="440" w:lineRule="exact"/>
        <w:ind w:firstLine="480" w:firstLineChars="200"/>
        <w:rPr>
          <w:rFonts w:ascii="宋体" w:hAnsi="宋体" w:cs="宋体"/>
          <w:color w:val="auto"/>
          <w:sz w:val="24"/>
          <w:u w:val="single"/>
        </w:rPr>
      </w:pPr>
      <w:r>
        <w:rPr>
          <w:rFonts w:hint="eastAsia" w:ascii="宋体" w:hAnsi="宋体" w:cs="宋体"/>
          <w:color w:val="auto"/>
          <w:sz w:val="24"/>
          <w:lang w:eastAsia="zh-CN"/>
        </w:rPr>
        <w:t>（</w:t>
      </w:r>
      <w:r>
        <w:rPr>
          <w:rFonts w:hint="eastAsia" w:ascii="宋体" w:hAnsi="宋体" w:cs="宋体"/>
          <w:color w:val="auto"/>
          <w:sz w:val="24"/>
          <w:lang w:val="en-US" w:eastAsia="zh-CN"/>
        </w:rPr>
        <w:t>6</w:t>
      </w:r>
      <w:r>
        <w:rPr>
          <w:rFonts w:hint="eastAsia" w:ascii="宋体" w:hAnsi="宋体" w:cs="宋体"/>
          <w:color w:val="auto"/>
          <w:sz w:val="24"/>
          <w:lang w:eastAsia="zh-CN"/>
        </w:rPr>
        <w:t>）</w:t>
      </w:r>
      <w:r>
        <w:rPr>
          <w:rFonts w:hint="eastAsia" w:ascii="宋体" w:hAnsi="宋体" w:cs="宋体"/>
          <w:color w:val="auto"/>
          <w:sz w:val="24"/>
        </w:rPr>
        <w:t>协调配合方面：</w:t>
      </w:r>
      <w:r>
        <w:rPr>
          <w:rFonts w:hint="eastAsia" w:ascii="宋体" w:hAnsi="宋体" w:cs="宋体"/>
          <w:color w:val="auto"/>
          <w:sz w:val="24"/>
          <w:u w:val="single"/>
        </w:rPr>
        <w:t>承包人在施工中的问题应本着“文来文去”的原则。承包人发文应有标准固定格式，规范的文件编号，由项目经理签署并报监理单位审核后，报发包人代表签署方为有效。所有由监理人发给承包人的指示，如涉及专业分包人和其他承包人的工作或工程，承包人需及时转发，以确保监理人的指示能及时得到落实。</w:t>
      </w:r>
    </w:p>
    <w:p w14:paraId="07C90F9C">
      <w:pPr>
        <w:spacing w:line="440" w:lineRule="exact"/>
        <w:ind w:firstLine="480" w:firstLineChars="200"/>
        <w:rPr>
          <w:rFonts w:ascii="宋体" w:hAnsi="宋体" w:cs="宋体"/>
          <w:color w:val="auto"/>
          <w:sz w:val="24"/>
          <w:u w:val="single"/>
        </w:rPr>
      </w:pPr>
      <w:r>
        <w:rPr>
          <w:rFonts w:hint="eastAsia" w:ascii="宋体" w:hAnsi="宋体" w:cs="宋体"/>
          <w:color w:val="auto"/>
          <w:sz w:val="24"/>
          <w:u w:val="single"/>
        </w:rPr>
        <w:t>对竣工资料进行统一整理汇总，协调各分包单位的施工试验及监督见证取样送检工作；对本工程工地范围内做全面的看管、防盗窃及破坏，包括在工地内专业分包人、承包人和其他承包人的设备、材料和工程等。</w:t>
      </w:r>
    </w:p>
    <w:p w14:paraId="5AFFCE87">
      <w:pPr>
        <w:numPr>
          <w:ilvl w:val="0"/>
          <w:numId w:val="0"/>
        </w:numPr>
        <w:spacing w:line="440" w:lineRule="exact"/>
        <w:ind w:firstLine="480" w:firstLineChars="200"/>
        <w:rPr>
          <w:rFonts w:hint="eastAsia" w:ascii="宋体" w:hAnsi="宋体" w:cs="宋体"/>
          <w:color w:val="auto"/>
          <w:sz w:val="24"/>
        </w:rPr>
      </w:pPr>
      <w:r>
        <w:rPr>
          <w:rFonts w:hint="eastAsia" w:ascii="宋体" w:hAnsi="宋体" w:cs="宋体"/>
          <w:color w:val="auto"/>
          <w:sz w:val="24"/>
          <w:lang w:eastAsia="zh-CN"/>
        </w:rPr>
        <w:t>（</w:t>
      </w:r>
      <w:r>
        <w:rPr>
          <w:rFonts w:hint="eastAsia" w:ascii="宋体" w:hAnsi="宋体" w:cs="宋体"/>
          <w:color w:val="auto"/>
          <w:sz w:val="24"/>
          <w:lang w:val="en-US" w:eastAsia="zh-CN"/>
        </w:rPr>
        <w:t>7</w:t>
      </w:r>
      <w:r>
        <w:rPr>
          <w:rFonts w:hint="eastAsia" w:ascii="宋体" w:hAnsi="宋体" w:cs="宋体"/>
          <w:color w:val="auto"/>
          <w:sz w:val="24"/>
          <w:lang w:eastAsia="zh-CN"/>
        </w:rPr>
        <w:t>）</w:t>
      </w:r>
      <w:r>
        <w:rPr>
          <w:rFonts w:hint="eastAsia" w:ascii="宋体" w:hAnsi="宋体" w:cs="宋体"/>
          <w:color w:val="auto"/>
          <w:sz w:val="24"/>
        </w:rPr>
        <w:t>现场施工的水电费用以甲方审计部门出具的结算单上的水电费用金额缴纳。</w:t>
      </w:r>
    </w:p>
    <w:p w14:paraId="48C536F6">
      <w:pPr>
        <w:numPr>
          <w:ilvl w:val="0"/>
          <w:numId w:val="0"/>
        </w:numPr>
        <w:spacing w:line="440" w:lineRule="exact"/>
        <w:ind w:firstLine="480" w:firstLineChars="200"/>
        <w:rPr>
          <w:color w:val="auto"/>
        </w:rPr>
      </w:pPr>
      <w:r>
        <w:rPr>
          <w:rFonts w:hint="eastAsia" w:ascii="宋体" w:hAnsi="宋体" w:cs="宋体"/>
          <w:color w:val="auto"/>
          <w:sz w:val="24"/>
          <w:lang w:eastAsia="zh-CN"/>
        </w:rPr>
        <w:t>（</w:t>
      </w:r>
      <w:r>
        <w:rPr>
          <w:rFonts w:hint="eastAsia" w:ascii="宋体" w:hAnsi="宋体" w:cs="宋体"/>
          <w:color w:val="auto"/>
          <w:sz w:val="24"/>
          <w:lang w:val="en-US" w:eastAsia="zh-CN"/>
        </w:rPr>
        <w:t>8</w:t>
      </w:r>
      <w:r>
        <w:rPr>
          <w:rFonts w:hint="eastAsia" w:ascii="宋体" w:hAnsi="宋体" w:cs="宋体"/>
          <w:color w:val="auto"/>
          <w:sz w:val="24"/>
          <w:lang w:eastAsia="zh-CN"/>
        </w:rPr>
        <w:t>）</w:t>
      </w:r>
      <w:r>
        <w:rPr>
          <w:rFonts w:hint="eastAsia" w:ascii="宋体" w:hAnsi="宋体" w:cs="宋体"/>
          <w:color w:val="auto"/>
          <w:sz w:val="24"/>
        </w:rPr>
        <w:t>承包人承诺严格履行</w:t>
      </w:r>
      <w:r>
        <w:rPr>
          <w:rFonts w:hint="eastAsia" w:ascii="宋体" w:hAnsi="宋体" w:cs="宋体"/>
          <w:color w:val="auto"/>
          <w:sz w:val="24"/>
          <w:lang w:eastAsia="zh-CN"/>
        </w:rPr>
        <w:t>《</w:t>
      </w:r>
      <w:r>
        <w:rPr>
          <w:rFonts w:hint="eastAsia" w:ascii="宋体" w:hAnsi="宋体" w:cs="宋体"/>
          <w:color w:val="auto"/>
          <w:sz w:val="24"/>
        </w:rPr>
        <w:t>农民工工资支付</w:t>
      </w:r>
      <w:r>
        <w:rPr>
          <w:rFonts w:hint="eastAsia" w:ascii="宋体" w:hAnsi="宋体" w:cs="宋体"/>
          <w:color w:val="auto"/>
          <w:sz w:val="24"/>
          <w:lang w:val="en-US" w:eastAsia="zh-CN"/>
        </w:rPr>
        <w:t>和审核</w:t>
      </w:r>
      <w:r>
        <w:rPr>
          <w:rFonts w:hint="eastAsia" w:ascii="宋体" w:hAnsi="宋体" w:cs="宋体"/>
          <w:color w:val="auto"/>
          <w:sz w:val="24"/>
        </w:rPr>
        <w:t>承诺书</w:t>
      </w:r>
      <w:r>
        <w:rPr>
          <w:rFonts w:hint="eastAsia" w:ascii="宋体" w:hAnsi="宋体" w:cs="宋体"/>
          <w:color w:val="auto"/>
          <w:sz w:val="24"/>
          <w:lang w:eastAsia="zh-CN"/>
        </w:rPr>
        <w:t>》（</w:t>
      </w:r>
      <w:r>
        <w:rPr>
          <w:rFonts w:hint="eastAsia" w:ascii="宋体" w:hAnsi="宋体" w:cs="宋体"/>
          <w:color w:val="auto"/>
          <w:sz w:val="24"/>
          <w:lang w:val="en-US" w:eastAsia="zh-CN"/>
        </w:rPr>
        <w:t>附件3</w:t>
      </w:r>
      <w:r>
        <w:rPr>
          <w:rFonts w:hint="eastAsia" w:ascii="宋体" w:hAnsi="宋体" w:cs="宋体"/>
          <w:color w:val="auto"/>
          <w:sz w:val="24"/>
          <w:lang w:eastAsia="zh-CN"/>
        </w:rPr>
        <w:t>）</w:t>
      </w:r>
      <w:r>
        <w:rPr>
          <w:rFonts w:hint="eastAsia" w:ascii="宋体" w:hAnsi="宋体" w:cs="宋体"/>
          <w:color w:val="auto"/>
          <w:sz w:val="24"/>
        </w:rPr>
        <w:t>的要求。</w:t>
      </w:r>
    </w:p>
    <w:p w14:paraId="4A6351F1">
      <w:pPr>
        <w:spacing w:line="440" w:lineRule="exact"/>
        <w:ind w:firstLine="480" w:firstLineChars="200"/>
        <w:rPr>
          <w:rFonts w:ascii="宋体" w:hAnsi="宋体" w:cs="宋体"/>
          <w:color w:val="auto"/>
          <w:sz w:val="24"/>
        </w:rPr>
      </w:pPr>
      <w:r>
        <w:rPr>
          <w:rFonts w:hint="eastAsia" w:ascii="宋体" w:hAnsi="宋体" w:cs="宋体"/>
          <w:color w:val="auto"/>
          <w:sz w:val="24"/>
        </w:rPr>
        <w:t>3.2 项目经理</w:t>
      </w:r>
    </w:p>
    <w:p w14:paraId="58CF581A">
      <w:pPr>
        <w:spacing w:line="440" w:lineRule="exact"/>
        <w:ind w:firstLine="480" w:firstLineChars="200"/>
        <w:rPr>
          <w:rFonts w:ascii="宋体" w:hAnsi="宋体" w:cs="宋体"/>
          <w:color w:val="auto"/>
          <w:sz w:val="24"/>
          <w:highlight w:val="yellow"/>
        </w:rPr>
      </w:pPr>
      <w:r>
        <w:rPr>
          <w:rFonts w:hint="eastAsia" w:ascii="宋体" w:hAnsi="宋体" w:cs="宋体"/>
          <w:color w:val="auto"/>
          <w:sz w:val="24"/>
          <w:highlight w:val="yellow"/>
        </w:rPr>
        <w:t>姓名：</w:t>
      </w:r>
      <w:r>
        <w:rPr>
          <w:rFonts w:hint="eastAsia" w:ascii="宋体" w:hAnsi="宋体" w:cs="宋体"/>
          <w:color w:val="auto"/>
          <w:sz w:val="24"/>
          <w:highlight w:val="yellow"/>
          <w:u w:val="single"/>
          <w:lang w:val="en-US" w:eastAsia="zh-CN"/>
        </w:rPr>
        <w:t xml:space="preserve">        </w:t>
      </w:r>
      <w:r>
        <w:rPr>
          <w:rFonts w:hint="eastAsia" w:ascii="宋体" w:hAnsi="宋体" w:cs="宋体"/>
          <w:color w:val="auto"/>
          <w:sz w:val="24"/>
          <w:highlight w:val="yellow"/>
        </w:rPr>
        <w:t xml:space="preserve"> ，签名式样：</w:t>
      </w:r>
      <w:r>
        <w:rPr>
          <w:rFonts w:hint="eastAsia" w:ascii="宋体" w:hAnsi="宋体" w:cs="宋体"/>
          <w:color w:val="auto"/>
          <w:sz w:val="24"/>
          <w:highlight w:val="yellow"/>
          <w:u w:val="single"/>
        </w:rPr>
        <w:t xml:space="preserve">                </w:t>
      </w:r>
      <w:r>
        <w:rPr>
          <w:rFonts w:hint="eastAsia" w:ascii="宋体" w:hAnsi="宋体" w:cs="宋体"/>
          <w:color w:val="auto"/>
          <w:sz w:val="24"/>
          <w:highlight w:val="yellow"/>
        </w:rPr>
        <w:t>；</w:t>
      </w:r>
    </w:p>
    <w:p w14:paraId="61EAF965">
      <w:pPr>
        <w:spacing w:line="440" w:lineRule="exact"/>
        <w:ind w:firstLine="480" w:firstLineChars="200"/>
        <w:rPr>
          <w:rFonts w:ascii="宋体" w:hAnsi="宋体" w:cs="宋体"/>
          <w:color w:val="auto"/>
          <w:sz w:val="24"/>
          <w:highlight w:val="yellow"/>
        </w:rPr>
      </w:pPr>
      <w:r>
        <w:rPr>
          <w:rFonts w:hint="eastAsia" w:ascii="宋体" w:hAnsi="宋体" w:cs="宋体"/>
          <w:color w:val="auto"/>
          <w:sz w:val="24"/>
          <w:highlight w:val="yellow"/>
        </w:rPr>
        <w:t>身份证号：</w:t>
      </w:r>
      <w:r>
        <w:rPr>
          <w:rFonts w:hint="eastAsia" w:ascii="宋体" w:hAnsi="宋体" w:cs="宋体"/>
          <w:color w:val="auto"/>
          <w:sz w:val="24"/>
          <w:highlight w:val="yellow"/>
          <w:u w:val="single"/>
          <w:lang w:val="en-US" w:eastAsia="zh-CN"/>
        </w:rPr>
        <w:t xml:space="preserve">                        </w:t>
      </w:r>
      <w:r>
        <w:rPr>
          <w:rFonts w:hint="eastAsia" w:ascii="宋体" w:hAnsi="宋体" w:cs="宋体"/>
          <w:color w:val="auto"/>
          <w:sz w:val="24"/>
          <w:highlight w:val="yellow"/>
        </w:rPr>
        <w:t>；</w:t>
      </w:r>
    </w:p>
    <w:p w14:paraId="241449A2">
      <w:pPr>
        <w:spacing w:line="440" w:lineRule="exact"/>
        <w:ind w:firstLine="480" w:firstLineChars="200"/>
        <w:rPr>
          <w:rFonts w:ascii="宋体" w:hAnsi="宋体" w:cs="宋体"/>
          <w:color w:val="auto"/>
          <w:sz w:val="24"/>
          <w:highlight w:val="yellow"/>
        </w:rPr>
      </w:pPr>
      <w:r>
        <w:rPr>
          <w:rFonts w:hint="eastAsia" w:ascii="宋体" w:hAnsi="宋体" w:cs="宋体"/>
          <w:color w:val="auto"/>
          <w:sz w:val="24"/>
          <w:highlight w:val="yellow"/>
        </w:rPr>
        <w:t>建造师执业资格等级：</w:t>
      </w:r>
      <w:r>
        <w:rPr>
          <w:rFonts w:hint="eastAsia" w:ascii="宋体" w:hAnsi="宋体" w:cs="宋体"/>
          <w:color w:val="auto"/>
          <w:sz w:val="24"/>
          <w:highlight w:val="yellow"/>
          <w:u w:val="single"/>
          <w:lang w:val="en-US" w:eastAsia="zh-CN"/>
        </w:rPr>
        <w:t xml:space="preserve">           </w:t>
      </w:r>
      <w:r>
        <w:rPr>
          <w:rFonts w:hint="eastAsia" w:ascii="宋体" w:hAnsi="宋体" w:cs="宋体"/>
          <w:color w:val="auto"/>
          <w:sz w:val="24"/>
          <w:highlight w:val="yellow"/>
        </w:rPr>
        <w:t>；</w:t>
      </w:r>
    </w:p>
    <w:p w14:paraId="419F63BA">
      <w:pPr>
        <w:spacing w:line="440" w:lineRule="exact"/>
        <w:ind w:firstLine="480" w:firstLineChars="200"/>
        <w:rPr>
          <w:rFonts w:ascii="宋体" w:hAnsi="宋体" w:cs="宋体"/>
          <w:color w:val="auto"/>
          <w:sz w:val="24"/>
          <w:highlight w:val="yellow"/>
        </w:rPr>
      </w:pPr>
      <w:r>
        <w:rPr>
          <w:rFonts w:hint="eastAsia" w:ascii="宋体" w:hAnsi="宋体" w:cs="宋体"/>
          <w:color w:val="auto"/>
          <w:sz w:val="24"/>
          <w:highlight w:val="yellow"/>
        </w:rPr>
        <w:t>建造师注册证书号：</w:t>
      </w:r>
      <w:r>
        <w:rPr>
          <w:rFonts w:hint="eastAsia" w:ascii="宋体" w:hAnsi="宋体" w:cs="宋体"/>
          <w:color w:val="auto"/>
          <w:sz w:val="24"/>
          <w:highlight w:val="yellow"/>
          <w:u w:val="single"/>
          <w:lang w:val="en-US" w:eastAsia="zh-CN"/>
        </w:rPr>
        <w:t xml:space="preserve">                </w:t>
      </w:r>
      <w:r>
        <w:rPr>
          <w:rFonts w:hint="eastAsia" w:ascii="宋体" w:hAnsi="宋体" w:cs="宋体"/>
          <w:color w:val="auto"/>
          <w:sz w:val="24"/>
          <w:highlight w:val="yellow"/>
        </w:rPr>
        <w:t>；</w:t>
      </w:r>
    </w:p>
    <w:p w14:paraId="01B56F6B">
      <w:pPr>
        <w:spacing w:line="440" w:lineRule="exact"/>
        <w:ind w:firstLine="480" w:firstLineChars="200"/>
        <w:rPr>
          <w:rFonts w:ascii="宋体" w:hAnsi="宋体" w:cs="宋体"/>
          <w:color w:val="auto"/>
          <w:sz w:val="24"/>
          <w:highlight w:val="yellow"/>
        </w:rPr>
      </w:pPr>
      <w:r>
        <w:rPr>
          <w:rFonts w:hint="eastAsia" w:ascii="宋体" w:hAnsi="宋体" w:cs="宋体"/>
          <w:color w:val="auto"/>
          <w:sz w:val="24"/>
          <w:highlight w:val="yellow"/>
        </w:rPr>
        <w:t>安全生产考核合格证书号：</w:t>
      </w:r>
      <w:r>
        <w:rPr>
          <w:rFonts w:hint="eastAsia" w:ascii="宋体" w:hAnsi="宋体" w:cs="宋体"/>
          <w:color w:val="auto"/>
          <w:sz w:val="24"/>
          <w:highlight w:val="yellow"/>
          <w:u w:val="single"/>
          <w:lang w:val="en-US" w:eastAsia="zh-CN"/>
        </w:rPr>
        <w:t xml:space="preserve">                </w:t>
      </w:r>
      <w:r>
        <w:rPr>
          <w:rFonts w:hint="eastAsia" w:ascii="宋体" w:hAnsi="宋体" w:cs="宋体"/>
          <w:color w:val="auto"/>
          <w:sz w:val="24"/>
          <w:highlight w:val="yellow"/>
        </w:rPr>
        <w:t>；</w:t>
      </w:r>
    </w:p>
    <w:p w14:paraId="15AEFAC7">
      <w:pPr>
        <w:spacing w:line="440" w:lineRule="exact"/>
        <w:ind w:firstLine="480" w:firstLineChars="200"/>
        <w:rPr>
          <w:rFonts w:ascii="宋体" w:hAnsi="宋体" w:cs="宋体"/>
          <w:color w:val="auto"/>
          <w:sz w:val="24"/>
          <w:highlight w:val="yellow"/>
        </w:rPr>
      </w:pPr>
      <w:r>
        <w:rPr>
          <w:rFonts w:hint="eastAsia" w:ascii="宋体" w:hAnsi="宋体" w:cs="宋体"/>
          <w:color w:val="auto"/>
          <w:sz w:val="24"/>
          <w:highlight w:val="yellow"/>
        </w:rPr>
        <w:t>联系电话：</w:t>
      </w:r>
      <w:r>
        <w:rPr>
          <w:rFonts w:hint="eastAsia" w:ascii="宋体" w:hAnsi="宋体" w:cs="宋体"/>
          <w:color w:val="auto"/>
          <w:sz w:val="24"/>
          <w:highlight w:val="yellow"/>
          <w:u w:val="single"/>
          <w:lang w:val="en-US" w:eastAsia="zh-CN"/>
        </w:rPr>
        <w:t xml:space="preserve">                           </w:t>
      </w:r>
      <w:r>
        <w:rPr>
          <w:rFonts w:hint="eastAsia" w:ascii="宋体" w:hAnsi="宋体" w:cs="宋体"/>
          <w:color w:val="auto"/>
          <w:sz w:val="24"/>
          <w:highlight w:val="yellow"/>
        </w:rPr>
        <w:t>；</w:t>
      </w:r>
    </w:p>
    <w:p w14:paraId="030285DF">
      <w:pPr>
        <w:spacing w:line="440" w:lineRule="exact"/>
        <w:ind w:firstLine="480" w:firstLineChars="200"/>
        <w:rPr>
          <w:rFonts w:ascii="宋体" w:hAnsi="宋体" w:cs="宋体"/>
          <w:color w:val="auto"/>
          <w:sz w:val="24"/>
          <w:highlight w:val="yellow"/>
        </w:rPr>
      </w:pPr>
      <w:r>
        <w:rPr>
          <w:rFonts w:hint="eastAsia" w:ascii="宋体" w:hAnsi="宋体" w:cs="宋体"/>
          <w:color w:val="auto"/>
          <w:sz w:val="24"/>
          <w:highlight w:val="yellow"/>
        </w:rPr>
        <w:t>电子信箱：</w:t>
      </w:r>
      <w:r>
        <w:rPr>
          <w:rFonts w:hint="eastAsia" w:ascii="宋体" w:hAnsi="宋体" w:cs="宋体"/>
          <w:color w:val="auto"/>
          <w:sz w:val="24"/>
          <w:highlight w:val="yellow"/>
          <w:u w:val="single"/>
          <w:lang w:val="en-US" w:eastAsia="zh-CN"/>
        </w:rPr>
        <w:t xml:space="preserve">               </w:t>
      </w:r>
      <w:r>
        <w:rPr>
          <w:rFonts w:hint="eastAsia" w:ascii="宋体" w:hAnsi="宋体" w:cs="宋体"/>
          <w:color w:val="auto"/>
          <w:sz w:val="24"/>
          <w:highlight w:val="yellow"/>
        </w:rPr>
        <w:t>；</w:t>
      </w:r>
    </w:p>
    <w:p w14:paraId="05887438">
      <w:pPr>
        <w:spacing w:line="440" w:lineRule="exact"/>
        <w:ind w:firstLine="480" w:firstLineChars="200"/>
        <w:rPr>
          <w:rFonts w:ascii="宋体" w:hAnsi="宋体" w:cs="宋体"/>
          <w:color w:val="auto"/>
          <w:sz w:val="24"/>
          <w:highlight w:val="yellow"/>
        </w:rPr>
      </w:pPr>
      <w:r>
        <w:rPr>
          <w:rFonts w:hint="eastAsia" w:ascii="宋体" w:hAnsi="宋体" w:cs="宋体"/>
          <w:color w:val="auto"/>
          <w:sz w:val="24"/>
          <w:highlight w:val="yellow"/>
        </w:rPr>
        <w:t>通信地址：</w:t>
      </w:r>
      <w:r>
        <w:rPr>
          <w:rFonts w:hint="eastAsia" w:ascii="宋体" w:hAnsi="宋体" w:cs="宋体"/>
          <w:color w:val="auto"/>
          <w:sz w:val="24"/>
          <w:highlight w:val="yellow"/>
          <w:u w:val="single"/>
          <w:lang w:val="en-US" w:eastAsia="zh-CN"/>
        </w:rPr>
        <w:t xml:space="preserve">                      </w:t>
      </w:r>
      <w:r>
        <w:rPr>
          <w:rFonts w:hint="eastAsia" w:ascii="宋体" w:hAnsi="宋体" w:cs="宋体"/>
          <w:color w:val="auto"/>
          <w:sz w:val="24"/>
          <w:highlight w:val="yellow"/>
        </w:rPr>
        <w:t>。</w:t>
      </w:r>
    </w:p>
    <w:p w14:paraId="015EB9D3">
      <w:pPr>
        <w:spacing w:line="440" w:lineRule="exact"/>
        <w:ind w:firstLine="480" w:firstLineChars="200"/>
        <w:rPr>
          <w:rFonts w:ascii="宋体" w:hAnsi="宋体" w:cs="宋体"/>
          <w:color w:val="auto"/>
          <w:sz w:val="24"/>
        </w:rPr>
      </w:pPr>
      <w:r>
        <w:rPr>
          <w:rFonts w:hint="eastAsia" w:ascii="宋体" w:hAnsi="宋体" w:cs="宋体"/>
          <w:color w:val="auto"/>
          <w:sz w:val="24"/>
        </w:rPr>
        <w:t>承包人对项目经理的授权范围如下：</w:t>
      </w:r>
      <w:r>
        <w:rPr>
          <w:rFonts w:hint="eastAsia" w:ascii="宋体" w:hAnsi="宋体" w:cs="宋体"/>
          <w:color w:val="auto"/>
          <w:sz w:val="24"/>
          <w:u w:val="single"/>
        </w:rPr>
        <w:t xml:space="preserve">（1）对本工程的施工进行全面管理，包括对工程质量、进度、安全、成本等进行管理，行使施工合同约定的权利，履行施工合同约定的义务；（2）施工合同约定由承包人采购的材料、工程设备，项目经理参与选择物资供应单位；（3）代表承包人对工程施工中的相关事务（本授权第一项约定的事务）进行协商，代表承包人参加发包人组织的与本工程有关的会议；（4）负责与发包人、监理人办理设计变更、现场签证等手续，及时办理本工程相关索赔；（5）负责签收发包人、监理人往来函件，承包人的要求、通知均应以书面形式由承包人项目经理签字并加盖承包人公司公章后递交发包人；（6）代表承包人接受监理工程师或发包人现场代表发出的指示和指令。 </w:t>
      </w:r>
    </w:p>
    <w:p w14:paraId="708EB74A">
      <w:pPr>
        <w:spacing w:line="440" w:lineRule="exact"/>
        <w:ind w:firstLine="480" w:firstLineChars="200"/>
        <w:rPr>
          <w:rFonts w:ascii="宋体" w:hAnsi="宋体" w:cs="宋体"/>
          <w:color w:val="auto"/>
          <w:sz w:val="24"/>
          <w:u w:val="single"/>
        </w:rPr>
      </w:pPr>
      <w:bookmarkStart w:id="12" w:name="auto_fouce_15"/>
      <w:r>
        <w:rPr>
          <w:rFonts w:hint="eastAsia" w:ascii="宋体" w:hAnsi="宋体" w:cs="宋体"/>
          <w:color w:val="auto"/>
          <w:sz w:val="24"/>
        </w:rPr>
        <w:t>关于项目经理每月在施工现场的时间要求：</w:t>
      </w:r>
      <w:r>
        <w:rPr>
          <w:rFonts w:hint="eastAsia" w:ascii="宋体" w:hAnsi="宋体" w:cs="宋体"/>
          <w:color w:val="auto"/>
          <w:sz w:val="24"/>
          <w:u w:val="single"/>
        </w:rPr>
        <w:t>每月不少于22天，每天不少于6小时，在本工程现场工作，且必须参加</w:t>
      </w:r>
      <w:r>
        <w:rPr>
          <w:rFonts w:hint="eastAsia" w:ascii="宋体" w:hAnsi="宋体" w:cs="宋体"/>
          <w:color w:val="auto"/>
          <w:sz w:val="24"/>
        </w:rPr>
        <w:t>甲方</w:t>
      </w:r>
      <w:r>
        <w:rPr>
          <w:rFonts w:hint="eastAsia" w:ascii="宋体" w:hAnsi="宋体" w:cs="宋体"/>
          <w:color w:val="auto"/>
          <w:sz w:val="24"/>
          <w:u w:val="single"/>
        </w:rPr>
        <w:t>召开的例会（有事须书面请假，需发包人书面认可）。如发现项目经理不在现场，每缺勤一次，发包人均有权按次扣除1000元违约金，累计5天不在现场（以发包人书面考勤记录为准），发包人有权要求更换不称职的项目经理，并追究违约责任，发包人有权扣除2000元违约金。上述违约金发包人有权从履约保证金或工程款中扣除，项目经理考勤方法为发包人书面统计考勤。</w:t>
      </w:r>
      <w:bookmarkEnd w:id="12"/>
    </w:p>
    <w:p w14:paraId="5239F617">
      <w:pPr>
        <w:spacing w:line="440" w:lineRule="exact"/>
        <w:ind w:firstLine="480" w:firstLineChars="200"/>
        <w:rPr>
          <w:rFonts w:ascii="宋体" w:hAnsi="宋体" w:cs="宋体"/>
          <w:color w:val="auto"/>
          <w:sz w:val="24"/>
          <w:u w:val="single"/>
        </w:rPr>
      </w:pPr>
      <w:r>
        <w:rPr>
          <w:rFonts w:hint="eastAsia" w:ascii="宋体" w:hAnsi="宋体" w:cs="宋体"/>
          <w:color w:val="auto"/>
          <w:sz w:val="24"/>
          <w:u w:val="single"/>
        </w:rPr>
        <w:t>承包人未提交劳动合同，以及没有为项目经理缴纳社会保险证明的违约责任：承包人须向发包人支付2000元违约金，上述违约金发包人有权从履约保证金或工程款中扣除，并限期提交劳动合同并补缴社会保险。</w:t>
      </w:r>
    </w:p>
    <w:p w14:paraId="5C4A11F0">
      <w:pPr>
        <w:spacing w:line="440" w:lineRule="exact"/>
        <w:ind w:firstLine="480" w:firstLineChars="200"/>
        <w:rPr>
          <w:rFonts w:ascii="宋体" w:hAnsi="宋体" w:cs="宋体"/>
          <w:color w:val="auto"/>
          <w:sz w:val="24"/>
          <w:u w:val="single"/>
        </w:rPr>
      </w:pPr>
      <w:bookmarkStart w:id="13" w:name="auto_fouce_16"/>
      <w:r>
        <w:rPr>
          <w:rFonts w:hint="eastAsia" w:ascii="宋体" w:hAnsi="宋体" w:cs="宋体"/>
          <w:color w:val="auto"/>
          <w:sz w:val="24"/>
          <w:u w:val="single"/>
        </w:rPr>
        <w:t>项目经理未经</w:t>
      </w:r>
      <w:r>
        <w:rPr>
          <w:rFonts w:hint="eastAsia" w:ascii="宋体" w:hAnsi="宋体" w:cs="宋体"/>
          <w:color w:val="auto"/>
          <w:sz w:val="24"/>
        </w:rPr>
        <w:t>甲方</w:t>
      </w:r>
      <w:r>
        <w:rPr>
          <w:rFonts w:hint="eastAsia" w:ascii="宋体" w:hAnsi="宋体" w:cs="宋体"/>
          <w:color w:val="auto"/>
          <w:sz w:val="24"/>
          <w:u w:val="single"/>
        </w:rPr>
        <w:t>书面批准，擅自离开项目施工现场或项目所在地的，每发生一次，承包人须向发包人支付1000元违约金，上述违约金发包人有权从履约保证金或工程款中扣除，承包人并承担上述违约给发包人造成的一切损失。</w:t>
      </w:r>
      <w:bookmarkEnd w:id="13"/>
    </w:p>
    <w:p w14:paraId="54C3A406">
      <w:pPr>
        <w:spacing w:line="440" w:lineRule="exact"/>
        <w:ind w:firstLine="480" w:firstLineChars="200"/>
        <w:rPr>
          <w:rFonts w:ascii="宋体" w:hAnsi="宋体" w:cs="宋体"/>
          <w:color w:val="auto"/>
          <w:sz w:val="24"/>
          <w:u w:val="single"/>
        </w:rPr>
      </w:pPr>
      <w:r>
        <w:rPr>
          <w:rFonts w:hint="eastAsia" w:ascii="宋体" w:hAnsi="宋体" w:cs="宋体"/>
          <w:color w:val="auto"/>
          <w:sz w:val="24"/>
        </w:rPr>
        <w:t>3.2.</w:t>
      </w:r>
      <w:r>
        <w:rPr>
          <w:rFonts w:ascii="宋体" w:hAnsi="宋体" w:cs="宋体"/>
          <w:color w:val="auto"/>
          <w:sz w:val="24"/>
        </w:rPr>
        <w:t>2</w:t>
      </w:r>
      <w:r>
        <w:rPr>
          <w:rFonts w:hint="eastAsia" w:ascii="宋体" w:hAnsi="宋体" w:cs="宋体"/>
          <w:color w:val="auto"/>
          <w:sz w:val="24"/>
        </w:rPr>
        <w:t xml:space="preserve"> </w:t>
      </w:r>
      <w:bookmarkStart w:id="14" w:name="auto_fouce_17"/>
      <w:r>
        <w:rPr>
          <w:rFonts w:hint="eastAsia" w:ascii="宋体" w:hAnsi="宋体" w:cs="宋体"/>
          <w:color w:val="auto"/>
          <w:sz w:val="24"/>
        </w:rPr>
        <w:t>承包人擅自更换项目经理的违约责任：</w:t>
      </w:r>
      <w:r>
        <w:rPr>
          <w:rFonts w:hint="eastAsia" w:ascii="宋体" w:hAnsi="宋体" w:cs="宋体"/>
          <w:color w:val="auto"/>
          <w:sz w:val="24"/>
          <w:u w:val="single"/>
        </w:rPr>
        <w:t>项目经理需与竞标时提供的人员一致，承包人擅自更换项目经理的，承包人须向发包人支付5000元/次违约金，并承担上述违约给发包人造成的一切损失，上述违约金发包人有权从履约保证金或工程款中扣除。发包人有权单方解除合同。发包人向承包人发出书面解除通知之日，合同解除。合同解除后，承包人除需支付前述违约金外，还应按照本合同第16.2.3条的约定承担违约责任。</w:t>
      </w:r>
      <w:bookmarkEnd w:id="14"/>
    </w:p>
    <w:p w14:paraId="656B19B7">
      <w:pPr>
        <w:spacing w:line="440" w:lineRule="exact"/>
        <w:ind w:firstLine="480" w:firstLineChars="200"/>
        <w:rPr>
          <w:rFonts w:ascii="宋体" w:hAnsi="宋体" w:cs="宋体"/>
          <w:color w:val="auto"/>
          <w:sz w:val="24"/>
          <w:u w:val="single"/>
        </w:rPr>
      </w:pPr>
      <w:r>
        <w:rPr>
          <w:rFonts w:hint="eastAsia" w:ascii="宋体" w:hAnsi="宋体" w:cs="宋体"/>
          <w:color w:val="auto"/>
          <w:sz w:val="24"/>
        </w:rPr>
        <w:t>3.2.</w:t>
      </w:r>
      <w:r>
        <w:rPr>
          <w:rFonts w:ascii="宋体" w:hAnsi="宋体" w:cs="宋体"/>
          <w:color w:val="auto"/>
          <w:sz w:val="24"/>
        </w:rPr>
        <w:t>3</w:t>
      </w:r>
      <w:r>
        <w:rPr>
          <w:rFonts w:hint="eastAsia" w:ascii="宋体" w:hAnsi="宋体" w:cs="宋体"/>
          <w:color w:val="auto"/>
          <w:sz w:val="24"/>
        </w:rPr>
        <w:t xml:space="preserve"> 承包人无正当理由拒绝更换项目经理的违约责任：</w:t>
      </w:r>
      <w:r>
        <w:rPr>
          <w:rFonts w:hint="eastAsia" w:ascii="宋体" w:hAnsi="宋体" w:cs="宋体"/>
          <w:color w:val="auto"/>
          <w:sz w:val="24"/>
          <w:u w:val="single"/>
        </w:rPr>
        <w:t>承包人须向发包人支付5000元/次违约金，并承担上述违约给发包人造成的一切损失。上述违约金发包人有权从履约保证金或工程款中扣除。</w:t>
      </w:r>
    </w:p>
    <w:p w14:paraId="1499C892">
      <w:pPr>
        <w:spacing w:line="440" w:lineRule="exact"/>
        <w:ind w:firstLine="480" w:firstLineChars="200"/>
        <w:rPr>
          <w:rFonts w:ascii="宋体" w:hAnsi="宋体" w:cs="宋体"/>
          <w:color w:val="auto"/>
          <w:sz w:val="24"/>
        </w:rPr>
      </w:pPr>
      <w:r>
        <w:rPr>
          <w:rFonts w:hint="eastAsia" w:ascii="宋体" w:hAnsi="宋体" w:cs="宋体"/>
          <w:color w:val="auto"/>
          <w:sz w:val="24"/>
        </w:rPr>
        <w:t>3.3 承包人人员</w:t>
      </w:r>
    </w:p>
    <w:p w14:paraId="55A2DFF5">
      <w:pPr>
        <w:spacing w:line="440" w:lineRule="exact"/>
        <w:ind w:firstLine="480" w:firstLineChars="200"/>
        <w:rPr>
          <w:rFonts w:ascii="宋体" w:hAnsi="宋体" w:cs="宋体"/>
          <w:color w:val="auto"/>
          <w:sz w:val="24"/>
        </w:rPr>
      </w:pPr>
      <w:r>
        <w:rPr>
          <w:rFonts w:hint="eastAsia" w:ascii="宋体" w:hAnsi="宋体" w:cs="宋体"/>
          <w:color w:val="auto"/>
          <w:sz w:val="24"/>
        </w:rPr>
        <w:t>3.3.1 承包人提交项目管理机构及施工现场管理人员安排报告的期限：</w:t>
      </w:r>
      <w:r>
        <w:rPr>
          <w:rFonts w:hint="eastAsia" w:ascii="宋体" w:hAnsi="宋体" w:cs="宋体"/>
          <w:color w:val="auto"/>
          <w:sz w:val="24"/>
          <w:u w:val="single"/>
        </w:rPr>
        <w:t>开工前5天内</w:t>
      </w:r>
      <w:r>
        <w:rPr>
          <w:rFonts w:hint="eastAsia" w:ascii="宋体" w:hAnsi="宋体" w:cs="宋体"/>
          <w:color w:val="auto"/>
          <w:sz w:val="24"/>
        </w:rPr>
        <w:t>。</w:t>
      </w:r>
    </w:p>
    <w:p w14:paraId="2B0900CB">
      <w:pPr>
        <w:spacing w:line="440" w:lineRule="exact"/>
        <w:ind w:firstLine="480" w:firstLineChars="200"/>
        <w:rPr>
          <w:rFonts w:ascii="宋体" w:hAnsi="宋体" w:cs="宋体"/>
          <w:color w:val="auto"/>
          <w:sz w:val="24"/>
          <w:u w:val="single"/>
        </w:rPr>
      </w:pPr>
      <w:r>
        <w:rPr>
          <w:rFonts w:hint="eastAsia" w:ascii="宋体" w:hAnsi="宋体" w:cs="宋体"/>
          <w:color w:val="auto"/>
          <w:sz w:val="24"/>
        </w:rPr>
        <w:t>3.3.</w:t>
      </w:r>
      <w:r>
        <w:rPr>
          <w:rFonts w:ascii="宋体" w:hAnsi="宋体" w:cs="宋体"/>
          <w:color w:val="auto"/>
          <w:sz w:val="24"/>
        </w:rPr>
        <w:t>2</w:t>
      </w:r>
      <w:r>
        <w:rPr>
          <w:rFonts w:hint="eastAsia" w:ascii="宋体" w:hAnsi="宋体" w:cs="宋体"/>
          <w:color w:val="auto"/>
          <w:sz w:val="24"/>
        </w:rPr>
        <w:t xml:space="preserve"> 承包人无正当理由拒绝撤换主要施工管理人员的违约责任：</w:t>
      </w:r>
      <w:r>
        <w:rPr>
          <w:rFonts w:hint="eastAsia" w:ascii="宋体" w:hAnsi="宋体" w:cs="宋体"/>
          <w:color w:val="auto"/>
          <w:sz w:val="24"/>
          <w:u w:val="single"/>
        </w:rPr>
        <w:t>承包人须向发包人支付1000元/次违约金，并承担上述违约给发包人造成的一切损失。上述违约金发包人有权从履约保证金或工程款中扣除。</w:t>
      </w:r>
    </w:p>
    <w:p w14:paraId="647D5FAC">
      <w:pPr>
        <w:spacing w:line="440" w:lineRule="exact"/>
        <w:ind w:firstLine="480" w:firstLineChars="200"/>
        <w:rPr>
          <w:rFonts w:ascii="宋体" w:hAnsi="宋体" w:cs="宋体"/>
          <w:color w:val="auto"/>
          <w:sz w:val="24"/>
          <w:u w:val="single"/>
        </w:rPr>
      </w:pPr>
      <w:r>
        <w:rPr>
          <w:rFonts w:hint="eastAsia" w:ascii="宋体" w:hAnsi="宋体" w:cs="宋体"/>
          <w:color w:val="auto"/>
          <w:sz w:val="24"/>
        </w:rPr>
        <w:t>3.3.</w:t>
      </w:r>
      <w:r>
        <w:rPr>
          <w:rFonts w:ascii="宋体" w:hAnsi="宋体" w:cs="宋体"/>
          <w:color w:val="auto"/>
          <w:sz w:val="24"/>
        </w:rPr>
        <w:t>3</w:t>
      </w:r>
      <w:r>
        <w:rPr>
          <w:rFonts w:hint="eastAsia" w:ascii="宋体" w:hAnsi="宋体" w:cs="宋体"/>
          <w:color w:val="auto"/>
          <w:sz w:val="24"/>
        </w:rPr>
        <w:t xml:space="preserve"> 承包人主要施工管理人员离开施工现场的批准要求：</w:t>
      </w:r>
      <w:r>
        <w:rPr>
          <w:rFonts w:hint="eastAsia" w:ascii="宋体" w:hAnsi="宋体" w:cs="宋体"/>
          <w:color w:val="auto"/>
          <w:sz w:val="24"/>
          <w:u w:val="single"/>
        </w:rPr>
        <w:t>由总监理工程师批准，经发包人认可后方可离开。</w:t>
      </w:r>
    </w:p>
    <w:p w14:paraId="71E4B70F">
      <w:pPr>
        <w:spacing w:line="440" w:lineRule="exact"/>
        <w:ind w:firstLine="480" w:firstLineChars="200"/>
        <w:rPr>
          <w:rFonts w:ascii="宋体" w:hAnsi="宋体" w:cs="宋体"/>
          <w:color w:val="auto"/>
          <w:sz w:val="24"/>
          <w:u w:val="single"/>
        </w:rPr>
      </w:pPr>
      <w:r>
        <w:rPr>
          <w:rFonts w:hint="eastAsia" w:ascii="宋体" w:hAnsi="宋体" w:cs="宋体"/>
          <w:color w:val="auto"/>
          <w:sz w:val="24"/>
        </w:rPr>
        <w:t>3.3.</w:t>
      </w:r>
      <w:r>
        <w:rPr>
          <w:rFonts w:ascii="宋体" w:hAnsi="宋体" w:cs="宋体"/>
          <w:color w:val="auto"/>
          <w:sz w:val="24"/>
        </w:rPr>
        <w:t>4</w:t>
      </w:r>
      <w:r>
        <w:rPr>
          <w:rFonts w:hint="eastAsia" w:ascii="宋体" w:hAnsi="宋体" w:cs="宋体"/>
          <w:color w:val="auto"/>
          <w:sz w:val="24"/>
        </w:rPr>
        <w:t>承包人擅自更换主要施工管理人员的违约责任：</w:t>
      </w:r>
      <w:r>
        <w:rPr>
          <w:rFonts w:hint="eastAsia" w:ascii="宋体" w:hAnsi="宋体" w:cs="宋体"/>
          <w:color w:val="auto"/>
          <w:sz w:val="24"/>
          <w:u w:val="single"/>
        </w:rPr>
        <w:t>承包人须向发包人支付1000元/次/人违约金，并承担上述违约给发包人造成的一切损失。上述违约金发包人有权从履约保证金或工程款中扣除</w:t>
      </w:r>
      <w:r>
        <w:rPr>
          <w:rFonts w:hint="eastAsia" w:ascii="宋体" w:hAnsi="宋体" w:cs="宋体"/>
          <w:color w:val="auto"/>
          <w:sz w:val="24"/>
        </w:rPr>
        <w:t>。</w:t>
      </w:r>
    </w:p>
    <w:p w14:paraId="4AB54827">
      <w:pPr>
        <w:spacing w:line="440" w:lineRule="exact"/>
        <w:ind w:firstLine="480" w:firstLineChars="200"/>
        <w:rPr>
          <w:rFonts w:ascii="宋体" w:hAnsi="宋体" w:cs="宋体"/>
          <w:color w:val="auto"/>
          <w:sz w:val="24"/>
          <w:u w:val="single"/>
        </w:rPr>
      </w:pPr>
      <w:r>
        <w:rPr>
          <w:rFonts w:hint="eastAsia" w:ascii="宋体" w:hAnsi="宋体" w:cs="宋体"/>
          <w:color w:val="auto"/>
          <w:sz w:val="24"/>
        </w:rPr>
        <w:t>承包人主要施工管理人员擅自离开施工现场的违约责任：</w:t>
      </w:r>
      <w:r>
        <w:rPr>
          <w:rFonts w:hint="eastAsia" w:ascii="宋体" w:hAnsi="宋体" w:cs="宋体"/>
          <w:color w:val="auto"/>
          <w:sz w:val="24"/>
          <w:u w:val="single"/>
        </w:rPr>
        <w:t>承包人须向发包人支付500元/次/人违约金，并承担上述违约给发包人造成的一切损失。上述违约金发包人有权从履约保证金或工程款中扣除</w:t>
      </w:r>
      <w:r>
        <w:rPr>
          <w:rFonts w:hint="eastAsia" w:ascii="宋体" w:hAnsi="宋体" w:cs="宋体"/>
          <w:color w:val="auto"/>
          <w:sz w:val="24"/>
        </w:rPr>
        <w:t>。</w:t>
      </w:r>
    </w:p>
    <w:p w14:paraId="04CF2533">
      <w:pPr>
        <w:spacing w:line="440" w:lineRule="exact"/>
        <w:ind w:firstLine="480" w:firstLineChars="200"/>
        <w:rPr>
          <w:rFonts w:ascii="宋体" w:hAnsi="宋体" w:cs="宋体"/>
          <w:color w:val="auto"/>
          <w:sz w:val="24"/>
        </w:rPr>
      </w:pPr>
      <w:r>
        <w:rPr>
          <w:rFonts w:hint="eastAsia" w:ascii="宋体" w:hAnsi="宋体" w:cs="宋体"/>
          <w:color w:val="auto"/>
          <w:sz w:val="24"/>
        </w:rPr>
        <w:t>3.5 分包</w:t>
      </w:r>
    </w:p>
    <w:p w14:paraId="2591B50E">
      <w:pPr>
        <w:spacing w:line="440" w:lineRule="exact"/>
        <w:ind w:firstLine="480" w:firstLineChars="200"/>
        <w:rPr>
          <w:rFonts w:ascii="宋体" w:hAnsi="宋体" w:cs="宋体"/>
          <w:color w:val="auto"/>
          <w:sz w:val="24"/>
        </w:rPr>
      </w:pPr>
      <w:r>
        <w:rPr>
          <w:rFonts w:hint="eastAsia" w:ascii="宋体" w:hAnsi="宋体" w:cs="宋体"/>
          <w:color w:val="auto"/>
          <w:sz w:val="24"/>
        </w:rPr>
        <w:t>3.5.1 分包的一般约定</w:t>
      </w:r>
    </w:p>
    <w:p w14:paraId="6B8F4A34">
      <w:pPr>
        <w:spacing w:line="440" w:lineRule="exact"/>
        <w:ind w:firstLine="480" w:firstLineChars="200"/>
        <w:rPr>
          <w:rFonts w:ascii="宋体" w:hAnsi="宋体" w:cs="宋体"/>
          <w:color w:val="auto"/>
          <w:sz w:val="24"/>
        </w:rPr>
      </w:pPr>
      <w:r>
        <w:rPr>
          <w:rFonts w:hint="eastAsia" w:ascii="宋体" w:hAnsi="宋体" w:cs="宋体"/>
          <w:color w:val="auto"/>
          <w:sz w:val="24"/>
        </w:rPr>
        <w:t>禁止分包的工程包括：</w:t>
      </w:r>
      <w:r>
        <w:rPr>
          <w:rFonts w:hint="eastAsia" w:ascii="宋体" w:hAnsi="宋体" w:cs="宋体"/>
          <w:color w:val="auto"/>
          <w:sz w:val="24"/>
          <w:u w:val="single"/>
        </w:rPr>
        <w:t>本工程不允许分包（除劳务分包以外）</w:t>
      </w:r>
      <w:r>
        <w:rPr>
          <w:rFonts w:hint="eastAsia" w:ascii="宋体" w:hAnsi="宋体" w:cs="宋体"/>
          <w:color w:val="auto"/>
          <w:sz w:val="24"/>
        </w:rPr>
        <w:t>。</w:t>
      </w:r>
    </w:p>
    <w:p w14:paraId="3EA7FB8B">
      <w:pPr>
        <w:spacing w:line="440" w:lineRule="exact"/>
        <w:ind w:firstLine="480" w:firstLineChars="200"/>
        <w:rPr>
          <w:rFonts w:ascii="宋体" w:hAnsi="宋体" w:cs="宋体"/>
          <w:color w:val="auto"/>
          <w:sz w:val="24"/>
        </w:rPr>
      </w:pPr>
      <w:r>
        <w:rPr>
          <w:rFonts w:hint="eastAsia" w:ascii="宋体" w:hAnsi="宋体" w:cs="宋体"/>
          <w:color w:val="auto"/>
          <w:sz w:val="24"/>
        </w:rPr>
        <w:t>主体结构、关键性工作的范围：</w:t>
      </w:r>
      <w:r>
        <w:rPr>
          <w:rFonts w:hint="eastAsia" w:ascii="宋体" w:hAnsi="宋体" w:cs="宋体"/>
          <w:color w:val="auto"/>
          <w:sz w:val="24"/>
          <w:u w:val="single"/>
        </w:rPr>
        <w:t xml:space="preserve">  /  </w:t>
      </w:r>
      <w:r>
        <w:rPr>
          <w:rFonts w:hint="eastAsia" w:ascii="宋体" w:hAnsi="宋体" w:cs="宋体"/>
          <w:color w:val="auto"/>
          <w:sz w:val="24"/>
        </w:rPr>
        <w:t>。</w:t>
      </w:r>
    </w:p>
    <w:p w14:paraId="35AC580E">
      <w:pPr>
        <w:spacing w:line="440" w:lineRule="exact"/>
        <w:ind w:firstLine="480" w:firstLineChars="200"/>
        <w:rPr>
          <w:rFonts w:ascii="宋体" w:hAnsi="宋体" w:cs="宋体"/>
          <w:color w:val="auto"/>
          <w:sz w:val="24"/>
        </w:rPr>
      </w:pPr>
      <w:r>
        <w:rPr>
          <w:rFonts w:hint="eastAsia" w:ascii="宋体" w:hAnsi="宋体" w:cs="宋体"/>
          <w:color w:val="auto"/>
          <w:sz w:val="24"/>
        </w:rPr>
        <w:t>3.5.2分包的确定</w:t>
      </w:r>
    </w:p>
    <w:p w14:paraId="4B02FF03">
      <w:pPr>
        <w:spacing w:line="440" w:lineRule="exact"/>
        <w:ind w:firstLine="480" w:firstLineChars="200"/>
        <w:rPr>
          <w:rFonts w:ascii="宋体" w:hAnsi="宋体" w:cs="宋体"/>
          <w:color w:val="auto"/>
          <w:sz w:val="24"/>
        </w:rPr>
      </w:pPr>
      <w:r>
        <w:rPr>
          <w:rFonts w:hint="eastAsia" w:ascii="宋体" w:hAnsi="宋体" w:cs="宋体"/>
          <w:color w:val="auto"/>
          <w:sz w:val="24"/>
        </w:rPr>
        <w:t>允许分包的专业工程包括：</w:t>
      </w:r>
      <w:r>
        <w:rPr>
          <w:rFonts w:hint="eastAsia" w:ascii="宋体" w:hAnsi="宋体" w:cs="宋体"/>
          <w:color w:val="auto"/>
          <w:sz w:val="24"/>
          <w:u w:val="single"/>
        </w:rPr>
        <w:t>本工程不允许分包（除劳务分包以外）</w:t>
      </w:r>
      <w:r>
        <w:rPr>
          <w:rFonts w:hint="eastAsia" w:ascii="宋体" w:hAnsi="宋体" w:cs="宋体"/>
          <w:color w:val="auto"/>
          <w:sz w:val="24"/>
        </w:rPr>
        <w:t>。</w:t>
      </w:r>
    </w:p>
    <w:p w14:paraId="1C6083A0">
      <w:pPr>
        <w:spacing w:line="440" w:lineRule="exact"/>
        <w:ind w:firstLine="480" w:firstLineChars="200"/>
        <w:rPr>
          <w:rFonts w:ascii="宋体" w:hAnsi="宋体" w:cs="宋体"/>
          <w:color w:val="auto"/>
          <w:sz w:val="24"/>
        </w:rPr>
      </w:pPr>
      <w:r>
        <w:rPr>
          <w:rFonts w:hint="eastAsia" w:ascii="宋体" w:hAnsi="宋体" w:cs="宋体"/>
          <w:color w:val="auto"/>
          <w:sz w:val="24"/>
        </w:rPr>
        <w:t>其他关于分包的约定：</w:t>
      </w:r>
      <w:r>
        <w:rPr>
          <w:rFonts w:hint="eastAsia" w:ascii="宋体" w:hAnsi="宋体" w:cs="宋体"/>
          <w:color w:val="auto"/>
          <w:sz w:val="24"/>
          <w:u w:val="single"/>
        </w:rPr>
        <w:t xml:space="preserve">/  </w:t>
      </w:r>
      <w:r>
        <w:rPr>
          <w:rFonts w:hint="eastAsia" w:ascii="宋体" w:hAnsi="宋体" w:cs="宋体"/>
          <w:color w:val="auto"/>
          <w:sz w:val="24"/>
        </w:rPr>
        <w:t>。</w:t>
      </w:r>
    </w:p>
    <w:p w14:paraId="6B2F9FE9">
      <w:pPr>
        <w:spacing w:line="440" w:lineRule="exact"/>
        <w:ind w:firstLine="480" w:firstLineChars="200"/>
        <w:rPr>
          <w:rFonts w:ascii="宋体" w:hAnsi="宋体" w:cs="宋体"/>
          <w:color w:val="auto"/>
          <w:sz w:val="24"/>
        </w:rPr>
      </w:pPr>
      <w:r>
        <w:rPr>
          <w:rFonts w:hint="eastAsia" w:ascii="宋体" w:hAnsi="宋体" w:cs="宋体"/>
          <w:color w:val="auto"/>
          <w:sz w:val="24"/>
        </w:rPr>
        <w:t>3.5.</w:t>
      </w:r>
      <w:r>
        <w:rPr>
          <w:rFonts w:ascii="宋体" w:hAnsi="宋体" w:cs="宋体"/>
          <w:color w:val="auto"/>
          <w:sz w:val="24"/>
        </w:rPr>
        <w:t>3</w:t>
      </w:r>
      <w:r>
        <w:rPr>
          <w:rFonts w:hint="eastAsia" w:ascii="宋体" w:hAnsi="宋体" w:cs="宋体"/>
          <w:color w:val="auto"/>
          <w:sz w:val="24"/>
        </w:rPr>
        <w:t xml:space="preserve"> 分包合同价款</w:t>
      </w:r>
    </w:p>
    <w:p w14:paraId="5B5ACE1A">
      <w:pPr>
        <w:spacing w:line="440" w:lineRule="exact"/>
        <w:ind w:firstLine="480" w:firstLineChars="200"/>
        <w:rPr>
          <w:rFonts w:ascii="宋体" w:hAnsi="宋体" w:cs="宋体"/>
          <w:color w:val="auto"/>
          <w:sz w:val="24"/>
        </w:rPr>
      </w:pPr>
      <w:r>
        <w:rPr>
          <w:rFonts w:hint="eastAsia" w:ascii="宋体" w:hAnsi="宋体" w:cs="宋体"/>
          <w:color w:val="auto"/>
          <w:sz w:val="24"/>
        </w:rPr>
        <w:t>关于分包合同价款支付的约定：</w:t>
      </w:r>
      <w:r>
        <w:rPr>
          <w:rFonts w:hint="eastAsia" w:ascii="宋体" w:hAnsi="宋体" w:cs="宋体"/>
          <w:color w:val="auto"/>
          <w:sz w:val="24"/>
          <w:u w:val="single"/>
        </w:rPr>
        <w:t xml:space="preserve">/ </w:t>
      </w:r>
      <w:r>
        <w:rPr>
          <w:rFonts w:hint="eastAsia" w:ascii="宋体" w:hAnsi="宋体" w:cs="宋体"/>
          <w:color w:val="auto"/>
          <w:sz w:val="24"/>
        </w:rPr>
        <w:t>。</w:t>
      </w:r>
    </w:p>
    <w:p w14:paraId="56354389">
      <w:pPr>
        <w:spacing w:line="440" w:lineRule="exact"/>
        <w:ind w:firstLine="480" w:firstLineChars="200"/>
        <w:rPr>
          <w:rFonts w:ascii="宋体" w:hAnsi="宋体" w:cs="宋体"/>
          <w:color w:val="auto"/>
          <w:sz w:val="24"/>
        </w:rPr>
      </w:pPr>
      <w:r>
        <w:rPr>
          <w:rFonts w:hint="eastAsia" w:ascii="宋体" w:hAnsi="宋体" w:cs="宋体"/>
          <w:color w:val="auto"/>
          <w:sz w:val="24"/>
        </w:rPr>
        <w:t>3.6 工程照管与成品、半成品保护</w:t>
      </w:r>
    </w:p>
    <w:p w14:paraId="30203350">
      <w:pPr>
        <w:spacing w:line="440" w:lineRule="exact"/>
        <w:ind w:firstLine="480" w:firstLineChars="200"/>
        <w:rPr>
          <w:rFonts w:ascii="宋体" w:hAnsi="宋体" w:cs="宋体"/>
          <w:color w:val="auto"/>
          <w:sz w:val="24"/>
          <w:u w:val="single"/>
        </w:rPr>
      </w:pPr>
      <w:r>
        <w:rPr>
          <w:rFonts w:hint="eastAsia" w:ascii="宋体" w:hAnsi="宋体" w:cs="宋体"/>
          <w:color w:val="auto"/>
          <w:sz w:val="24"/>
        </w:rPr>
        <w:t>承包人负责照管工程及工程相关的材料、工程设备的起始时间：</w:t>
      </w:r>
      <w:r>
        <w:rPr>
          <w:rFonts w:hint="eastAsia" w:ascii="宋体" w:hAnsi="宋体" w:cs="宋体"/>
          <w:color w:val="auto"/>
          <w:sz w:val="24"/>
          <w:u w:val="single"/>
        </w:rPr>
        <w:t>从发包人或监理人发出开工通知中载明的开工日期之日起由承包人承担照管责任。</w:t>
      </w:r>
      <w:bookmarkStart w:id="15" w:name="auto_fouce_18"/>
    </w:p>
    <w:p w14:paraId="471F96E6">
      <w:pPr>
        <w:spacing w:line="440" w:lineRule="exact"/>
        <w:ind w:firstLine="480" w:firstLineChars="200"/>
        <w:rPr>
          <w:rFonts w:ascii="宋体" w:hAnsi="宋体" w:cs="宋体"/>
          <w:color w:val="auto"/>
          <w:sz w:val="24"/>
          <w:u w:val="single"/>
        </w:rPr>
      </w:pPr>
      <w:r>
        <w:rPr>
          <w:rFonts w:hint="eastAsia" w:ascii="宋体" w:hAnsi="宋体" w:cs="宋体"/>
          <w:color w:val="auto"/>
          <w:sz w:val="24"/>
          <w:u w:val="single"/>
        </w:rPr>
        <w:t>施工期间</w:t>
      </w:r>
      <w:r>
        <w:rPr>
          <w:rFonts w:hint="eastAsia" w:ascii="宋体" w:hAnsi="宋体" w:cs="宋体"/>
          <w:color w:val="auto"/>
          <w:sz w:val="24"/>
        </w:rPr>
        <w:t>乙方</w:t>
      </w:r>
      <w:r>
        <w:rPr>
          <w:rFonts w:hint="eastAsia" w:ascii="宋体" w:hAnsi="宋体" w:cs="宋体"/>
          <w:color w:val="auto"/>
          <w:sz w:val="24"/>
          <w:u w:val="single"/>
        </w:rPr>
        <w:t>应对施工现场范围内</w:t>
      </w:r>
      <w:r>
        <w:rPr>
          <w:rFonts w:hint="eastAsia" w:ascii="宋体" w:hAnsi="宋体" w:cs="宋体"/>
          <w:color w:val="auto"/>
          <w:sz w:val="24"/>
        </w:rPr>
        <w:t>甲方</w:t>
      </w:r>
      <w:r>
        <w:rPr>
          <w:rFonts w:hint="eastAsia" w:ascii="宋体" w:hAnsi="宋体" w:cs="宋体"/>
          <w:color w:val="auto"/>
          <w:sz w:val="24"/>
          <w:u w:val="single"/>
        </w:rPr>
        <w:t>原有建筑物、设施设备、已有装修及其他资产承担保护责任，因</w:t>
      </w:r>
      <w:r>
        <w:rPr>
          <w:rFonts w:hint="eastAsia" w:ascii="宋体" w:hAnsi="宋体" w:cs="宋体"/>
          <w:color w:val="auto"/>
          <w:sz w:val="24"/>
        </w:rPr>
        <w:t>乙方</w:t>
      </w:r>
      <w:r>
        <w:rPr>
          <w:rFonts w:hint="eastAsia" w:ascii="宋体" w:hAnsi="宋体" w:cs="宋体"/>
          <w:color w:val="auto"/>
          <w:sz w:val="24"/>
          <w:u w:val="single"/>
        </w:rPr>
        <w:t>施工造成前述资产损坏的，</w:t>
      </w:r>
      <w:r>
        <w:rPr>
          <w:rFonts w:hint="eastAsia" w:ascii="宋体" w:hAnsi="宋体" w:cs="宋体"/>
          <w:color w:val="auto"/>
          <w:sz w:val="24"/>
        </w:rPr>
        <w:t>乙方</w:t>
      </w:r>
      <w:r>
        <w:rPr>
          <w:rFonts w:hint="eastAsia" w:ascii="宋体" w:hAnsi="宋体" w:cs="宋体"/>
          <w:color w:val="auto"/>
          <w:sz w:val="24"/>
          <w:u w:val="single"/>
        </w:rPr>
        <w:t>应在</w:t>
      </w:r>
      <w:r>
        <w:rPr>
          <w:rFonts w:hint="eastAsia" w:ascii="宋体" w:hAnsi="宋体" w:cs="宋体"/>
          <w:color w:val="auto"/>
          <w:sz w:val="24"/>
        </w:rPr>
        <w:t>甲方</w:t>
      </w:r>
      <w:r>
        <w:rPr>
          <w:rFonts w:hint="eastAsia" w:ascii="宋体" w:hAnsi="宋体" w:cs="宋体"/>
          <w:color w:val="auto"/>
          <w:sz w:val="24"/>
          <w:u w:val="single"/>
        </w:rPr>
        <w:t>指定期限内无偿修复或按实际损失价值予以赔偿。</w:t>
      </w:r>
      <w:bookmarkEnd w:id="15"/>
    </w:p>
    <w:p w14:paraId="4C88F585">
      <w:pPr>
        <w:spacing w:line="440" w:lineRule="exact"/>
        <w:ind w:firstLine="480" w:firstLineChars="200"/>
        <w:rPr>
          <w:rFonts w:ascii="宋体" w:hAnsi="宋体" w:cs="宋体"/>
          <w:color w:val="auto"/>
          <w:sz w:val="24"/>
        </w:rPr>
      </w:pPr>
      <w:r>
        <w:rPr>
          <w:rFonts w:hint="eastAsia" w:ascii="宋体" w:hAnsi="宋体" w:cs="宋体"/>
          <w:color w:val="auto"/>
          <w:sz w:val="24"/>
        </w:rPr>
        <w:t>3.7 履约担保</w:t>
      </w:r>
    </w:p>
    <w:p w14:paraId="0A168B1B">
      <w:pPr>
        <w:spacing w:line="440" w:lineRule="exact"/>
        <w:ind w:firstLine="480" w:firstLineChars="200"/>
        <w:rPr>
          <w:rFonts w:ascii="宋体" w:hAnsi="宋体" w:cs="宋体"/>
          <w:color w:val="auto"/>
          <w:sz w:val="24"/>
        </w:rPr>
      </w:pPr>
      <w:bookmarkStart w:id="16" w:name="auto_fouce_19"/>
      <w:r>
        <w:rPr>
          <w:rFonts w:hint="eastAsia" w:ascii="宋体" w:hAnsi="宋体" w:cs="宋体"/>
          <w:color w:val="auto"/>
          <w:sz w:val="24"/>
        </w:rPr>
        <w:t>承包人是否提供履约担保：是。</w:t>
      </w:r>
      <w:bookmarkEnd w:id="16"/>
    </w:p>
    <w:p w14:paraId="6FBC9BC4">
      <w:pPr>
        <w:spacing w:line="440" w:lineRule="exact"/>
        <w:ind w:firstLine="480" w:firstLineChars="200"/>
        <w:rPr>
          <w:rFonts w:ascii="宋体" w:hAnsi="宋体" w:cs="宋体"/>
          <w:color w:val="auto"/>
          <w:sz w:val="24"/>
        </w:rPr>
      </w:pPr>
      <w:r>
        <w:rPr>
          <w:rFonts w:hint="eastAsia" w:ascii="宋体" w:hAnsi="宋体" w:cs="宋体"/>
          <w:color w:val="auto"/>
          <w:sz w:val="24"/>
        </w:rPr>
        <w:t>3.8履约保证金</w:t>
      </w:r>
    </w:p>
    <w:p w14:paraId="362BDE63">
      <w:pPr>
        <w:spacing w:line="440" w:lineRule="exact"/>
        <w:ind w:firstLine="480" w:firstLineChars="200"/>
        <w:rPr>
          <w:rFonts w:ascii="宋体" w:hAnsi="宋体" w:cs="宋体"/>
          <w:color w:val="auto"/>
          <w:sz w:val="24"/>
        </w:rPr>
      </w:pPr>
      <w:r>
        <w:rPr>
          <w:rFonts w:hint="eastAsia" w:ascii="宋体" w:hAnsi="宋体" w:cs="宋体"/>
          <w:color w:val="auto"/>
          <w:sz w:val="24"/>
        </w:rPr>
        <w:t>履约保证金的金额：</w:t>
      </w:r>
      <w:r>
        <w:rPr>
          <w:rFonts w:hint="eastAsia" w:ascii="宋体" w:hAnsi="宋体" w:cs="宋体"/>
          <w:color w:val="auto"/>
          <w:sz w:val="24"/>
          <w:u w:val="single"/>
        </w:rPr>
        <w:t>按本项目中标金额的5%，承包人在中标通知书发出之日起5个公历日内交至指定账户</w:t>
      </w:r>
      <w:r>
        <w:rPr>
          <w:rFonts w:hint="eastAsia" w:ascii="宋体" w:hAnsi="宋体" w:cs="宋体"/>
          <w:color w:val="auto"/>
          <w:sz w:val="24"/>
        </w:rPr>
        <w:t>。</w:t>
      </w:r>
    </w:p>
    <w:p w14:paraId="4A641025">
      <w:pPr>
        <w:spacing w:line="440" w:lineRule="exact"/>
        <w:ind w:firstLine="480" w:firstLineChars="200"/>
        <w:rPr>
          <w:rFonts w:ascii="宋体" w:hAnsi="宋体" w:cs="宋体"/>
          <w:color w:val="auto"/>
          <w:sz w:val="24"/>
        </w:rPr>
      </w:pPr>
      <w:r>
        <w:rPr>
          <w:rFonts w:hint="eastAsia" w:ascii="宋体" w:hAnsi="宋体" w:cs="宋体"/>
          <w:color w:val="auto"/>
          <w:sz w:val="24"/>
        </w:rPr>
        <w:t>承包人履约保证金缴纳的形式：</w:t>
      </w:r>
      <w:r>
        <w:rPr>
          <w:rFonts w:hint="eastAsia" w:ascii="宋体" w:hAnsi="宋体" w:cs="宋体"/>
          <w:color w:val="auto"/>
          <w:sz w:val="24"/>
          <w:u w:val="single"/>
        </w:rPr>
        <w:t>银行转账</w:t>
      </w:r>
      <w:r>
        <w:rPr>
          <w:rFonts w:hint="eastAsia" w:ascii="宋体" w:hAnsi="宋体" w:cs="宋体"/>
          <w:color w:val="auto"/>
          <w:sz w:val="24"/>
        </w:rPr>
        <w:t>；</w:t>
      </w:r>
    </w:p>
    <w:p w14:paraId="0D8589F4">
      <w:pPr>
        <w:spacing w:line="440" w:lineRule="exact"/>
        <w:ind w:firstLine="480" w:firstLineChars="200"/>
        <w:rPr>
          <w:rFonts w:ascii="宋体" w:hAnsi="宋体" w:cs="宋体"/>
          <w:color w:val="auto"/>
          <w:sz w:val="24"/>
        </w:rPr>
      </w:pPr>
      <w:r>
        <w:rPr>
          <w:rFonts w:hint="eastAsia" w:ascii="宋体" w:hAnsi="宋体" w:cs="宋体"/>
          <w:color w:val="auto"/>
          <w:sz w:val="24"/>
        </w:rPr>
        <w:t>履约保证金指定账户：</w:t>
      </w:r>
    </w:p>
    <w:p w14:paraId="2B7F6EB3">
      <w:pPr>
        <w:spacing w:line="440" w:lineRule="exact"/>
        <w:ind w:firstLine="480" w:firstLineChars="200"/>
        <w:rPr>
          <w:rFonts w:ascii="宋体" w:hAnsi="宋体" w:cs="宋体"/>
          <w:color w:val="auto"/>
          <w:sz w:val="24"/>
        </w:rPr>
      </w:pPr>
      <w:r>
        <w:rPr>
          <w:rFonts w:hint="eastAsia" w:ascii="宋体" w:hAnsi="宋体" w:cs="宋体"/>
          <w:color w:val="auto"/>
          <w:sz w:val="24"/>
        </w:rPr>
        <w:t>开户名称：</w:t>
      </w:r>
      <w:r>
        <w:rPr>
          <w:rFonts w:hint="eastAsia" w:ascii="宋体" w:hAnsi="宋体" w:cs="宋体"/>
          <w:color w:val="auto"/>
          <w:sz w:val="24"/>
          <w:u w:val="single"/>
        </w:rPr>
        <w:t>广西财经学院</w:t>
      </w:r>
    </w:p>
    <w:p w14:paraId="52C48F22">
      <w:pPr>
        <w:spacing w:line="440" w:lineRule="exact"/>
        <w:ind w:firstLine="480" w:firstLineChars="200"/>
        <w:rPr>
          <w:rFonts w:ascii="宋体" w:hAnsi="宋体" w:cs="宋体"/>
          <w:color w:val="auto"/>
          <w:sz w:val="24"/>
        </w:rPr>
      </w:pPr>
      <w:r>
        <w:rPr>
          <w:rFonts w:hint="eastAsia" w:ascii="宋体" w:hAnsi="宋体" w:cs="宋体"/>
          <w:color w:val="auto"/>
          <w:sz w:val="24"/>
        </w:rPr>
        <w:t>开户银行：</w:t>
      </w:r>
      <w:r>
        <w:rPr>
          <w:rFonts w:hint="eastAsia" w:ascii="宋体" w:hAnsi="宋体" w:cs="宋体"/>
          <w:color w:val="auto"/>
          <w:sz w:val="24"/>
          <w:u w:val="single"/>
        </w:rPr>
        <w:t>中国银行南宁明秀西路支行</w:t>
      </w:r>
    </w:p>
    <w:p w14:paraId="0E7DD2B3">
      <w:pPr>
        <w:spacing w:line="440" w:lineRule="exact"/>
        <w:ind w:firstLine="480" w:firstLineChars="200"/>
        <w:rPr>
          <w:rFonts w:ascii="宋体" w:hAnsi="宋体" w:cs="宋体"/>
          <w:color w:val="auto"/>
          <w:sz w:val="24"/>
        </w:rPr>
      </w:pPr>
      <w:r>
        <w:rPr>
          <w:rFonts w:hint="eastAsia" w:ascii="宋体" w:hAnsi="宋体" w:cs="宋体"/>
          <w:color w:val="auto"/>
          <w:sz w:val="24"/>
        </w:rPr>
        <w:t>银行账号：</w:t>
      </w:r>
      <w:r>
        <w:rPr>
          <w:rFonts w:hint="eastAsia" w:ascii="宋体" w:hAnsi="宋体" w:cs="宋体"/>
          <w:color w:val="auto"/>
          <w:sz w:val="24"/>
          <w:u w:val="single"/>
        </w:rPr>
        <w:t>611957485481</w:t>
      </w:r>
    </w:p>
    <w:p w14:paraId="15D0BB54">
      <w:pPr>
        <w:spacing w:line="440" w:lineRule="exact"/>
        <w:ind w:firstLine="480" w:firstLineChars="200"/>
        <w:rPr>
          <w:rFonts w:ascii="宋体" w:hAnsi="宋体" w:cs="宋体"/>
          <w:color w:val="auto"/>
          <w:sz w:val="24"/>
          <w:u w:val="single"/>
        </w:rPr>
      </w:pPr>
      <w:r>
        <w:rPr>
          <w:rFonts w:hint="eastAsia" w:ascii="宋体" w:hAnsi="宋体" w:cs="宋体"/>
          <w:color w:val="auto"/>
          <w:sz w:val="24"/>
        </w:rPr>
        <w:t>期限：</w:t>
      </w:r>
      <w:r>
        <w:rPr>
          <w:rFonts w:hint="eastAsia" w:ascii="宋体" w:hAnsi="宋体" w:cs="宋体"/>
          <w:color w:val="auto"/>
          <w:sz w:val="24"/>
          <w:u w:val="single"/>
        </w:rPr>
        <w:t>自缴纳之日起至基础合同约定的缺陷责任期开始之日止。</w:t>
      </w:r>
    </w:p>
    <w:p w14:paraId="14469D7B">
      <w:pPr>
        <w:spacing w:line="440" w:lineRule="exact"/>
        <w:ind w:firstLine="480" w:firstLineChars="200"/>
        <w:rPr>
          <w:rFonts w:ascii="宋体" w:hAnsi="宋体" w:cs="宋体"/>
          <w:color w:val="auto"/>
          <w:sz w:val="24"/>
          <w:u w:val="single"/>
        </w:rPr>
      </w:pPr>
      <w:r>
        <w:rPr>
          <w:rFonts w:hint="eastAsia" w:ascii="宋体" w:hAnsi="宋体" w:cs="宋体"/>
          <w:color w:val="auto"/>
          <w:sz w:val="24"/>
        </w:rPr>
        <w:t>履约保证金退付方式、时间及条件：</w:t>
      </w:r>
      <w:r>
        <w:rPr>
          <w:rFonts w:hint="eastAsia" w:ascii="宋体" w:hAnsi="宋体" w:cs="宋体"/>
          <w:color w:val="auto"/>
          <w:sz w:val="24"/>
          <w:u w:val="single"/>
        </w:rPr>
        <w:t>成交供应商若不能完全履行合同，履约保证金不予返还；成交供应商若完全履行合同，工程竣工验收合格且提交完整合格资料并完成工程移交后，成交供应商向发包人递交退保申请函及履约保证金财务凭证，发包人审核通过后在14个工作日内办理无息退还手续。</w:t>
      </w:r>
    </w:p>
    <w:p w14:paraId="0ECAB8F3">
      <w:pPr>
        <w:spacing w:line="440" w:lineRule="exact"/>
        <w:ind w:firstLine="482" w:firstLineChars="200"/>
        <w:rPr>
          <w:rFonts w:ascii="宋体" w:hAnsi="宋体" w:cs="宋体"/>
          <w:b/>
          <w:bCs/>
          <w:color w:val="auto"/>
          <w:sz w:val="24"/>
        </w:rPr>
      </w:pPr>
      <w:r>
        <w:rPr>
          <w:rFonts w:hint="eastAsia" w:ascii="宋体" w:hAnsi="宋体" w:cs="宋体"/>
          <w:b/>
          <w:bCs/>
          <w:color w:val="auto"/>
          <w:sz w:val="24"/>
        </w:rPr>
        <w:t>4.监理人（如有）</w:t>
      </w:r>
    </w:p>
    <w:p w14:paraId="579251D7">
      <w:pPr>
        <w:spacing w:line="440" w:lineRule="exact"/>
        <w:ind w:firstLine="480" w:firstLineChars="200"/>
        <w:rPr>
          <w:rFonts w:ascii="宋体" w:hAnsi="宋体" w:cs="宋体"/>
          <w:color w:val="auto"/>
          <w:sz w:val="24"/>
        </w:rPr>
      </w:pPr>
      <w:r>
        <w:rPr>
          <w:rFonts w:hint="eastAsia" w:ascii="宋体" w:hAnsi="宋体" w:cs="宋体"/>
          <w:color w:val="auto"/>
          <w:sz w:val="24"/>
        </w:rPr>
        <w:t>4.1监理人的一般规定</w:t>
      </w:r>
    </w:p>
    <w:p w14:paraId="092B47AB">
      <w:pPr>
        <w:spacing w:line="440" w:lineRule="exact"/>
        <w:ind w:firstLine="480" w:firstLineChars="200"/>
        <w:rPr>
          <w:rFonts w:ascii="宋体" w:hAnsi="宋体" w:cs="宋体"/>
          <w:color w:val="auto"/>
          <w:sz w:val="24"/>
        </w:rPr>
      </w:pPr>
      <w:r>
        <w:rPr>
          <w:rFonts w:hint="eastAsia" w:ascii="宋体" w:hAnsi="宋体" w:cs="宋体"/>
          <w:color w:val="auto"/>
          <w:sz w:val="24"/>
        </w:rPr>
        <w:t>关于监理人的监理内容：</w:t>
      </w:r>
      <w:r>
        <w:rPr>
          <w:rFonts w:hint="eastAsia" w:ascii="宋体" w:hAnsi="宋体" w:cs="宋体"/>
          <w:color w:val="auto"/>
          <w:sz w:val="24"/>
          <w:u w:val="single"/>
        </w:rPr>
        <w:t>除应符合双方合同约定外，还应符合国家现行的有关强制性标准、规范的规定</w:t>
      </w:r>
      <w:r>
        <w:rPr>
          <w:rFonts w:hint="eastAsia" w:ascii="宋体" w:hAnsi="宋体" w:cs="宋体"/>
          <w:color w:val="auto"/>
          <w:sz w:val="24"/>
        </w:rPr>
        <w:t>。</w:t>
      </w:r>
    </w:p>
    <w:p w14:paraId="598EC3C5">
      <w:pPr>
        <w:spacing w:line="440" w:lineRule="exact"/>
        <w:ind w:firstLine="480" w:firstLineChars="200"/>
        <w:rPr>
          <w:rFonts w:ascii="宋体" w:hAnsi="宋体" w:cs="宋体"/>
          <w:color w:val="auto"/>
          <w:sz w:val="24"/>
        </w:rPr>
      </w:pPr>
      <w:bookmarkStart w:id="17" w:name="auto_fouce_20"/>
      <w:r>
        <w:rPr>
          <w:rFonts w:hint="eastAsia" w:ascii="宋体" w:hAnsi="宋体" w:cs="宋体"/>
          <w:color w:val="auto"/>
          <w:sz w:val="24"/>
        </w:rPr>
        <w:t>关于监理人的监理权限：</w:t>
      </w:r>
      <w:r>
        <w:rPr>
          <w:rFonts w:hint="eastAsia" w:ascii="宋体" w:hAnsi="宋体" w:cs="宋体"/>
          <w:color w:val="auto"/>
          <w:sz w:val="24"/>
          <w:u w:val="single"/>
        </w:rPr>
        <w:t>1、在发出有关能引起工程费用实际增加（减少）或延长工期的指令前，应得到发包人的书面批准。2、监理工程师在向承包人发出有关技术规范的重大变更或有关变更合同条款的任何指令前均应获得发包人书面批准。3、工程实际竣工日期提前或超过工程承包合同规定的竣工期限的签证之前应得到发包人的书面批准。4、签证单监理只有证明权，无确认权。（详见发包人与监理单位签订的监理合同）。5、工程内容和材料变更确认应得到发包人的书面批准</w:t>
      </w:r>
      <w:r>
        <w:rPr>
          <w:rFonts w:hint="eastAsia" w:ascii="宋体" w:hAnsi="宋体" w:cs="宋体"/>
          <w:color w:val="auto"/>
          <w:sz w:val="24"/>
        </w:rPr>
        <w:t>。</w:t>
      </w:r>
    </w:p>
    <w:p w14:paraId="7C033FB3">
      <w:pPr>
        <w:spacing w:line="440" w:lineRule="exact"/>
        <w:ind w:firstLine="480" w:firstLineChars="200"/>
        <w:rPr>
          <w:rFonts w:ascii="宋体" w:hAnsi="宋体" w:cs="宋体"/>
          <w:color w:val="auto"/>
          <w:sz w:val="24"/>
        </w:rPr>
      </w:pPr>
      <w:r>
        <w:rPr>
          <w:rFonts w:hint="eastAsia" w:ascii="宋体" w:hAnsi="宋体" w:cs="宋体"/>
          <w:color w:val="auto"/>
          <w:sz w:val="24"/>
        </w:rPr>
        <w:t>所有涉及工期顺延、价款调整、工程变更的签证文件，必须经甲方现场代表签字并加盖甲方公章后方可产生法律效力，监理人签字仅作为事实发生的见证，不构成甲方对相关事项的最终确认。</w:t>
      </w:r>
      <w:bookmarkEnd w:id="17"/>
    </w:p>
    <w:p w14:paraId="24D4E947">
      <w:pPr>
        <w:spacing w:line="440" w:lineRule="exact"/>
        <w:ind w:firstLine="480" w:firstLineChars="200"/>
        <w:rPr>
          <w:rFonts w:ascii="宋体" w:hAnsi="宋体" w:cs="宋体"/>
          <w:color w:val="auto"/>
          <w:sz w:val="24"/>
        </w:rPr>
      </w:pPr>
      <w:r>
        <w:rPr>
          <w:rFonts w:hint="eastAsia" w:ascii="宋体" w:hAnsi="宋体" w:cs="宋体"/>
          <w:color w:val="auto"/>
          <w:sz w:val="24"/>
        </w:rPr>
        <w:t>关于监理人在施工现场的办公场所、生活场所的提供和费用承担的约定：</w:t>
      </w:r>
      <w:r>
        <w:rPr>
          <w:rFonts w:hint="eastAsia" w:ascii="宋体" w:hAnsi="宋体" w:cs="宋体"/>
          <w:color w:val="auto"/>
          <w:sz w:val="24"/>
          <w:u w:val="single"/>
        </w:rPr>
        <w:t>由发包人提供</w:t>
      </w:r>
      <w:r>
        <w:rPr>
          <w:rFonts w:hint="eastAsia" w:ascii="宋体" w:hAnsi="宋体" w:cs="宋体"/>
          <w:color w:val="auto"/>
          <w:sz w:val="24"/>
        </w:rPr>
        <w:t>。</w:t>
      </w:r>
    </w:p>
    <w:p w14:paraId="2A4C963B">
      <w:pPr>
        <w:spacing w:line="440" w:lineRule="exact"/>
        <w:ind w:firstLine="480" w:firstLineChars="200"/>
        <w:rPr>
          <w:rFonts w:ascii="宋体" w:hAnsi="宋体" w:cs="宋体"/>
          <w:color w:val="auto"/>
          <w:sz w:val="24"/>
        </w:rPr>
      </w:pPr>
      <w:r>
        <w:rPr>
          <w:rFonts w:hint="eastAsia" w:ascii="宋体" w:hAnsi="宋体" w:cs="宋体"/>
          <w:color w:val="auto"/>
          <w:sz w:val="24"/>
        </w:rPr>
        <w:t>4.2 监理人员</w:t>
      </w:r>
    </w:p>
    <w:p w14:paraId="4F35E528">
      <w:pPr>
        <w:spacing w:line="440" w:lineRule="exact"/>
        <w:ind w:firstLine="480" w:firstLineChars="200"/>
        <w:rPr>
          <w:rFonts w:ascii="宋体" w:hAnsi="宋体" w:cs="宋体"/>
          <w:color w:val="auto"/>
          <w:sz w:val="24"/>
        </w:rPr>
      </w:pPr>
      <w:r>
        <w:rPr>
          <w:rFonts w:hint="eastAsia" w:ascii="宋体" w:hAnsi="宋体" w:cs="宋体"/>
          <w:color w:val="auto"/>
          <w:sz w:val="24"/>
        </w:rPr>
        <w:t xml:space="preserve">总监理工程师： </w:t>
      </w:r>
      <w:r>
        <w:rPr>
          <w:rFonts w:ascii="宋体" w:hAnsi="宋体" w:cs="宋体"/>
          <w:color w:val="auto"/>
          <w:sz w:val="24"/>
        </w:rPr>
        <w:t xml:space="preserve">   </w:t>
      </w:r>
    </w:p>
    <w:p w14:paraId="4B42124B">
      <w:pPr>
        <w:spacing w:line="440" w:lineRule="exact"/>
        <w:ind w:firstLine="480" w:firstLineChars="200"/>
        <w:rPr>
          <w:rFonts w:ascii="宋体" w:hAnsi="宋体" w:cs="宋体"/>
          <w:color w:val="auto"/>
          <w:sz w:val="24"/>
        </w:rPr>
      </w:pPr>
      <w:r>
        <w:rPr>
          <w:rFonts w:hint="eastAsia" w:ascii="宋体" w:hAnsi="宋体" w:cs="宋体"/>
          <w:color w:val="auto"/>
          <w:sz w:val="24"/>
        </w:rPr>
        <w:t>姓名：</w:t>
      </w:r>
      <w:r>
        <w:rPr>
          <w:rFonts w:ascii="宋体" w:hAnsi="宋体" w:cs="宋体"/>
          <w:color w:val="auto"/>
          <w:sz w:val="24"/>
          <w:u w:val="single"/>
        </w:rPr>
        <w:t xml:space="preserve">  / </w:t>
      </w:r>
      <w:r>
        <w:rPr>
          <w:rFonts w:hint="eastAsia" w:ascii="宋体" w:hAnsi="宋体" w:cs="宋体"/>
          <w:color w:val="auto"/>
          <w:sz w:val="24"/>
        </w:rPr>
        <w:t>；</w:t>
      </w:r>
    </w:p>
    <w:p w14:paraId="4B42D26A">
      <w:pPr>
        <w:spacing w:line="440" w:lineRule="exact"/>
        <w:ind w:firstLine="480" w:firstLineChars="200"/>
        <w:rPr>
          <w:rFonts w:ascii="宋体" w:hAnsi="宋体" w:cs="宋体"/>
          <w:color w:val="auto"/>
          <w:sz w:val="24"/>
        </w:rPr>
      </w:pPr>
      <w:r>
        <w:rPr>
          <w:rFonts w:hint="eastAsia" w:ascii="宋体" w:hAnsi="宋体" w:cs="宋体"/>
          <w:color w:val="auto"/>
          <w:sz w:val="24"/>
        </w:rPr>
        <w:t>职务：</w:t>
      </w:r>
      <w:r>
        <w:rPr>
          <w:rFonts w:ascii="宋体" w:hAnsi="宋体" w:cs="宋体"/>
          <w:color w:val="auto"/>
          <w:sz w:val="24"/>
          <w:u w:val="single"/>
        </w:rPr>
        <w:t xml:space="preserve">   /    </w:t>
      </w:r>
      <w:r>
        <w:rPr>
          <w:rFonts w:hint="eastAsia" w:ascii="宋体" w:hAnsi="宋体" w:cs="宋体"/>
          <w:color w:val="auto"/>
          <w:sz w:val="24"/>
        </w:rPr>
        <w:t>；</w:t>
      </w:r>
    </w:p>
    <w:p w14:paraId="4B913E7D">
      <w:pPr>
        <w:spacing w:line="440" w:lineRule="exact"/>
        <w:ind w:firstLine="480" w:firstLineChars="200"/>
        <w:rPr>
          <w:rFonts w:ascii="宋体" w:hAnsi="宋体" w:cs="宋体"/>
          <w:color w:val="auto"/>
          <w:sz w:val="24"/>
        </w:rPr>
      </w:pPr>
      <w:r>
        <w:rPr>
          <w:rFonts w:hint="eastAsia" w:ascii="宋体" w:hAnsi="宋体" w:cs="宋体"/>
          <w:color w:val="auto"/>
          <w:sz w:val="24"/>
        </w:rPr>
        <w:t>监理工程师执业资格证书号：</w:t>
      </w:r>
      <w:r>
        <w:rPr>
          <w:rFonts w:ascii="宋体" w:hAnsi="宋体" w:cs="宋体"/>
          <w:color w:val="auto"/>
          <w:sz w:val="24"/>
          <w:u w:val="single"/>
        </w:rPr>
        <w:t xml:space="preserve">  /   </w:t>
      </w:r>
      <w:r>
        <w:rPr>
          <w:rFonts w:hint="eastAsia" w:ascii="宋体" w:hAnsi="宋体" w:cs="宋体"/>
          <w:color w:val="auto"/>
          <w:sz w:val="24"/>
        </w:rPr>
        <w:t>；</w:t>
      </w:r>
    </w:p>
    <w:p w14:paraId="1EA1575E">
      <w:pPr>
        <w:spacing w:line="440" w:lineRule="exact"/>
        <w:ind w:firstLine="480" w:firstLineChars="200"/>
        <w:rPr>
          <w:rFonts w:ascii="宋体" w:hAnsi="宋体" w:cs="宋体"/>
          <w:color w:val="auto"/>
          <w:sz w:val="24"/>
        </w:rPr>
      </w:pPr>
      <w:r>
        <w:rPr>
          <w:rFonts w:hint="eastAsia" w:ascii="宋体" w:hAnsi="宋体" w:cs="宋体"/>
          <w:color w:val="auto"/>
          <w:sz w:val="24"/>
        </w:rPr>
        <w:t>联系电话：</w:t>
      </w:r>
      <w:r>
        <w:rPr>
          <w:rFonts w:ascii="宋体" w:hAnsi="宋体" w:cs="宋体"/>
          <w:color w:val="auto"/>
          <w:sz w:val="24"/>
          <w:u w:val="single"/>
        </w:rPr>
        <w:t xml:space="preserve">   /      </w:t>
      </w:r>
      <w:r>
        <w:rPr>
          <w:rFonts w:hint="eastAsia" w:ascii="宋体" w:hAnsi="宋体" w:cs="宋体"/>
          <w:color w:val="auto"/>
          <w:sz w:val="24"/>
        </w:rPr>
        <w:t>；</w:t>
      </w:r>
    </w:p>
    <w:p w14:paraId="155C68B9">
      <w:pPr>
        <w:spacing w:line="440" w:lineRule="exact"/>
        <w:ind w:firstLine="480" w:firstLineChars="200"/>
        <w:rPr>
          <w:rFonts w:ascii="宋体" w:hAnsi="宋体" w:cs="宋体"/>
          <w:color w:val="auto"/>
          <w:sz w:val="24"/>
        </w:rPr>
      </w:pPr>
      <w:r>
        <w:rPr>
          <w:rFonts w:hint="eastAsia" w:ascii="宋体" w:hAnsi="宋体" w:cs="宋体"/>
          <w:color w:val="auto"/>
          <w:sz w:val="24"/>
        </w:rPr>
        <w:t>电子信箱：</w:t>
      </w:r>
      <w:r>
        <w:rPr>
          <w:rFonts w:ascii="宋体" w:hAnsi="宋体" w:cs="宋体"/>
          <w:color w:val="auto"/>
          <w:sz w:val="24"/>
          <w:u w:val="single"/>
        </w:rPr>
        <w:t xml:space="preserve">    /     </w:t>
      </w:r>
      <w:r>
        <w:rPr>
          <w:rFonts w:hint="eastAsia" w:ascii="宋体" w:hAnsi="宋体" w:cs="宋体"/>
          <w:color w:val="auto"/>
          <w:sz w:val="24"/>
        </w:rPr>
        <w:t>；</w:t>
      </w:r>
    </w:p>
    <w:p w14:paraId="3008234D">
      <w:pPr>
        <w:spacing w:line="440" w:lineRule="exact"/>
        <w:ind w:firstLine="480" w:firstLineChars="200"/>
        <w:rPr>
          <w:rFonts w:ascii="宋体" w:hAnsi="宋体" w:cs="宋体"/>
          <w:color w:val="auto"/>
          <w:sz w:val="24"/>
        </w:rPr>
      </w:pPr>
      <w:r>
        <w:rPr>
          <w:rFonts w:hint="eastAsia" w:ascii="宋体" w:hAnsi="宋体" w:cs="宋体"/>
          <w:color w:val="auto"/>
          <w:sz w:val="24"/>
        </w:rPr>
        <w:t>通信地址：</w:t>
      </w:r>
      <w:r>
        <w:rPr>
          <w:rFonts w:ascii="宋体" w:hAnsi="宋体" w:cs="宋体"/>
          <w:color w:val="auto"/>
          <w:sz w:val="24"/>
          <w:u w:val="single"/>
        </w:rPr>
        <w:t xml:space="preserve">      /     </w:t>
      </w:r>
      <w:r>
        <w:rPr>
          <w:rFonts w:hint="eastAsia" w:ascii="宋体" w:hAnsi="宋体" w:cs="宋体"/>
          <w:color w:val="auto"/>
          <w:sz w:val="24"/>
        </w:rPr>
        <w:t>；</w:t>
      </w:r>
    </w:p>
    <w:p w14:paraId="5C861402">
      <w:pPr>
        <w:spacing w:line="440" w:lineRule="exact"/>
        <w:ind w:firstLine="480" w:firstLineChars="200"/>
        <w:rPr>
          <w:rFonts w:ascii="宋体" w:hAnsi="宋体" w:cs="宋体"/>
          <w:color w:val="auto"/>
          <w:sz w:val="24"/>
        </w:rPr>
      </w:pPr>
      <w:r>
        <w:rPr>
          <w:rFonts w:hint="eastAsia" w:ascii="宋体" w:hAnsi="宋体" w:cs="宋体"/>
          <w:color w:val="auto"/>
          <w:sz w:val="24"/>
        </w:rPr>
        <w:t>关于监理人的其他约定：</w:t>
      </w:r>
      <w:r>
        <w:rPr>
          <w:rFonts w:ascii="宋体" w:hAnsi="宋体" w:cs="宋体"/>
          <w:color w:val="auto"/>
          <w:sz w:val="24"/>
          <w:u w:val="single"/>
        </w:rPr>
        <w:t xml:space="preserve">    /    </w:t>
      </w:r>
      <w:r>
        <w:rPr>
          <w:rFonts w:hint="eastAsia" w:ascii="宋体" w:hAnsi="宋体" w:cs="宋体"/>
          <w:color w:val="auto"/>
          <w:sz w:val="24"/>
        </w:rPr>
        <w:t>。</w:t>
      </w:r>
    </w:p>
    <w:p w14:paraId="0BD338CA">
      <w:pPr>
        <w:spacing w:line="440" w:lineRule="exact"/>
        <w:ind w:firstLine="480" w:firstLineChars="200"/>
        <w:rPr>
          <w:rFonts w:ascii="宋体" w:hAnsi="宋体" w:cs="宋体"/>
          <w:color w:val="auto"/>
          <w:sz w:val="24"/>
        </w:rPr>
      </w:pPr>
      <w:r>
        <w:rPr>
          <w:rFonts w:hint="eastAsia" w:ascii="宋体" w:hAnsi="宋体" w:cs="宋体"/>
          <w:color w:val="auto"/>
          <w:sz w:val="24"/>
        </w:rPr>
        <w:t>4.</w:t>
      </w:r>
      <w:r>
        <w:rPr>
          <w:rFonts w:ascii="宋体" w:hAnsi="宋体" w:cs="宋体"/>
          <w:color w:val="auto"/>
          <w:sz w:val="24"/>
        </w:rPr>
        <w:t>3</w:t>
      </w:r>
      <w:r>
        <w:rPr>
          <w:rFonts w:hint="eastAsia" w:ascii="宋体" w:hAnsi="宋体" w:cs="宋体"/>
          <w:color w:val="auto"/>
          <w:sz w:val="24"/>
        </w:rPr>
        <w:t xml:space="preserve"> 商定或确定</w:t>
      </w:r>
    </w:p>
    <w:p w14:paraId="2B1A64AD">
      <w:pPr>
        <w:spacing w:line="440" w:lineRule="exact"/>
        <w:ind w:firstLine="480" w:firstLineChars="200"/>
        <w:rPr>
          <w:rFonts w:ascii="宋体" w:hAnsi="宋体" w:cs="宋体"/>
          <w:color w:val="auto"/>
          <w:sz w:val="24"/>
        </w:rPr>
      </w:pPr>
      <w:r>
        <w:rPr>
          <w:rFonts w:hint="eastAsia" w:ascii="宋体" w:hAnsi="宋体" w:cs="宋体"/>
          <w:color w:val="auto"/>
          <w:sz w:val="24"/>
        </w:rPr>
        <w:t>在发包人和承包人不能通过协商达成一致意见时，发包人授权监理人对以下事项进行确定：</w:t>
      </w:r>
    </w:p>
    <w:p w14:paraId="6F7DE79C">
      <w:pPr>
        <w:spacing w:line="440" w:lineRule="exact"/>
        <w:ind w:firstLine="480" w:firstLineChars="200"/>
        <w:rPr>
          <w:rFonts w:ascii="宋体" w:hAnsi="宋体" w:cs="宋体"/>
          <w:color w:val="auto"/>
          <w:sz w:val="24"/>
        </w:rPr>
      </w:pPr>
      <w:r>
        <w:rPr>
          <w:rFonts w:hint="eastAsia" w:ascii="宋体" w:hAnsi="宋体" w:cs="宋体"/>
          <w:color w:val="auto"/>
          <w:sz w:val="24"/>
        </w:rPr>
        <w:t>（1）</w:t>
      </w:r>
      <w:r>
        <w:rPr>
          <w:rFonts w:hint="eastAsia" w:ascii="宋体" w:hAnsi="宋体" w:cs="宋体"/>
          <w:color w:val="auto"/>
          <w:sz w:val="24"/>
          <w:u w:val="single"/>
        </w:rPr>
        <w:t xml:space="preserve">    按通用条款执行                </w:t>
      </w:r>
      <w:r>
        <w:rPr>
          <w:rFonts w:hint="eastAsia" w:ascii="宋体" w:hAnsi="宋体" w:cs="宋体"/>
          <w:color w:val="auto"/>
          <w:sz w:val="24"/>
        </w:rPr>
        <w:t>；</w:t>
      </w:r>
    </w:p>
    <w:p w14:paraId="1FE00C1A">
      <w:pPr>
        <w:spacing w:line="440" w:lineRule="exact"/>
        <w:ind w:firstLine="480" w:firstLineChars="200"/>
        <w:rPr>
          <w:rFonts w:ascii="宋体" w:hAnsi="宋体" w:cs="宋体"/>
          <w:color w:val="auto"/>
          <w:sz w:val="24"/>
        </w:rPr>
      </w:pPr>
      <w:r>
        <w:rPr>
          <w:rFonts w:hint="eastAsia" w:ascii="宋体" w:hAnsi="宋体" w:cs="宋体"/>
          <w:color w:val="auto"/>
          <w:sz w:val="24"/>
        </w:rPr>
        <w:t>（2）</w:t>
      </w:r>
      <w:r>
        <w:rPr>
          <w:rFonts w:hint="eastAsia" w:ascii="宋体" w:hAnsi="宋体" w:cs="宋体"/>
          <w:color w:val="auto"/>
          <w:sz w:val="24"/>
          <w:u w:val="single"/>
        </w:rPr>
        <w:t xml:space="preserve">                /                 </w:t>
      </w:r>
      <w:r>
        <w:rPr>
          <w:rFonts w:hint="eastAsia" w:ascii="宋体" w:hAnsi="宋体" w:cs="宋体"/>
          <w:color w:val="auto"/>
          <w:sz w:val="24"/>
        </w:rPr>
        <w:t>；</w:t>
      </w:r>
    </w:p>
    <w:p w14:paraId="2D5AB6AB">
      <w:pPr>
        <w:spacing w:line="440" w:lineRule="exact"/>
        <w:ind w:firstLine="480" w:firstLineChars="200"/>
        <w:rPr>
          <w:rFonts w:ascii="宋体" w:hAnsi="宋体" w:cs="宋体"/>
          <w:color w:val="auto"/>
          <w:sz w:val="24"/>
        </w:rPr>
      </w:pPr>
      <w:r>
        <w:rPr>
          <w:rFonts w:hint="eastAsia" w:ascii="宋体" w:hAnsi="宋体" w:cs="宋体"/>
          <w:color w:val="auto"/>
          <w:sz w:val="24"/>
        </w:rPr>
        <w:t>（3）</w:t>
      </w:r>
      <w:r>
        <w:rPr>
          <w:rFonts w:hint="eastAsia" w:ascii="宋体" w:hAnsi="宋体" w:cs="宋体"/>
          <w:color w:val="auto"/>
          <w:sz w:val="24"/>
          <w:u w:val="single"/>
        </w:rPr>
        <w:t xml:space="preserve">                /                 </w:t>
      </w:r>
      <w:r>
        <w:rPr>
          <w:rFonts w:hint="eastAsia" w:ascii="宋体" w:hAnsi="宋体" w:cs="宋体"/>
          <w:color w:val="auto"/>
          <w:sz w:val="24"/>
        </w:rPr>
        <w:t>；</w:t>
      </w:r>
    </w:p>
    <w:p w14:paraId="0342040A">
      <w:pPr>
        <w:spacing w:line="440" w:lineRule="exact"/>
        <w:ind w:firstLine="482" w:firstLineChars="200"/>
        <w:rPr>
          <w:rFonts w:ascii="宋体" w:hAnsi="宋体" w:cs="宋体"/>
          <w:b/>
          <w:bCs/>
          <w:color w:val="auto"/>
          <w:sz w:val="24"/>
        </w:rPr>
      </w:pPr>
      <w:r>
        <w:rPr>
          <w:rFonts w:hint="eastAsia" w:ascii="宋体" w:hAnsi="宋体" w:cs="宋体"/>
          <w:b/>
          <w:bCs/>
          <w:color w:val="auto"/>
          <w:sz w:val="24"/>
        </w:rPr>
        <w:t>5.工程质量</w:t>
      </w:r>
    </w:p>
    <w:p w14:paraId="1A2BAE17">
      <w:pPr>
        <w:spacing w:line="440" w:lineRule="exact"/>
        <w:ind w:firstLine="480" w:firstLineChars="200"/>
        <w:rPr>
          <w:rFonts w:ascii="宋体" w:hAnsi="宋体" w:cs="宋体"/>
          <w:color w:val="auto"/>
          <w:sz w:val="24"/>
        </w:rPr>
      </w:pPr>
      <w:r>
        <w:rPr>
          <w:rFonts w:hint="eastAsia" w:ascii="宋体" w:hAnsi="宋体" w:cs="宋体"/>
          <w:color w:val="auto"/>
          <w:sz w:val="24"/>
        </w:rPr>
        <w:t>5.1 质量要求</w:t>
      </w:r>
    </w:p>
    <w:p w14:paraId="319ECADC">
      <w:pPr>
        <w:spacing w:line="440" w:lineRule="exact"/>
        <w:ind w:firstLine="480" w:firstLineChars="200"/>
        <w:rPr>
          <w:rFonts w:ascii="宋体" w:hAnsi="宋体" w:cs="宋体"/>
          <w:color w:val="auto"/>
          <w:sz w:val="24"/>
        </w:rPr>
      </w:pPr>
      <w:r>
        <w:rPr>
          <w:rFonts w:hint="eastAsia" w:ascii="宋体" w:hAnsi="宋体" w:cs="宋体"/>
          <w:color w:val="auto"/>
          <w:sz w:val="24"/>
        </w:rPr>
        <w:t>5.1.1 特殊质量标准和要求：</w:t>
      </w:r>
      <w:r>
        <w:rPr>
          <w:rFonts w:hint="eastAsia" w:ascii="宋体" w:hAnsi="宋体" w:cs="宋体"/>
          <w:color w:val="auto"/>
          <w:sz w:val="24"/>
          <w:u w:val="single"/>
        </w:rPr>
        <w:t>详见第1.4条</w:t>
      </w:r>
      <w:r>
        <w:rPr>
          <w:rFonts w:hint="eastAsia" w:ascii="宋体" w:hAnsi="宋体" w:cs="宋体"/>
          <w:color w:val="auto"/>
          <w:sz w:val="24"/>
        </w:rPr>
        <w:t>。</w:t>
      </w:r>
    </w:p>
    <w:p w14:paraId="399E6A55">
      <w:pPr>
        <w:spacing w:line="440" w:lineRule="exact"/>
        <w:ind w:firstLine="480" w:firstLineChars="200"/>
        <w:rPr>
          <w:rFonts w:ascii="宋体" w:hAnsi="宋体" w:cs="宋体"/>
          <w:color w:val="auto"/>
          <w:sz w:val="24"/>
        </w:rPr>
      </w:pPr>
      <w:r>
        <w:rPr>
          <w:rFonts w:hint="eastAsia" w:ascii="宋体" w:hAnsi="宋体" w:cs="宋体"/>
          <w:color w:val="auto"/>
          <w:sz w:val="24"/>
        </w:rPr>
        <w:t>关于工程奖项的约定：</w:t>
      </w:r>
      <w:r>
        <w:rPr>
          <w:rFonts w:hint="eastAsia" w:ascii="宋体" w:hAnsi="宋体" w:cs="宋体"/>
          <w:color w:val="auto"/>
          <w:sz w:val="24"/>
          <w:u w:val="single"/>
        </w:rPr>
        <w:t xml:space="preserve">  无       </w:t>
      </w:r>
      <w:r>
        <w:rPr>
          <w:rFonts w:hint="eastAsia" w:ascii="宋体" w:hAnsi="宋体" w:cs="宋体"/>
          <w:color w:val="auto"/>
          <w:sz w:val="24"/>
        </w:rPr>
        <w:t>。</w:t>
      </w:r>
    </w:p>
    <w:p w14:paraId="23C48133">
      <w:pPr>
        <w:spacing w:line="440" w:lineRule="exact"/>
        <w:ind w:firstLine="480" w:firstLineChars="200"/>
        <w:rPr>
          <w:rFonts w:ascii="宋体" w:hAnsi="宋体" w:cs="宋体"/>
          <w:color w:val="auto"/>
          <w:sz w:val="24"/>
        </w:rPr>
      </w:pPr>
      <w:r>
        <w:rPr>
          <w:rFonts w:hint="eastAsia" w:ascii="宋体" w:hAnsi="宋体" w:cs="宋体"/>
          <w:color w:val="auto"/>
          <w:sz w:val="24"/>
        </w:rPr>
        <w:t>5.</w:t>
      </w:r>
      <w:r>
        <w:rPr>
          <w:rFonts w:ascii="宋体" w:hAnsi="宋体" w:cs="宋体"/>
          <w:color w:val="auto"/>
          <w:sz w:val="24"/>
        </w:rPr>
        <w:t>2</w:t>
      </w:r>
      <w:r>
        <w:rPr>
          <w:rFonts w:hint="eastAsia" w:ascii="宋体" w:hAnsi="宋体" w:cs="宋体"/>
          <w:color w:val="auto"/>
          <w:sz w:val="24"/>
        </w:rPr>
        <w:t>隐蔽工程检查</w:t>
      </w:r>
    </w:p>
    <w:p w14:paraId="1ABE27FF">
      <w:pPr>
        <w:spacing w:line="440" w:lineRule="exact"/>
        <w:ind w:firstLine="480" w:firstLineChars="200"/>
        <w:rPr>
          <w:rFonts w:ascii="宋体" w:hAnsi="宋体" w:cs="宋体"/>
          <w:color w:val="auto"/>
          <w:sz w:val="24"/>
        </w:rPr>
      </w:pPr>
      <w:r>
        <w:rPr>
          <w:rFonts w:hint="eastAsia" w:ascii="宋体" w:hAnsi="宋体" w:cs="宋体"/>
          <w:color w:val="auto"/>
          <w:sz w:val="24"/>
        </w:rPr>
        <w:t>5.</w:t>
      </w:r>
      <w:r>
        <w:rPr>
          <w:rFonts w:ascii="宋体" w:hAnsi="宋体" w:cs="宋体"/>
          <w:color w:val="auto"/>
          <w:sz w:val="24"/>
        </w:rPr>
        <w:t>2</w:t>
      </w:r>
      <w:r>
        <w:rPr>
          <w:rFonts w:hint="eastAsia" w:ascii="宋体" w:hAnsi="宋体" w:cs="宋体"/>
          <w:color w:val="auto"/>
          <w:sz w:val="24"/>
        </w:rPr>
        <w:t>.</w:t>
      </w:r>
      <w:r>
        <w:rPr>
          <w:rFonts w:ascii="宋体" w:hAnsi="宋体" w:cs="宋体"/>
          <w:color w:val="auto"/>
          <w:sz w:val="24"/>
        </w:rPr>
        <w:t>1</w:t>
      </w:r>
      <w:r>
        <w:rPr>
          <w:rFonts w:hint="eastAsia" w:ascii="宋体" w:hAnsi="宋体" w:cs="宋体"/>
          <w:color w:val="auto"/>
          <w:sz w:val="24"/>
        </w:rPr>
        <w:t>承包人提前通知监理人、发包人隐蔽工程检查的期限的约定：</w:t>
      </w:r>
      <w:r>
        <w:rPr>
          <w:rFonts w:hint="eastAsia" w:ascii="宋体" w:hAnsi="宋体" w:cs="宋体"/>
          <w:color w:val="auto"/>
          <w:sz w:val="24"/>
          <w:u w:val="single"/>
        </w:rPr>
        <w:t>工程隐蔽或中间验收前24小时以书面形式通知发包人和监理工程师验收的内容、时间、地点，承包人准备验收记录单（印制的专用表格）由各方签字。验收合格后，承包人可进行隐蔽和继续施工；验收不合格，双方商定时限内修改后按上述程序重新验收</w:t>
      </w:r>
      <w:r>
        <w:rPr>
          <w:rFonts w:hint="eastAsia" w:ascii="宋体" w:hAnsi="宋体" w:cs="宋体"/>
          <w:color w:val="auto"/>
          <w:sz w:val="24"/>
        </w:rPr>
        <w:t>。</w:t>
      </w:r>
      <w:bookmarkStart w:id="18" w:name="auto_fouce_21"/>
    </w:p>
    <w:p w14:paraId="0E7136D3">
      <w:pPr>
        <w:spacing w:line="440" w:lineRule="exact"/>
        <w:ind w:firstLine="480" w:firstLineChars="200"/>
        <w:rPr>
          <w:rFonts w:ascii="宋体" w:hAnsi="宋体" w:cs="宋体"/>
          <w:color w:val="auto"/>
          <w:sz w:val="24"/>
        </w:rPr>
      </w:pPr>
      <w:r>
        <w:rPr>
          <w:rFonts w:hint="eastAsia" w:ascii="宋体" w:hAnsi="宋体" w:cs="宋体"/>
          <w:color w:val="auto"/>
          <w:sz w:val="24"/>
        </w:rPr>
        <w:t>隐蔽工程施工完毕后，乙方未提前通知甲方或监理验收即擅自隐蔽的，甲方有权随时要求乙方破拆检查，无论检查结果是否合格，破拆、修复费用及工期延误责任均由乙方承担。</w:t>
      </w:r>
      <w:bookmarkEnd w:id="18"/>
    </w:p>
    <w:p w14:paraId="78E012EA">
      <w:pPr>
        <w:spacing w:line="440" w:lineRule="exact"/>
        <w:ind w:firstLine="480" w:firstLineChars="200"/>
        <w:rPr>
          <w:rFonts w:ascii="宋体" w:hAnsi="宋体" w:cs="宋体"/>
          <w:color w:val="auto"/>
          <w:sz w:val="24"/>
        </w:rPr>
      </w:pPr>
      <w:r>
        <w:rPr>
          <w:rFonts w:hint="eastAsia" w:ascii="宋体" w:hAnsi="宋体" w:cs="宋体"/>
          <w:color w:val="auto"/>
          <w:sz w:val="24"/>
        </w:rPr>
        <w:t>监理人不能按时进行检查时，应提前</w:t>
      </w:r>
      <w:r>
        <w:rPr>
          <w:rFonts w:hint="eastAsia" w:ascii="宋体" w:hAnsi="宋体" w:cs="宋体"/>
          <w:color w:val="auto"/>
          <w:sz w:val="24"/>
          <w:u w:val="single"/>
        </w:rPr>
        <w:t>24</w:t>
      </w:r>
      <w:r>
        <w:rPr>
          <w:rFonts w:hint="eastAsia" w:ascii="宋体" w:hAnsi="宋体" w:cs="宋体"/>
          <w:color w:val="auto"/>
          <w:sz w:val="24"/>
        </w:rPr>
        <w:t>小时提交书面延期要求。</w:t>
      </w:r>
    </w:p>
    <w:p w14:paraId="5DD21611">
      <w:pPr>
        <w:spacing w:line="440" w:lineRule="exact"/>
        <w:ind w:firstLine="480" w:firstLineChars="200"/>
        <w:rPr>
          <w:rFonts w:ascii="宋体" w:hAnsi="宋体" w:cs="宋体"/>
          <w:color w:val="auto"/>
          <w:sz w:val="24"/>
        </w:rPr>
      </w:pPr>
      <w:r>
        <w:rPr>
          <w:rFonts w:hint="eastAsia" w:ascii="宋体" w:hAnsi="宋体" w:cs="宋体"/>
          <w:color w:val="auto"/>
          <w:sz w:val="24"/>
        </w:rPr>
        <w:t>关于延期最长不得超过：</w:t>
      </w:r>
      <w:r>
        <w:rPr>
          <w:rFonts w:hint="eastAsia" w:ascii="宋体" w:hAnsi="宋体" w:cs="宋体"/>
          <w:color w:val="auto"/>
          <w:sz w:val="24"/>
          <w:u w:val="single"/>
        </w:rPr>
        <w:t>48</w:t>
      </w:r>
      <w:r>
        <w:rPr>
          <w:rFonts w:hint="eastAsia" w:ascii="宋体" w:hAnsi="宋体" w:cs="宋体"/>
          <w:color w:val="auto"/>
          <w:sz w:val="24"/>
        </w:rPr>
        <w:t>小时。</w:t>
      </w:r>
    </w:p>
    <w:p w14:paraId="1F66B40E">
      <w:pPr>
        <w:spacing w:line="440" w:lineRule="exact"/>
        <w:ind w:firstLine="482" w:firstLineChars="200"/>
        <w:rPr>
          <w:rFonts w:ascii="宋体" w:hAnsi="宋体" w:cs="宋体"/>
          <w:b/>
          <w:bCs/>
          <w:color w:val="auto"/>
          <w:sz w:val="24"/>
        </w:rPr>
      </w:pPr>
      <w:r>
        <w:rPr>
          <w:rFonts w:hint="eastAsia" w:ascii="宋体" w:hAnsi="宋体" w:cs="宋体"/>
          <w:b/>
          <w:bCs/>
          <w:color w:val="auto"/>
          <w:sz w:val="24"/>
        </w:rPr>
        <w:t>6.安全文明施工与环境保护</w:t>
      </w:r>
    </w:p>
    <w:p w14:paraId="2233FF35">
      <w:pPr>
        <w:spacing w:line="440" w:lineRule="exact"/>
        <w:ind w:firstLine="480" w:firstLineChars="200"/>
        <w:rPr>
          <w:rFonts w:ascii="宋体" w:hAnsi="宋体" w:cs="宋体"/>
          <w:color w:val="auto"/>
          <w:sz w:val="24"/>
        </w:rPr>
      </w:pPr>
      <w:r>
        <w:rPr>
          <w:rFonts w:hint="eastAsia" w:ascii="宋体" w:hAnsi="宋体" w:cs="宋体"/>
          <w:color w:val="auto"/>
          <w:sz w:val="24"/>
        </w:rPr>
        <w:t>6.1安全文明施工</w:t>
      </w:r>
    </w:p>
    <w:p w14:paraId="473F6ECD">
      <w:pPr>
        <w:spacing w:line="440" w:lineRule="exact"/>
        <w:ind w:firstLine="480" w:firstLineChars="200"/>
        <w:rPr>
          <w:rFonts w:ascii="宋体" w:hAnsi="宋体" w:cs="宋体"/>
          <w:color w:val="auto"/>
          <w:sz w:val="24"/>
        </w:rPr>
      </w:pPr>
      <w:r>
        <w:rPr>
          <w:rFonts w:hint="eastAsia" w:ascii="宋体" w:hAnsi="宋体" w:cs="宋体"/>
          <w:color w:val="auto"/>
          <w:sz w:val="24"/>
        </w:rPr>
        <w:t>6.1.1 项目安全生产的达标目标及相应事项的约定：</w:t>
      </w:r>
      <w:r>
        <w:rPr>
          <w:rFonts w:hint="eastAsia" w:ascii="宋体" w:hAnsi="宋体" w:cs="宋体"/>
          <w:color w:val="auto"/>
          <w:sz w:val="24"/>
          <w:u w:val="single"/>
        </w:rPr>
        <w:t>承包人应遵守工程建设安全生产有关管理规定、规范，严格按照《建筑施工安全检查标准》（JGJ59-2011）安全标准组织施工，并随时接受发包人或行业安全检查人员依法实施的监督检查，采取可靠的安全防护措施，杜绝重大伤亡事故、重伤事故；达到安全文明工地合格要求；机电设备漏电保护装置安全有效率达到100%；施工现场安全达标合格率达到100%，优良率达到90%以上；安全管理人员及特种作业人员要全部经过专业培训，持证上岗要达到100%；工人入场三级安全教育要达到100%等</w:t>
      </w:r>
      <w:r>
        <w:rPr>
          <w:rFonts w:hint="eastAsia" w:ascii="宋体" w:hAnsi="宋体" w:cs="宋体"/>
          <w:color w:val="auto"/>
          <w:sz w:val="24"/>
        </w:rPr>
        <w:t>。</w:t>
      </w:r>
    </w:p>
    <w:p w14:paraId="6C27E6CA">
      <w:pPr>
        <w:spacing w:line="440" w:lineRule="exact"/>
        <w:ind w:firstLine="480" w:firstLineChars="200"/>
        <w:rPr>
          <w:rFonts w:ascii="宋体" w:hAnsi="宋体" w:cs="宋体"/>
          <w:color w:val="auto"/>
          <w:sz w:val="24"/>
        </w:rPr>
      </w:pPr>
      <w:r>
        <w:rPr>
          <w:rFonts w:hint="eastAsia" w:ascii="宋体" w:hAnsi="宋体" w:cs="宋体"/>
          <w:color w:val="auto"/>
          <w:sz w:val="24"/>
        </w:rPr>
        <w:t>6.1.</w:t>
      </w:r>
      <w:r>
        <w:rPr>
          <w:rFonts w:ascii="宋体" w:hAnsi="宋体" w:cs="宋体"/>
          <w:color w:val="auto"/>
          <w:sz w:val="24"/>
        </w:rPr>
        <w:t>2</w:t>
      </w:r>
      <w:r>
        <w:rPr>
          <w:rFonts w:hint="eastAsia" w:ascii="宋体" w:hAnsi="宋体" w:cs="宋体"/>
          <w:color w:val="auto"/>
          <w:sz w:val="24"/>
        </w:rPr>
        <w:t xml:space="preserve"> 关于治安保卫的特别约定：</w:t>
      </w:r>
      <w:r>
        <w:rPr>
          <w:rFonts w:hint="eastAsia" w:ascii="宋体" w:hAnsi="宋体" w:cs="宋体"/>
          <w:color w:val="auto"/>
          <w:sz w:val="24"/>
          <w:u w:val="single"/>
        </w:rPr>
        <w:t>在发包人的整体协调和管理下，承包人按发包人要求负责管理施工场地的治安保卫事项，履行合同工程的治安保卫职责</w:t>
      </w:r>
      <w:r>
        <w:rPr>
          <w:rFonts w:hint="eastAsia" w:ascii="宋体" w:hAnsi="宋体" w:cs="宋体"/>
          <w:color w:val="auto"/>
          <w:sz w:val="24"/>
        </w:rPr>
        <w:t>。</w:t>
      </w:r>
    </w:p>
    <w:p w14:paraId="40915283">
      <w:pPr>
        <w:spacing w:line="440" w:lineRule="exact"/>
        <w:ind w:firstLine="480" w:firstLineChars="200"/>
        <w:rPr>
          <w:rFonts w:ascii="宋体" w:hAnsi="宋体" w:cs="宋体"/>
          <w:color w:val="auto"/>
          <w:sz w:val="24"/>
        </w:rPr>
      </w:pPr>
      <w:r>
        <w:rPr>
          <w:rFonts w:hint="eastAsia" w:ascii="宋体" w:hAnsi="宋体" w:cs="宋体"/>
          <w:color w:val="auto"/>
          <w:sz w:val="24"/>
        </w:rPr>
        <w:t>关于编制施工场地治安管理计划的约定：</w:t>
      </w:r>
      <w:r>
        <w:rPr>
          <w:rFonts w:hint="eastAsia" w:ascii="宋体" w:hAnsi="宋体" w:cs="宋体"/>
          <w:color w:val="auto"/>
          <w:sz w:val="24"/>
          <w:u w:val="single"/>
        </w:rPr>
        <w:t>开工前5日内承包人负责编制施工场地治安管理计划和突发治安事件紧急处置预案</w:t>
      </w:r>
      <w:r>
        <w:rPr>
          <w:rFonts w:hint="eastAsia" w:ascii="宋体" w:hAnsi="宋体" w:cs="宋体"/>
          <w:color w:val="auto"/>
          <w:sz w:val="24"/>
        </w:rPr>
        <w:t>。</w:t>
      </w:r>
    </w:p>
    <w:p w14:paraId="4590C68F">
      <w:pPr>
        <w:spacing w:line="440" w:lineRule="exact"/>
        <w:ind w:firstLine="480" w:firstLineChars="200"/>
        <w:rPr>
          <w:rFonts w:ascii="宋体" w:hAnsi="宋体" w:cs="宋体"/>
          <w:color w:val="auto"/>
          <w:sz w:val="24"/>
        </w:rPr>
      </w:pPr>
      <w:r>
        <w:rPr>
          <w:rFonts w:hint="eastAsia" w:ascii="宋体" w:hAnsi="宋体" w:cs="宋体"/>
          <w:color w:val="auto"/>
          <w:sz w:val="24"/>
        </w:rPr>
        <w:t>6.1.</w:t>
      </w:r>
      <w:r>
        <w:rPr>
          <w:rFonts w:ascii="宋体" w:hAnsi="宋体" w:cs="宋体"/>
          <w:color w:val="auto"/>
          <w:sz w:val="24"/>
        </w:rPr>
        <w:t>3</w:t>
      </w:r>
      <w:r>
        <w:rPr>
          <w:rFonts w:hint="eastAsia" w:ascii="宋体" w:hAnsi="宋体" w:cs="宋体"/>
          <w:color w:val="auto"/>
          <w:sz w:val="24"/>
        </w:rPr>
        <w:t xml:space="preserve"> 文明施工</w:t>
      </w:r>
    </w:p>
    <w:p w14:paraId="188D2CCD">
      <w:pPr>
        <w:spacing w:line="440" w:lineRule="exact"/>
        <w:ind w:firstLine="480" w:firstLineChars="200"/>
        <w:rPr>
          <w:rFonts w:ascii="宋体" w:hAnsi="宋体" w:cs="宋体"/>
          <w:color w:val="auto"/>
          <w:sz w:val="24"/>
          <w:u w:val="single"/>
        </w:rPr>
      </w:pPr>
      <w:r>
        <w:rPr>
          <w:rFonts w:hint="eastAsia" w:ascii="宋体" w:hAnsi="宋体" w:cs="宋体"/>
          <w:color w:val="auto"/>
          <w:sz w:val="24"/>
        </w:rPr>
        <w:t>合同当事人对文明施工的要求：</w:t>
      </w:r>
      <w:r>
        <w:rPr>
          <w:rFonts w:hint="eastAsia" w:ascii="宋体" w:hAnsi="宋体" w:cs="宋体"/>
          <w:color w:val="auto"/>
          <w:sz w:val="24"/>
          <w:u w:val="single"/>
        </w:rPr>
        <w:t>施工现场须符合有关文明卫生要求；承包人须在施工过程中严格按照施工方案和有关规定做好安全文明工作，如本工程承包人因工程质量、安全文明等问题受到质监机构通报或简报批评，发包人将对承包人每次扣除2000元违约金（在工程款中扣除）；造成发包人经济损失的，将按两倍金额赔偿。</w:t>
      </w:r>
      <w:bookmarkStart w:id="19" w:name="auto_fouce_22"/>
    </w:p>
    <w:p w14:paraId="4E8C916A">
      <w:pPr>
        <w:spacing w:line="440" w:lineRule="exact"/>
        <w:ind w:firstLine="480" w:firstLineChars="200"/>
        <w:rPr>
          <w:rFonts w:ascii="宋体" w:hAnsi="宋体" w:cs="宋体"/>
          <w:color w:val="auto"/>
          <w:sz w:val="24"/>
          <w:u w:val="single"/>
        </w:rPr>
      </w:pPr>
      <w:r>
        <w:rPr>
          <w:rFonts w:hint="eastAsia" w:ascii="宋体" w:hAnsi="宋体" w:cs="宋体"/>
          <w:color w:val="auto"/>
          <w:sz w:val="24"/>
          <w:u w:val="single"/>
        </w:rPr>
        <w:t>本条约定的各项违约金，系双方对</w:t>
      </w:r>
      <w:r>
        <w:rPr>
          <w:rFonts w:hint="eastAsia" w:ascii="宋体" w:hAnsi="宋体" w:cs="宋体"/>
          <w:color w:val="auto"/>
          <w:sz w:val="24"/>
        </w:rPr>
        <w:t>乙方</w:t>
      </w:r>
      <w:r>
        <w:rPr>
          <w:rFonts w:hint="eastAsia" w:ascii="宋体" w:hAnsi="宋体" w:cs="宋体"/>
          <w:color w:val="auto"/>
          <w:sz w:val="24"/>
          <w:u w:val="single"/>
        </w:rPr>
        <w:t>违反文明施工规定可能造成</w:t>
      </w:r>
      <w:r>
        <w:rPr>
          <w:rFonts w:hint="eastAsia" w:ascii="宋体" w:hAnsi="宋体" w:cs="宋体"/>
          <w:color w:val="auto"/>
          <w:sz w:val="24"/>
        </w:rPr>
        <w:t>甲方</w:t>
      </w:r>
      <w:r>
        <w:rPr>
          <w:rFonts w:hint="eastAsia" w:ascii="宋体" w:hAnsi="宋体" w:cs="宋体"/>
          <w:color w:val="auto"/>
          <w:sz w:val="24"/>
          <w:u w:val="single"/>
        </w:rPr>
        <w:t>管理成本增加、声誉损害等损失的预先估算，</w:t>
      </w:r>
      <w:r>
        <w:rPr>
          <w:rFonts w:hint="eastAsia" w:ascii="宋体" w:hAnsi="宋体" w:cs="宋体"/>
          <w:color w:val="auto"/>
          <w:sz w:val="24"/>
        </w:rPr>
        <w:t>乙方</w:t>
      </w:r>
      <w:r>
        <w:rPr>
          <w:rFonts w:hint="eastAsia" w:ascii="宋体" w:hAnsi="宋体" w:cs="宋体"/>
          <w:color w:val="auto"/>
          <w:sz w:val="24"/>
          <w:u w:val="single"/>
        </w:rPr>
        <w:t>承诺该金额合理且不得请求予以调低。</w:t>
      </w:r>
      <w:r>
        <w:rPr>
          <w:rFonts w:hint="eastAsia" w:ascii="宋体" w:hAnsi="宋体" w:cs="宋体"/>
          <w:color w:val="auto"/>
          <w:sz w:val="24"/>
        </w:rPr>
        <w:t>甲方</w:t>
      </w:r>
      <w:r>
        <w:rPr>
          <w:rFonts w:hint="eastAsia" w:ascii="宋体" w:hAnsi="宋体" w:cs="宋体"/>
          <w:color w:val="auto"/>
          <w:sz w:val="24"/>
          <w:u w:val="single"/>
        </w:rPr>
        <w:t>有权从履约保证金或任何一期应付工程款中直接扣除上述违约金。</w:t>
      </w:r>
      <w:bookmarkEnd w:id="19"/>
    </w:p>
    <w:p w14:paraId="58831689">
      <w:pPr>
        <w:spacing w:line="440" w:lineRule="exact"/>
        <w:ind w:firstLine="480" w:firstLineChars="200"/>
        <w:rPr>
          <w:rFonts w:ascii="宋体" w:hAnsi="宋体" w:cs="宋体"/>
          <w:color w:val="auto"/>
          <w:sz w:val="24"/>
          <w:u w:val="single"/>
        </w:rPr>
      </w:pPr>
      <w:r>
        <w:rPr>
          <w:rFonts w:hint="eastAsia" w:ascii="宋体" w:hAnsi="宋体" w:cs="宋体"/>
          <w:color w:val="auto"/>
          <w:sz w:val="24"/>
          <w:u w:val="single"/>
        </w:rPr>
        <w:t>1）凡进入施工工地现场均须戴安全帽，高空作业必须佩戴安全带，不戴安全帽、安全带，每发现一人次承包人向发包人支付违约金人民币500元；屡教不改将违规人员清理出场，承包人向发包人支付违约金500元；上述违约金发包人有权从履约保证金或工程款中扣除</w:t>
      </w:r>
      <w:r>
        <w:rPr>
          <w:rFonts w:hint="eastAsia" w:ascii="宋体" w:hAnsi="宋体" w:cs="宋体"/>
          <w:color w:val="auto"/>
          <w:sz w:val="24"/>
        </w:rPr>
        <w:t>。</w:t>
      </w:r>
    </w:p>
    <w:p w14:paraId="100B354A">
      <w:pPr>
        <w:spacing w:line="440" w:lineRule="exact"/>
        <w:ind w:firstLine="480" w:firstLineChars="200"/>
        <w:rPr>
          <w:rFonts w:ascii="宋体" w:hAnsi="宋体" w:cs="宋体"/>
          <w:color w:val="auto"/>
          <w:sz w:val="24"/>
          <w:u w:val="single"/>
        </w:rPr>
      </w:pPr>
      <w:r>
        <w:rPr>
          <w:rFonts w:hint="eastAsia" w:ascii="宋体" w:hAnsi="宋体" w:cs="宋体"/>
          <w:color w:val="auto"/>
          <w:sz w:val="24"/>
          <w:u w:val="single"/>
        </w:rPr>
        <w:t>2）凡进入施工工地现场均不得喝酒，每发现一人次承包人向发包人支付违约金人民币500元；</w:t>
      </w:r>
    </w:p>
    <w:p w14:paraId="6FD06BE1">
      <w:pPr>
        <w:spacing w:line="440" w:lineRule="exact"/>
        <w:ind w:firstLine="480" w:firstLineChars="200"/>
        <w:rPr>
          <w:rFonts w:ascii="宋体" w:hAnsi="宋体" w:cs="宋体"/>
          <w:color w:val="auto"/>
          <w:sz w:val="24"/>
          <w:u w:val="single"/>
        </w:rPr>
      </w:pPr>
      <w:r>
        <w:rPr>
          <w:rFonts w:hint="eastAsia" w:ascii="宋体" w:hAnsi="宋体" w:cs="宋体"/>
          <w:color w:val="auto"/>
          <w:sz w:val="24"/>
          <w:u w:val="single"/>
        </w:rPr>
        <w:t>3）承包人应加强对劳务人员安全文明卫生教育和管理，工地现场不得随地乱倒杂物、脏水和大小便，每发现一人次承包人向发包人支付违约金人民币500元；上述违约金发包人有权从履约保证金或工程款中扣除。</w:t>
      </w:r>
    </w:p>
    <w:p w14:paraId="5F04819C">
      <w:pPr>
        <w:spacing w:line="440" w:lineRule="exact"/>
        <w:ind w:firstLine="480" w:firstLineChars="200"/>
        <w:rPr>
          <w:rFonts w:ascii="宋体" w:hAnsi="宋体" w:cs="宋体"/>
          <w:color w:val="auto"/>
          <w:sz w:val="24"/>
          <w:u w:val="single"/>
        </w:rPr>
      </w:pPr>
      <w:r>
        <w:rPr>
          <w:rFonts w:hint="eastAsia" w:ascii="宋体" w:hAnsi="宋体" w:cs="宋体"/>
          <w:color w:val="auto"/>
          <w:sz w:val="24"/>
          <w:u w:val="single"/>
        </w:rPr>
        <w:t>4）工地现场材料、设备堆放应根据现场布局要求，整洁、整齐、规范堆放和保存；工地现场不得乱堆乱放，每发现一次承包人向发包人支付违约金人民币500元；上述违约金发包人有权从履约保证金或工程款中扣除。</w:t>
      </w:r>
    </w:p>
    <w:p w14:paraId="2332CECB">
      <w:pPr>
        <w:spacing w:line="440" w:lineRule="exact"/>
        <w:ind w:firstLine="480" w:firstLineChars="200"/>
        <w:rPr>
          <w:rFonts w:ascii="宋体" w:hAnsi="宋体" w:cs="宋体"/>
          <w:color w:val="auto"/>
          <w:sz w:val="24"/>
          <w:u w:val="single"/>
        </w:rPr>
      </w:pPr>
      <w:r>
        <w:rPr>
          <w:rFonts w:hint="eastAsia" w:ascii="宋体" w:hAnsi="宋体" w:cs="宋体"/>
          <w:color w:val="auto"/>
          <w:sz w:val="24"/>
          <w:u w:val="single"/>
        </w:rPr>
        <w:t>5）承包人须加强对劳务人员经常性法律法规教育和正常化正规化管理，防止劳务人员之间纠纷、矛盾、打架斗殴等现象发生，每发现一次承包人向发包人支付违约金人民币1000元；上述违约金发包人有权从履约保证金或工程款中扣除。</w:t>
      </w:r>
    </w:p>
    <w:p w14:paraId="7001455C">
      <w:pPr>
        <w:spacing w:line="440" w:lineRule="exact"/>
        <w:ind w:firstLine="480" w:firstLineChars="200"/>
        <w:rPr>
          <w:rFonts w:ascii="宋体" w:hAnsi="宋体" w:cs="宋体"/>
          <w:color w:val="auto"/>
          <w:sz w:val="24"/>
          <w:u w:val="single"/>
        </w:rPr>
      </w:pPr>
      <w:r>
        <w:rPr>
          <w:rFonts w:hint="eastAsia" w:ascii="宋体" w:hAnsi="宋体" w:cs="宋体"/>
          <w:color w:val="auto"/>
          <w:sz w:val="24"/>
          <w:u w:val="single"/>
        </w:rPr>
        <w:t>6）建筑垃圾应在指定区域集中堆放并及时清理外运，不得乱堆乱放或久不清理，每发现一次承包人向发包人支付违约金人民币500元；上述违约金发包人有权从履约保证金或工程款中扣除。</w:t>
      </w:r>
    </w:p>
    <w:p w14:paraId="65DE3A93">
      <w:pPr>
        <w:spacing w:line="440" w:lineRule="exact"/>
        <w:ind w:firstLine="480" w:firstLineChars="200"/>
        <w:rPr>
          <w:rFonts w:ascii="宋体" w:hAnsi="宋体" w:cs="宋体"/>
          <w:color w:val="auto"/>
          <w:sz w:val="24"/>
          <w:u w:val="single"/>
        </w:rPr>
      </w:pPr>
      <w:r>
        <w:rPr>
          <w:rFonts w:hint="eastAsia" w:ascii="宋体" w:hAnsi="宋体" w:cs="宋体"/>
          <w:color w:val="auto"/>
          <w:sz w:val="24"/>
          <w:u w:val="single"/>
        </w:rPr>
        <w:t>7）安全员、电工、机械等技术组人员须持证上岗，且先报监理及发包人审核，通过后方可进场施工，如发现有违规人员进行施工，应责令违规人员立即停止施工，承包人向发包人支付违约金1000元/人/次，上述违约金发包人有权从履约保证金或工程款中扣除。</w:t>
      </w:r>
    </w:p>
    <w:p w14:paraId="25B8E4C5">
      <w:pPr>
        <w:spacing w:line="440" w:lineRule="exact"/>
        <w:ind w:firstLine="480" w:firstLineChars="200"/>
        <w:rPr>
          <w:rFonts w:ascii="宋体" w:hAnsi="宋体" w:cs="宋体"/>
          <w:color w:val="auto"/>
          <w:sz w:val="24"/>
        </w:rPr>
      </w:pPr>
      <w:r>
        <w:rPr>
          <w:rFonts w:hint="eastAsia" w:ascii="宋体" w:hAnsi="宋体" w:cs="宋体"/>
          <w:color w:val="auto"/>
          <w:sz w:val="24"/>
          <w:u w:val="single"/>
        </w:rPr>
        <w:t>8）承包人应教育劳务人员服从和配合监理人员和发包人现场管理等人员的管理，不得顶撞、辱骂、抵制监理人员和发包人现场管理等人员的管理，不得与监理人员和发包人现场管理等人员发生矛盾、纠纷或更恶劣的行为，每发现一次承包人向发包人支付违约金人民币1000元。上述违约金发包人有权从履约保证金或工程款中扣除。</w:t>
      </w:r>
    </w:p>
    <w:p w14:paraId="4A6AAA86">
      <w:pPr>
        <w:spacing w:line="440" w:lineRule="exact"/>
        <w:ind w:firstLine="480" w:firstLineChars="200"/>
        <w:rPr>
          <w:rFonts w:ascii="宋体" w:hAnsi="宋体" w:cs="宋体"/>
          <w:color w:val="auto"/>
          <w:sz w:val="24"/>
        </w:rPr>
      </w:pPr>
      <w:r>
        <w:rPr>
          <w:rFonts w:hint="eastAsia" w:ascii="宋体" w:hAnsi="宋体" w:cs="宋体"/>
          <w:color w:val="auto"/>
          <w:sz w:val="24"/>
        </w:rPr>
        <w:t>6.1.</w:t>
      </w:r>
      <w:r>
        <w:rPr>
          <w:rFonts w:ascii="宋体" w:hAnsi="宋体" w:cs="宋体"/>
          <w:color w:val="auto"/>
          <w:sz w:val="24"/>
        </w:rPr>
        <w:t>4</w:t>
      </w:r>
      <w:r>
        <w:rPr>
          <w:rFonts w:hint="eastAsia" w:ascii="宋体" w:hAnsi="宋体" w:cs="宋体"/>
          <w:color w:val="auto"/>
          <w:sz w:val="24"/>
        </w:rPr>
        <w:t xml:space="preserve"> 关于安全文明施工费支付比例和支付期限的约定：</w:t>
      </w:r>
    </w:p>
    <w:p w14:paraId="5DA99629">
      <w:pPr>
        <w:spacing w:line="440" w:lineRule="exact"/>
        <w:ind w:firstLine="480" w:firstLineChars="200"/>
        <w:rPr>
          <w:rFonts w:ascii="宋体" w:hAnsi="宋体" w:cs="宋体"/>
          <w:color w:val="auto"/>
          <w:sz w:val="24"/>
          <w:highlight w:val="yellow"/>
        </w:rPr>
      </w:pPr>
      <w:r>
        <w:rPr>
          <w:rFonts w:hint="eastAsia" w:ascii="宋体" w:hAnsi="宋体" w:cs="宋体"/>
          <w:color w:val="auto"/>
          <w:sz w:val="24"/>
        </w:rPr>
        <w:t>（1）本合同价款已包含安全文明施工费</w:t>
      </w:r>
      <w:r>
        <w:rPr>
          <w:rFonts w:hint="eastAsia" w:ascii="宋体" w:hAnsi="宋体" w:cs="宋体"/>
          <w:color w:val="auto"/>
          <w:sz w:val="24"/>
          <w:u w:val="single"/>
        </w:rPr>
        <w:t>19506.67</w:t>
      </w:r>
      <w:r>
        <w:rPr>
          <w:rFonts w:hint="eastAsia" w:ascii="宋体" w:hAnsi="宋体" w:cs="宋体"/>
          <w:color w:val="auto"/>
          <w:sz w:val="24"/>
        </w:rPr>
        <w:t>元</w:t>
      </w:r>
    </w:p>
    <w:p w14:paraId="44310390">
      <w:pPr>
        <w:spacing w:line="440" w:lineRule="exact"/>
        <w:ind w:firstLine="480" w:firstLineChars="200"/>
        <w:rPr>
          <w:rFonts w:ascii="宋体" w:hAnsi="宋体" w:cs="宋体"/>
          <w:color w:val="auto"/>
          <w:sz w:val="24"/>
        </w:rPr>
      </w:pPr>
      <w:r>
        <w:rPr>
          <w:rFonts w:hint="eastAsia" w:ascii="宋体" w:hAnsi="宋体" w:cs="宋体"/>
          <w:color w:val="auto"/>
          <w:sz w:val="24"/>
        </w:rPr>
        <w:t>（2）使用要求：专款专用。具体按《广西壮族自治区建设工程安全文明施工费使用管理细则》（桂建质〔2015〕16号）和南宁市相关规定执行。</w:t>
      </w:r>
    </w:p>
    <w:p w14:paraId="41F699C2">
      <w:pPr>
        <w:spacing w:line="440" w:lineRule="exact"/>
        <w:ind w:firstLine="420"/>
        <w:rPr>
          <w:rFonts w:ascii="宋体" w:hAnsi="宋体" w:cs="宋体"/>
          <w:color w:val="auto"/>
          <w:sz w:val="24"/>
        </w:rPr>
      </w:pPr>
      <w:r>
        <w:rPr>
          <w:rFonts w:hint="eastAsia" w:ascii="宋体" w:hAnsi="宋体" w:cs="宋体"/>
          <w:color w:val="auto"/>
          <w:sz w:val="24"/>
        </w:rPr>
        <w:t>（3）支付约定：合同签订后，承包人的请款申请经发包人审核通过后，自收到承包人合格发票之日起1</w:t>
      </w:r>
      <w:r>
        <w:rPr>
          <w:rFonts w:hint="eastAsia" w:ascii="宋体" w:hAnsi="宋体" w:cs="宋体"/>
          <w:color w:val="auto"/>
          <w:sz w:val="24"/>
          <w:lang w:val="en-US" w:eastAsia="zh-CN"/>
        </w:rPr>
        <w:t>0</w:t>
      </w:r>
      <w:r>
        <w:rPr>
          <w:rFonts w:hint="eastAsia" w:ascii="宋体" w:hAnsi="宋体" w:cs="宋体"/>
          <w:color w:val="auto"/>
          <w:sz w:val="24"/>
        </w:rPr>
        <w:t>个工作日内支付安全防护文明施工措施费的50%，工程竣工验收合格后支付至安全文明施工费总额的80%（含已支付的），工程结算审定后支付至安全文明施工费总额的100%（含已支付的）。</w:t>
      </w:r>
    </w:p>
    <w:p w14:paraId="008B2E63">
      <w:pPr>
        <w:spacing w:line="440" w:lineRule="exact"/>
        <w:ind w:firstLine="360" w:firstLineChars="150"/>
        <w:rPr>
          <w:rFonts w:ascii="宋体" w:hAnsi="宋体" w:cs="宋体"/>
          <w:color w:val="auto"/>
          <w:sz w:val="24"/>
        </w:rPr>
      </w:pPr>
      <w:r>
        <w:rPr>
          <w:rFonts w:hint="eastAsia" w:ascii="宋体" w:hAnsi="宋体" w:cs="宋体"/>
          <w:color w:val="auto"/>
          <w:sz w:val="24"/>
        </w:rPr>
        <w:t>（4）建设单位按规定将安全生产费用转入施工单位设立的指定账户。</w:t>
      </w:r>
    </w:p>
    <w:p w14:paraId="307F11CC">
      <w:pPr>
        <w:spacing w:line="440" w:lineRule="exact"/>
        <w:ind w:firstLine="360" w:firstLineChars="150"/>
        <w:rPr>
          <w:rFonts w:ascii="宋体" w:hAnsi="宋体" w:cs="宋体"/>
          <w:color w:val="auto"/>
          <w:sz w:val="24"/>
        </w:rPr>
      </w:pPr>
      <w:r>
        <w:rPr>
          <w:rFonts w:hint="eastAsia" w:ascii="宋体" w:hAnsi="宋体" w:cs="宋体"/>
          <w:color w:val="auto"/>
          <w:sz w:val="24"/>
        </w:rPr>
        <w:t>（5）工程施工完成后安全生产费用尚有结余的，结余部分由建设单位收回。</w:t>
      </w:r>
    </w:p>
    <w:p w14:paraId="628FA3F4">
      <w:pPr>
        <w:spacing w:line="440" w:lineRule="exact"/>
        <w:ind w:firstLine="420"/>
        <w:rPr>
          <w:rFonts w:ascii="宋体" w:hAnsi="宋体" w:cs="宋体"/>
          <w:color w:val="auto"/>
          <w:sz w:val="24"/>
        </w:rPr>
      </w:pPr>
      <w:r>
        <w:rPr>
          <w:rFonts w:hint="eastAsia" w:ascii="宋体" w:hAnsi="宋体" w:cs="宋体"/>
          <w:color w:val="auto"/>
          <w:sz w:val="24"/>
        </w:rPr>
        <w:t>（6）施工单位将安全生产费用使用情况定期报告建设单位和监理单位，并提供相应的材料接受建设行政主管部门对此事项监管。</w:t>
      </w:r>
    </w:p>
    <w:p w14:paraId="3ADFDF81">
      <w:pPr>
        <w:spacing w:line="440" w:lineRule="exact"/>
        <w:ind w:firstLine="420"/>
        <w:rPr>
          <w:rFonts w:ascii="宋体" w:hAnsi="宋体" w:cs="宋体"/>
          <w:color w:val="auto"/>
          <w:sz w:val="24"/>
          <w:highlight w:val="yellow"/>
        </w:rPr>
      </w:pPr>
      <w:r>
        <w:rPr>
          <w:rFonts w:hint="eastAsia" w:ascii="宋体" w:hAnsi="宋体" w:cs="宋体"/>
          <w:color w:val="auto"/>
          <w:sz w:val="24"/>
          <w:highlight w:val="yellow"/>
        </w:rPr>
        <w:t>（7）施工单位收取安全生产费用账号：</w:t>
      </w:r>
      <w:r>
        <w:rPr>
          <w:rFonts w:hint="eastAsia" w:ascii="宋体" w:hAnsi="宋体" w:cs="宋体"/>
          <w:color w:val="auto"/>
          <w:sz w:val="24"/>
          <w:highlight w:val="yellow"/>
          <w:u w:val="single"/>
        </w:rPr>
        <w:t xml:space="preserve"> </w:t>
      </w:r>
      <w:r>
        <w:rPr>
          <w:rFonts w:hint="eastAsia" w:ascii="宋体" w:hAnsi="宋体" w:cs="宋体"/>
          <w:color w:val="auto"/>
          <w:sz w:val="24"/>
          <w:highlight w:val="yellow"/>
          <w:u w:val="single"/>
          <w:lang w:val="en-US" w:eastAsia="zh-CN"/>
        </w:rPr>
        <w:t xml:space="preserve">            </w:t>
      </w:r>
      <w:r>
        <w:rPr>
          <w:rFonts w:hint="eastAsia" w:ascii="宋体" w:hAnsi="宋体" w:cs="宋体"/>
          <w:color w:val="auto"/>
          <w:sz w:val="24"/>
          <w:highlight w:val="yellow"/>
        </w:rPr>
        <w:t xml:space="preserve"> ，开户行：</w:t>
      </w:r>
      <w:r>
        <w:rPr>
          <w:rFonts w:hint="eastAsia" w:ascii="宋体" w:hAnsi="宋体" w:cs="宋体"/>
          <w:color w:val="auto"/>
          <w:sz w:val="24"/>
          <w:highlight w:val="yellow"/>
          <w:u w:val="single"/>
        </w:rPr>
        <w:t xml:space="preserve"> </w:t>
      </w:r>
      <w:r>
        <w:rPr>
          <w:rFonts w:hint="eastAsia" w:ascii="宋体" w:hAnsi="宋体" w:cs="宋体"/>
          <w:color w:val="auto"/>
          <w:sz w:val="24"/>
          <w:highlight w:val="yellow"/>
          <w:u w:val="single"/>
          <w:lang w:val="en-US" w:eastAsia="zh-CN"/>
        </w:rPr>
        <w:t xml:space="preserve">          </w:t>
      </w:r>
      <w:r>
        <w:rPr>
          <w:rFonts w:hint="eastAsia" w:ascii="宋体" w:hAnsi="宋体" w:cs="宋体"/>
          <w:color w:val="auto"/>
          <w:sz w:val="24"/>
          <w:highlight w:val="yellow"/>
        </w:rPr>
        <w:t xml:space="preserve"> </w:t>
      </w:r>
    </w:p>
    <w:p w14:paraId="2D1815EF">
      <w:pPr>
        <w:spacing w:line="440" w:lineRule="exact"/>
        <w:ind w:firstLine="420"/>
        <w:rPr>
          <w:rFonts w:ascii="宋体" w:hAnsi="宋体" w:cs="宋体"/>
          <w:color w:val="auto"/>
          <w:sz w:val="24"/>
        </w:rPr>
      </w:pPr>
      <w:r>
        <w:rPr>
          <w:rFonts w:hint="eastAsia" w:ascii="宋体" w:hAnsi="宋体" w:cs="宋体"/>
          <w:color w:val="auto"/>
          <w:sz w:val="24"/>
        </w:rPr>
        <w:t>6.1.5在工程建设过程中，发包人或监理人将不定期组织对承包人的安全管理进行检查，对未按合同要求执行和现场存在安全隐患问题等情况下达整改通知单，承包人未在指定期限内完成整改的，视为违约，发包人有权视情况按2000-20000元/次扣除违约金，且暂不支付进度款。</w:t>
      </w:r>
    </w:p>
    <w:p w14:paraId="72654CAA">
      <w:pPr>
        <w:spacing w:line="440" w:lineRule="exact"/>
        <w:ind w:firstLine="480" w:firstLineChars="200"/>
        <w:rPr>
          <w:rFonts w:ascii="宋体" w:hAnsi="宋体" w:cs="宋体"/>
          <w:color w:val="auto"/>
          <w:sz w:val="24"/>
        </w:rPr>
      </w:pPr>
      <w:r>
        <w:rPr>
          <w:rFonts w:hint="eastAsia" w:ascii="宋体" w:hAnsi="宋体" w:cs="宋体"/>
          <w:color w:val="auto"/>
          <w:sz w:val="24"/>
        </w:rPr>
        <w:t>6.</w:t>
      </w:r>
      <w:r>
        <w:rPr>
          <w:rFonts w:ascii="宋体" w:hAnsi="宋体" w:cs="宋体"/>
          <w:color w:val="auto"/>
          <w:sz w:val="24"/>
        </w:rPr>
        <w:t>2</w:t>
      </w:r>
      <w:r>
        <w:rPr>
          <w:rFonts w:hint="eastAsia" w:ascii="宋体" w:hAnsi="宋体" w:cs="宋体"/>
          <w:color w:val="auto"/>
          <w:sz w:val="24"/>
        </w:rPr>
        <w:t xml:space="preserve"> 环境保护</w:t>
      </w:r>
    </w:p>
    <w:p w14:paraId="467BBEF4">
      <w:pPr>
        <w:spacing w:line="440" w:lineRule="exact"/>
        <w:ind w:firstLine="480" w:firstLineChars="200"/>
        <w:rPr>
          <w:rFonts w:ascii="宋体" w:hAnsi="宋体" w:cs="宋体"/>
          <w:color w:val="auto"/>
          <w:sz w:val="24"/>
        </w:rPr>
      </w:pPr>
      <w:r>
        <w:rPr>
          <w:rFonts w:hint="eastAsia" w:ascii="宋体" w:hAnsi="宋体" w:cs="宋体"/>
          <w:color w:val="auto"/>
          <w:sz w:val="24"/>
        </w:rPr>
        <w:t>因施工需要，经发包人批准，由承包人办理有关施工场地交通、环卫和施工噪音管理等手续，费用由承包人负责。</w:t>
      </w:r>
    </w:p>
    <w:p w14:paraId="1842CDBC">
      <w:pPr>
        <w:spacing w:line="440" w:lineRule="exact"/>
        <w:ind w:firstLine="480" w:firstLineChars="200"/>
        <w:rPr>
          <w:rFonts w:ascii="宋体" w:hAnsi="宋体" w:cs="宋体"/>
          <w:color w:val="auto"/>
          <w:sz w:val="24"/>
        </w:rPr>
      </w:pPr>
      <w:r>
        <w:rPr>
          <w:rFonts w:hint="eastAsia" w:ascii="宋体" w:hAnsi="宋体" w:cs="宋体"/>
          <w:color w:val="auto"/>
          <w:sz w:val="24"/>
        </w:rPr>
        <w:t>经过城市道路的施工车辆，必须按交警、城管、运输等部门相关规定执行。由于施工车辆造成的道路、环境等污染，其责任和费用均由承包人承担。</w:t>
      </w:r>
    </w:p>
    <w:p w14:paraId="00D8902D">
      <w:pPr>
        <w:spacing w:line="440" w:lineRule="exact"/>
        <w:ind w:firstLine="482" w:firstLineChars="200"/>
        <w:rPr>
          <w:rFonts w:ascii="宋体" w:hAnsi="宋体" w:cs="宋体"/>
          <w:b/>
          <w:bCs/>
          <w:color w:val="auto"/>
          <w:sz w:val="24"/>
        </w:rPr>
      </w:pPr>
      <w:r>
        <w:rPr>
          <w:rFonts w:hint="eastAsia" w:ascii="宋体" w:hAnsi="宋体" w:cs="宋体"/>
          <w:b/>
          <w:bCs/>
          <w:color w:val="auto"/>
          <w:sz w:val="24"/>
        </w:rPr>
        <w:t>7.工期和进度</w:t>
      </w:r>
    </w:p>
    <w:p w14:paraId="16F1B797">
      <w:pPr>
        <w:spacing w:line="440" w:lineRule="exact"/>
        <w:ind w:firstLine="480" w:firstLineChars="200"/>
        <w:rPr>
          <w:rFonts w:ascii="宋体" w:hAnsi="宋体" w:cs="宋体"/>
          <w:color w:val="auto"/>
          <w:sz w:val="24"/>
        </w:rPr>
      </w:pPr>
      <w:r>
        <w:rPr>
          <w:rFonts w:hint="eastAsia" w:ascii="宋体" w:hAnsi="宋体" w:cs="宋体"/>
          <w:color w:val="auto"/>
          <w:sz w:val="24"/>
        </w:rPr>
        <w:t>7.1 施工组织设计</w:t>
      </w:r>
    </w:p>
    <w:p w14:paraId="7F7D3D0D">
      <w:pPr>
        <w:spacing w:line="440" w:lineRule="exact"/>
        <w:ind w:firstLine="480" w:firstLineChars="200"/>
        <w:rPr>
          <w:rFonts w:ascii="宋体" w:hAnsi="宋体" w:cs="宋体"/>
          <w:color w:val="auto"/>
          <w:sz w:val="24"/>
          <w:u w:val="single"/>
        </w:rPr>
      </w:pPr>
      <w:r>
        <w:rPr>
          <w:rFonts w:hint="eastAsia" w:ascii="宋体" w:hAnsi="宋体" w:cs="宋体"/>
          <w:color w:val="auto"/>
          <w:sz w:val="24"/>
        </w:rPr>
        <w:t>7.1.1 合同当事人约定的施工组织设计应包括的其他内容：</w:t>
      </w:r>
      <w:r>
        <w:rPr>
          <w:rFonts w:hint="eastAsia" w:ascii="宋体" w:hAnsi="宋体" w:cs="宋体"/>
          <w:color w:val="auto"/>
          <w:sz w:val="24"/>
          <w:u w:val="single"/>
        </w:rPr>
        <w:t>施工组织设计还应包括全部设备、材料、成品、半成品等需求供应进场计划，施工管理机构及劳动力组织，以及施工现场优化布置，危险性较大的分部分项工程的专项施工方案等。</w:t>
      </w:r>
    </w:p>
    <w:p w14:paraId="6FD85C83">
      <w:pPr>
        <w:spacing w:line="440" w:lineRule="exact"/>
        <w:ind w:firstLine="480" w:firstLineChars="200"/>
        <w:rPr>
          <w:rFonts w:ascii="宋体" w:hAnsi="宋体" w:cs="宋体"/>
          <w:color w:val="auto"/>
          <w:sz w:val="24"/>
        </w:rPr>
      </w:pPr>
      <w:r>
        <w:rPr>
          <w:rFonts w:hint="eastAsia" w:ascii="宋体" w:hAnsi="宋体" w:cs="宋体"/>
          <w:color w:val="auto"/>
          <w:sz w:val="24"/>
        </w:rPr>
        <w:t>7.1.2 施工组织设计的提交和修改</w:t>
      </w:r>
    </w:p>
    <w:p w14:paraId="61BBCC77">
      <w:pPr>
        <w:spacing w:line="440" w:lineRule="exact"/>
        <w:ind w:firstLine="480" w:firstLineChars="200"/>
        <w:rPr>
          <w:rFonts w:ascii="宋体" w:hAnsi="宋体" w:cs="宋体"/>
          <w:color w:val="auto"/>
          <w:sz w:val="24"/>
          <w:u w:val="single"/>
        </w:rPr>
      </w:pPr>
      <w:r>
        <w:rPr>
          <w:rFonts w:hint="eastAsia" w:ascii="宋体" w:hAnsi="宋体" w:cs="宋体"/>
          <w:color w:val="auto"/>
          <w:sz w:val="24"/>
        </w:rPr>
        <w:t>承包人提交详细施工组织设计的期限：</w:t>
      </w:r>
      <w:r>
        <w:rPr>
          <w:rFonts w:hint="eastAsia" w:ascii="宋体" w:hAnsi="宋体" w:cs="宋体"/>
          <w:color w:val="auto"/>
          <w:sz w:val="24"/>
          <w:u w:val="single"/>
        </w:rPr>
        <w:t>合同签订后1日内，但不得晚于发包人发出开工通知中载明的开工日期前3日，承包人应提交详细的施工组织设计，报发包人及监理人审批；承包人不按时送审符合要求的施工组织设计，造成发包人无法判断工程进展顺利与否，发包人可拒付相应部分工程进度款，责任由承包人承担。</w:t>
      </w:r>
    </w:p>
    <w:p w14:paraId="76BA157D">
      <w:pPr>
        <w:spacing w:line="440" w:lineRule="exact"/>
        <w:ind w:firstLine="480" w:firstLineChars="200"/>
        <w:rPr>
          <w:rFonts w:ascii="宋体" w:hAnsi="宋体" w:cs="宋体"/>
          <w:color w:val="auto"/>
          <w:sz w:val="24"/>
          <w:u w:val="single"/>
        </w:rPr>
      </w:pPr>
      <w:r>
        <w:rPr>
          <w:rFonts w:hint="eastAsia" w:ascii="宋体" w:hAnsi="宋体" w:cs="宋体"/>
          <w:color w:val="auto"/>
          <w:sz w:val="24"/>
        </w:rPr>
        <w:t>发包人和监理人在收到详细的施工组织设计后确认或提出修改意见的期限：</w:t>
      </w:r>
      <w:r>
        <w:rPr>
          <w:rFonts w:hint="eastAsia" w:ascii="宋体" w:hAnsi="宋体" w:cs="宋体"/>
          <w:color w:val="auto"/>
          <w:sz w:val="24"/>
          <w:u w:val="single"/>
        </w:rPr>
        <w:t>发包人接到监理报送的详细施工组织设计（各工期节点不得迟于合同工期节点规定）后3日内组织审核批准或提出修改意见。</w:t>
      </w:r>
    </w:p>
    <w:p w14:paraId="01EE794F">
      <w:pPr>
        <w:spacing w:line="440" w:lineRule="exact"/>
        <w:ind w:firstLine="480" w:firstLineChars="200"/>
        <w:rPr>
          <w:rFonts w:ascii="宋体" w:hAnsi="宋体" w:cs="宋体"/>
          <w:color w:val="auto"/>
          <w:sz w:val="24"/>
        </w:rPr>
      </w:pPr>
      <w:r>
        <w:rPr>
          <w:rFonts w:hint="eastAsia" w:ascii="宋体" w:hAnsi="宋体" w:cs="宋体"/>
          <w:color w:val="auto"/>
          <w:sz w:val="24"/>
        </w:rPr>
        <w:t>7.2 施工进度计划</w:t>
      </w:r>
    </w:p>
    <w:p w14:paraId="0BA27CA0">
      <w:pPr>
        <w:spacing w:line="440" w:lineRule="exact"/>
        <w:ind w:firstLine="480" w:firstLineChars="200"/>
        <w:rPr>
          <w:rFonts w:ascii="宋体" w:hAnsi="宋体" w:cs="宋体"/>
          <w:color w:val="auto"/>
          <w:sz w:val="24"/>
        </w:rPr>
      </w:pPr>
      <w:r>
        <w:rPr>
          <w:rFonts w:hint="eastAsia" w:ascii="宋体" w:hAnsi="宋体" w:cs="宋体"/>
          <w:color w:val="auto"/>
          <w:sz w:val="24"/>
        </w:rPr>
        <w:t>7.2.</w:t>
      </w:r>
      <w:r>
        <w:rPr>
          <w:rFonts w:ascii="宋体" w:hAnsi="宋体" w:cs="宋体"/>
          <w:color w:val="auto"/>
          <w:sz w:val="24"/>
        </w:rPr>
        <w:t>1</w:t>
      </w:r>
      <w:r>
        <w:rPr>
          <w:rFonts w:hint="eastAsia" w:ascii="宋体" w:hAnsi="宋体" w:cs="宋体"/>
          <w:color w:val="auto"/>
          <w:sz w:val="24"/>
        </w:rPr>
        <w:t xml:space="preserve"> 施工进度计划的修订</w:t>
      </w:r>
    </w:p>
    <w:p w14:paraId="065F68BA">
      <w:pPr>
        <w:spacing w:line="440" w:lineRule="exact"/>
        <w:ind w:firstLine="480" w:firstLineChars="200"/>
        <w:rPr>
          <w:rFonts w:ascii="宋体" w:hAnsi="宋体" w:cs="宋体"/>
          <w:color w:val="auto"/>
          <w:sz w:val="24"/>
        </w:rPr>
      </w:pPr>
      <w:r>
        <w:rPr>
          <w:rFonts w:hint="eastAsia" w:ascii="宋体" w:hAnsi="宋体" w:cs="宋体"/>
          <w:color w:val="auto"/>
          <w:sz w:val="24"/>
        </w:rPr>
        <w:t>发包人和监理人在收到修订的施工进度计划后确认或提出修改意见的期限：</w:t>
      </w:r>
      <w:r>
        <w:rPr>
          <w:rFonts w:hint="eastAsia" w:ascii="宋体" w:hAnsi="宋体" w:cs="宋体"/>
          <w:color w:val="auto"/>
          <w:sz w:val="24"/>
          <w:u w:val="single"/>
        </w:rPr>
        <w:t xml:space="preserve">收到承包人报送的相关进度计划和施工方案说明之日起3日内 </w:t>
      </w:r>
      <w:r>
        <w:rPr>
          <w:rFonts w:hint="eastAsia" w:ascii="宋体" w:hAnsi="宋体" w:cs="宋体"/>
          <w:color w:val="auto"/>
          <w:sz w:val="24"/>
        </w:rPr>
        <w:t>。</w:t>
      </w:r>
    </w:p>
    <w:p w14:paraId="43ECEFE2">
      <w:pPr>
        <w:pStyle w:val="27"/>
        <w:spacing w:line="400" w:lineRule="exact"/>
        <w:ind w:firstLine="480" w:firstLineChars="200"/>
        <w:jc w:val="left"/>
        <w:rPr>
          <w:rFonts w:ascii="宋体" w:hAnsi="宋体" w:cs="宋体"/>
          <w:color w:val="auto"/>
          <w:sz w:val="24"/>
          <w:szCs w:val="24"/>
        </w:rPr>
      </w:pPr>
      <w:r>
        <w:rPr>
          <w:rFonts w:ascii="宋体" w:hAnsi="宋体" w:cs="宋体"/>
          <w:color w:val="auto"/>
          <w:sz w:val="24"/>
          <w:szCs w:val="24"/>
        </w:rPr>
        <w:t>7.2.2 承包人须按经批准的总体进度计划、月度计划组织施工，工程实际进度与经确认的进度计划不符时，承包人应按监理单位或发包人的要求提出改进措施或调整进度计划，并获得发包人审批同意方可执行。若调整进度计划未报审，视为承包人擅自调整计划，处承包人5000 元/次违约金。承包人也无权就改进措施提出追加合同价款。</w:t>
      </w:r>
    </w:p>
    <w:p w14:paraId="0A9B762B">
      <w:pPr>
        <w:spacing w:line="440" w:lineRule="exact"/>
        <w:ind w:firstLine="480" w:firstLineChars="200"/>
        <w:rPr>
          <w:rFonts w:ascii="宋体" w:hAnsi="宋体" w:cs="宋体"/>
          <w:color w:val="auto"/>
          <w:sz w:val="24"/>
        </w:rPr>
      </w:pPr>
      <w:r>
        <w:rPr>
          <w:rFonts w:ascii="宋体" w:hAnsi="宋体" w:cs="宋体"/>
          <w:color w:val="auto"/>
          <w:sz w:val="24"/>
        </w:rPr>
        <w:t>7.2.3 当实际进度滞后于计划进度，必须采取一切合理的措施追赶进度，所增加费用由承包人自己承担。若实际进度滞后于计划进度 7 天以上，发包人书面通知承包人采取措施加快进度</w:t>
      </w:r>
      <w:r>
        <w:rPr>
          <w:rFonts w:hint="eastAsia" w:ascii="宋体" w:hAnsi="宋体" w:cs="宋体"/>
          <w:color w:val="auto"/>
          <w:sz w:val="24"/>
        </w:rPr>
        <w:t>。</w:t>
      </w:r>
    </w:p>
    <w:p w14:paraId="252DE420">
      <w:pPr>
        <w:spacing w:line="440" w:lineRule="exact"/>
        <w:ind w:firstLine="480" w:firstLineChars="200"/>
        <w:rPr>
          <w:rFonts w:ascii="宋体" w:hAnsi="宋体" w:cs="宋体"/>
          <w:color w:val="auto"/>
          <w:sz w:val="24"/>
        </w:rPr>
      </w:pPr>
      <w:r>
        <w:rPr>
          <w:rFonts w:hint="eastAsia" w:ascii="宋体" w:hAnsi="宋体" w:cs="宋体"/>
          <w:color w:val="auto"/>
          <w:sz w:val="24"/>
        </w:rPr>
        <w:t>7.3 开工</w:t>
      </w:r>
    </w:p>
    <w:p w14:paraId="51BF2FAA">
      <w:pPr>
        <w:spacing w:line="440" w:lineRule="exact"/>
        <w:ind w:firstLine="480" w:firstLineChars="200"/>
        <w:rPr>
          <w:rFonts w:ascii="宋体" w:hAnsi="宋体" w:cs="宋体"/>
          <w:color w:val="auto"/>
          <w:sz w:val="24"/>
        </w:rPr>
      </w:pPr>
      <w:r>
        <w:rPr>
          <w:rFonts w:hint="eastAsia" w:ascii="宋体" w:hAnsi="宋体" w:cs="宋体"/>
          <w:color w:val="auto"/>
          <w:sz w:val="24"/>
        </w:rPr>
        <w:t>7.3.1 开工准备</w:t>
      </w:r>
    </w:p>
    <w:p w14:paraId="1C54F3B5">
      <w:pPr>
        <w:spacing w:line="440" w:lineRule="exact"/>
        <w:ind w:firstLine="480" w:firstLineChars="200"/>
        <w:rPr>
          <w:rFonts w:ascii="宋体" w:hAnsi="宋体" w:cs="宋体"/>
          <w:color w:val="auto"/>
          <w:sz w:val="24"/>
        </w:rPr>
      </w:pPr>
      <w:r>
        <w:rPr>
          <w:rFonts w:hint="eastAsia" w:ascii="宋体" w:hAnsi="宋体" w:cs="宋体"/>
          <w:color w:val="auto"/>
          <w:sz w:val="24"/>
        </w:rPr>
        <w:t>关于承包人提交工程开工报审表的期限：</w:t>
      </w:r>
      <w:r>
        <w:rPr>
          <w:rFonts w:hint="eastAsia" w:ascii="宋体" w:hAnsi="宋体" w:cs="宋体"/>
          <w:color w:val="auto"/>
          <w:sz w:val="24"/>
          <w:u w:val="single"/>
        </w:rPr>
        <w:t>开工前3天</w:t>
      </w:r>
      <w:r>
        <w:rPr>
          <w:rFonts w:hint="eastAsia" w:ascii="宋体" w:hAnsi="宋体" w:cs="宋体"/>
          <w:color w:val="auto"/>
          <w:sz w:val="24"/>
        </w:rPr>
        <w:t>。</w:t>
      </w:r>
    </w:p>
    <w:p w14:paraId="0F8055B9">
      <w:pPr>
        <w:spacing w:line="440" w:lineRule="exact"/>
        <w:ind w:firstLine="480" w:firstLineChars="200"/>
        <w:rPr>
          <w:rFonts w:ascii="宋体" w:hAnsi="宋体" w:cs="宋体"/>
          <w:color w:val="auto"/>
          <w:sz w:val="24"/>
        </w:rPr>
      </w:pPr>
      <w:r>
        <w:rPr>
          <w:rFonts w:hint="eastAsia" w:ascii="宋体" w:hAnsi="宋体" w:cs="宋体"/>
          <w:color w:val="auto"/>
          <w:sz w:val="24"/>
        </w:rPr>
        <w:t>关于发包人应完成的其他开工准备工作及期限：</w:t>
      </w:r>
      <w:r>
        <w:rPr>
          <w:rFonts w:hint="eastAsia" w:ascii="宋体" w:hAnsi="宋体" w:cs="宋体"/>
          <w:color w:val="auto"/>
          <w:sz w:val="24"/>
          <w:u w:val="single"/>
        </w:rPr>
        <w:t xml:space="preserve"> /</w:t>
      </w:r>
      <w:r>
        <w:rPr>
          <w:rFonts w:hint="eastAsia" w:ascii="宋体" w:hAnsi="宋体" w:cs="宋体"/>
          <w:color w:val="auto"/>
          <w:sz w:val="24"/>
        </w:rPr>
        <w:t>。</w:t>
      </w:r>
    </w:p>
    <w:p w14:paraId="406BF1F2">
      <w:pPr>
        <w:spacing w:line="440" w:lineRule="exact"/>
        <w:ind w:firstLine="480" w:firstLineChars="200"/>
        <w:rPr>
          <w:rFonts w:ascii="宋体" w:hAnsi="宋体" w:cs="宋体"/>
          <w:color w:val="auto"/>
          <w:sz w:val="24"/>
        </w:rPr>
      </w:pPr>
      <w:r>
        <w:rPr>
          <w:rFonts w:hint="eastAsia" w:ascii="宋体" w:hAnsi="宋体" w:cs="宋体"/>
          <w:color w:val="auto"/>
          <w:sz w:val="24"/>
        </w:rPr>
        <w:t>关于承包人应完成的其他开工准备工作及期限：</w:t>
      </w:r>
      <w:r>
        <w:rPr>
          <w:rFonts w:hint="eastAsia" w:ascii="宋体" w:hAnsi="宋体" w:cs="宋体"/>
          <w:color w:val="auto"/>
          <w:sz w:val="24"/>
          <w:u w:val="single"/>
        </w:rPr>
        <w:t>/</w:t>
      </w:r>
      <w:r>
        <w:rPr>
          <w:rFonts w:hint="eastAsia" w:ascii="宋体" w:hAnsi="宋体" w:cs="宋体"/>
          <w:color w:val="auto"/>
          <w:sz w:val="24"/>
        </w:rPr>
        <w:t>。</w:t>
      </w:r>
    </w:p>
    <w:p w14:paraId="6FFDB850">
      <w:pPr>
        <w:spacing w:line="440" w:lineRule="exact"/>
        <w:ind w:firstLine="480" w:firstLineChars="200"/>
        <w:rPr>
          <w:rFonts w:ascii="宋体" w:hAnsi="宋体" w:cs="宋体"/>
          <w:color w:val="auto"/>
          <w:sz w:val="24"/>
        </w:rPr>
      </w:pPr>
      <w:r>
        <w:rPr>
          <w:rFonts w:hint="eastAsia" w:ascii="宋体" w:hAnsi="宋体" w:cs="宋体"/>
          <w:color w:val="auto"/>
          <w:sz w:val="24"/>
        </w:rPr>
        <w:t>7.3.2开工通知</w:t>
      </w:r>
    </w:p>
    <w:p w14:paraId="271D9047">
      <w:pPr>
        <w:spacing w:line="440" w:lineRule="exact"/>
        <w:ind w:firstLine="480" w:firstLineChars="200"/>
        <w:rPr>
          <w:rFonts w:ascii="宋体" w:hAnsi="宋体" w:cs="宋体"/>
          <w:color w:val="auto"/>
          <w:sz w:val="24"/>
        </w:rPr>
      </w:pPr>
      <w:r>
        <w:rPr>
          <w:rFonts w:hint="eastAsia" w:ascii="宋体" w:hAnsi="宋体" w:cs="宋体"/>
          <w:color w:val="auto"/>
          <w:sz w:val="24"/>
        </w:rPr>
        <w:t>因发包人原因造成监理人未能在计划开工日期之日起</w:t>
      </w:r>
      <w:r>
        <w:rPr>
          <w:rFonts w:hint="eastAsia" w:ascii="宋体" w:hAnsi="宋体" w:cs="宋体"/>
          <w:color w:val="auto"/>
          <w:sz w:val="24"/>
          <w:u w:val="single"/>
        </w:rPr>
        <w:t>60</w:t>
      </w:r>
      <w:r>
        <w:rPr>
          <w:rFonts w:hint="eastAsia" w:ascii="宋体" w:hAnsi="宋体" w:cs="宋体"/>
          <w:color w:val="auto"/>
          <w:sz w:val="24"/>
        </w:rPr>
        <w:t>日内发出开工通知的，承包人有权提出价格调整和（或）工期顺延要求，或者解除合同。</w:t>
      </w:r>
    </w:p>
    <w:p w14:paraId="10F23427">
      <w:pPr>
        <w:spacing w:line="440" w:lineRule="exact"/>
        <w:ind w:firstLine="480" w:firstLineChars="200"/>
        <w:rPr>
          <w:rFonts w:ascii="宋体" w:hAnsi="宋体" w:cs="宋体"/>
          <w:color w:val="auto"/>
          <w:sz w:val="24"/>
        </w:rPr>
      </w:pPr>
      <w:r>
        <w:rPr>
          <w:rFonts w:hint="eastAsia" w:ascii="宋体" w:hAnsi="宋体" w:cs="宋体"/>
          <w:color w:val="auto"/>
          <w:sz w:val="24"/>
        </w:rPr>
        <w:t>7.4 测量放线</w:t>
      </w:r>
    </w:p>
    <w:p w14:paraId="48242ACB">
      <w:pPr>
        <w:spacing w:line="440" w:lineRule="exact"/>
        <w:ind w:firstLine="480" w:firstLineChars="200"/>
        <w:rPr>
          <w:rFonts w:ascii="宋体" w:hAnsi="宋体" w:cs="宋体"/>
          <w:color w:val="auto"/>
          <w:sz w:val="24"/>
        </w:rPr>
      </w:pPr>
      <w:r>
        <w:rPr>
          <w:rFonts w:hint="eastAsia" w:ascii="宋体" w:hAnsi="宋体" w:cs="宋体"/>
          <w:color w:val="auto"/>
          <w:sz w:val="24"/>
        </w:rPr>
        <w:t>7.4.1 发包人通过监理人向承包人提供测量基准点、基准线和水准点及其书面资料的期限：</w:t>
      </w:r>
      <w:r>
        <w:rPr>
          <w:rFonts w:hint="eastAsia" w:ascii="宋体" w:hAnsi="宋体" w:cs="宋体"/>
          <w:color w:val="auto"/>
          <w:sz w:val="24"/>
          <w:u w:val="single"/>
        </w:rPr>
        <w:t>/</w:t>
      </w:r>
      <w:r>
        <w:rPr>
          <w:rFonts w:hint="eastAsia" w:ascii="宋体" w:hAnsi="宋体" w:cs="宋体"/>
          <w:color w:val="auto"/>
          <w:sz w:val="24"/>
        </w:rPr>
        <w:t>。</w:t>
      </w:r>
    </w:p>
    <w:p w14:paraId="31D56476">
      <w:pPr>
        <w:spacing w:line="440" w:lineRule="exact"/>
        <w:ind w:firstLine="480" w:firstLineChars="200"/>
        <w:rPr>
          <w:rFonts w:ascii="宋体" w:hAnsi="宋体" w:cs="宋体"/>
          <w:color w:val="auto"/>
          <w:sz w:val="24"/>
        </w:rPr>
      </w:pPr>
      <w:r>
        <w:rPr>
          <w:rFonts w:hint="eastAsia" w:ascii="宋体" w:hAnsi="宋体" w:cs="宋体"/>
          <w:color w:val="auto"/>
          <w:sz w:val="24"/>
        </w:rPr>
        <w:t>7.5 工期延误</w:t>
      </w:r>
    </w:p>
    <w:p w14:paraId="4ECFE365">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7.5.1 因发包人原因导致工期延误</w:t>
      </w:r>
    </w:p>
    <w:p w14:paraId="400655B9">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因发包人原因导致工期延误的其他情形：</w:t>
      </w:r>
      <w:r>
        <w:rPr>
          <w:rFonts w:hint="eastAsia" w:ascii="宋体" w:hAnsi="宋体" w:cs="宋体"/>
          <w:color w:val="auto"/>
          <w:sz w:val="24"/>
          <w:highlight w:val="none"/>
          <w:u w:val="single"/>
        </w:rPr>
        <w:t>①重大图纸变更影响关键线路工序施工；②不可抗力事件</w:t>
      </w:r>
      <w:r>
        <w:rPr>
          <w:rFonts w:hint="eastAsia" w:ascii="宋体" w:hAnsi="宋体" w:cs="宋体"/>
          <w:color w:val="auto"/>
          <w:sz w:val="24"/>
          <w:highlight w:val="none"/>
        </w:rPr>
        <w:t>。</w:t>
      </w:r>
    </w:p>
    <w:p w14:paraId="3E9F13F8">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7.5.2 因承包人原因导致工期延误</w:t>
      </w:r>
    </w:p>
    <w:p w14:paraId="7DC71F94">
      <w:pPr>
        <w:spacing w:line="440" w:lineRule="exact"/>
        <w:ind w:firstLine="480" w:firstLineChars="200"/>
        <w:rPr>
          <w:rFonts w:ascii="宋体" w:hAnsi="宋体" w:cs="宋体"/>
          <w:color w:val="auto"/>
          <w:sz w:val="24"/>
          <w:highlight w:val="none"/>
        </w:rPr>
      </w:pPr>
      <w:bookmarkStart w:id="20" w:name="auto_fouce_23"/>
      <w:r>
        <w:rPr>
          <w:rFonts w:hint="eastAsia" w:ascii="宋体" w:hAnsi="宋体" w:cs="宋体"/>
          <w:color w:val="auto"/>
          <w:sz w:val="24"/>
          <w:highlight w:val="none"/>
        </w:rPr>
        <w:t>因承包人原因造成工期延误，逾期竣工违约金的计算方法为：</w:t>
      </w:r>
      <w:r>
        <w:rPr>
          <w:rFonts w:hint="eastAsia" w:ascii="宋体" w:hAnsi="宋体" w:cs="宋体"/>
          <w:color w:val="auto"/>
          <w:sz w:val="24"/>
          <w:highlight w:val="none"/>
          <w:u w:val="single"/>
        </w:rPr>
        <w:t>本合同暂计合同总价的日千分之一</w:t>
      </w:r>
      <w:r>
        <w:rPr>
          <w:rFonts w:hint="eastAsia" w:ascii="宋体" w:hAnsi="宋体" w:cs="宋体"/>
          <w:color w:val="auto"/>
          <w:sz w:val="24"/>
          <w:highlight w:val="none"/>
        </w:rPr>
        <w:t>每日。</w:t>
      </w:r>
      <w:bookmarkEnd w:id="20"/>
    </w:p>
    <w:p w14:paraId="26841BB0">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因承包人原因造成工期延误，逾期竣工违约金的上限：签约合同价格（扣除暂列金、暂估价及甲供材）的30%。</w:t>
      </w:r>
    </w:p>
    <w:p w14:paraId="3B02BD9C">
      <w:pPr>
        <w:spacing w:line="440" w:lineRule="exact"/>
        <w:ind w:firstLine="480" w:firstLineChars="200"/>
        <w:rPr>
          <w:rFonts w:ascii="宋体" w:hAnsi="宋体" w:cs="宋体"/>
          <w:color w:val="auto"/>
          <w:sz w:val="24"/>
        </w:rPr>
      </w:pPr>
      <w:r>
        <w:rPr>
          <w:rFonts w:hint="eastAsia" w:ascii="宋体" w:hAnsi="宋体" w:cs="宋体"/>
          <w:color w:val="auto"/>
          <w:sz w:val="24"/>
        </w:rPr>
        <w:t>7.6 不利物质条件</w:t>
      </w:r>
    </w:p>
    <w:p w14:paraId="65EDEC00">
      <w:pPr>
        <w:spacing w:line="440" w:lineRule="exact"/>
        <w:ind w:firstLine="480" w:firstLineChars="200"/>
        <w:rPr>
          <w:rFonts w:ascii="宋体" w:hAnsi="宋体" w:cs="宋体"/>
          <w:color w:val="auto"/>
          <w:sz w:val="24"/>
        </w:rPr>
      </w:pPr>
      <w:r>
        <w:rPr>
          <w:rFonts w:hint="eastAsia" w:ascii="宋体" w:hAnsi="宋体" w:cs="宋体"/>
          <w:color w:val="auto"/>
          <w:sz w:val="24"/>
        </w:rPr>
        <w:t>不利物质条件的其他情形和有关约定：</w:t>
      </w:r>
      <w:r>
        <w:rPr>
          <w:rFonts w:hint="eastAsia" w:ascii="宋体" w:hAnsi="宋体" w:cs="宋体"/>
          <w:color w:val="auto"/>
          <w:sz w:val="24"/>
          <w:u w:val="single"/>
        </w:rPr>
        <w:t>无</w:t>
      </w:r>
      <w:r>
        <w:rPr>
          <w:rFonts w:hint="eastAsia" w:ascii="宋体" w:hAnsi="宋体" w:cs="宋体"/>
          <w:color w:val="auto"/>
          <w:sz w:val="24"/>
        </w:rPr>
        <w:t>。</w:t>
      </w:r>
    </w:p>
    <w:p w14:paraId="1413905F">
      <w:pPr>
        <w:spacing w:line="440" w:lineRule="exact"/>
        <w:ind w:firstLine="480" w:firstLineChars="200"/>
        <w:rPr>
          <w:rFonts w:ascii="宋体" w:hAnsi="宋体" w:cs="宋体"/>
          <w:color w:val="auto"/>
          <w:sz w:val="24"/>
        </w:rPr>
      </w:pPr>
      <w:r>
        <w:rPr>
          <w:rFonts w:hint="eastAsia" w:ascii="宋体" w:hAnsi="宋体" w:cs="宋体"/>
          <w:color w:val="auto"/>
          <w:sz w:val="24"/>
        </w:rPr>
        <w:t>7.7 异常恶劣的气候条件</w:t>
      </w:r>
    </w:p>
    <w:p w14:paraId="37B0D036">
      <w:pPr>
        <w:spacing w:line="440" w:lineRule="exact"/>
        <w:ind w:firstLine="480" w:firstLineChars="200"/>
        <w:rPr>
          <w:rFonts w:ascii="宋体" w:hAnsi="宋体" w:cs="宋体"/>
          <w:color w:val="auto"/>
          <w:sz w:val="24"/>
        </w:rPr>
      </w:pPr>
      <w:r>
        <w:rPr>
          <w:rFonts w:hint="eastAsia" w:ascii="宋体" w:hAnsi="宋体" w:cs="宋体"/>
          <w:color w:val="auto"/>
          <w:sz w:val="24"/>
        </w:rPr>
        <w:t>发包人和承包人同意以下情形视为异常恶劣的气候条件：</w:t>
      </w:r>
    </w:p>
    <w:p w14:paraId="7007BD63">
      <w:pPr>
        <w:spacing w:line="440" w:lineRule="exact"/>
        <w:ind w:firstLine="480" w:firstLineChars="200"/>
        <w:rPr>
          <w:rFonts w:ascii="宋体" w:hAnsi="宋体" w:cs="宋体"/>
          <w:color w:val="auto"/>
          <w:sz w:val="24"/>
          <w:u w:val="single"/>
        </w:rPr>
      </w:pPr>
      <w:r>
        <w:rPr>
          <w:rFonts w:hint="eastAsia" w:ascii="宋体" w:hAnsi="宋体" w:cs="宋体"/>
          <w:color w:val="auto"/>
          <w:sz w:val="24"/>
          <w:u w:val="single"/>
        </w:rPr>
        <w:t>（1）50年一遇的最大降水（雪）量，最高（低）温度等，以当地气象部门发布的标准为准；</w:t>
      </w:r>
    </w:p>
    <w:p w14:paraId="2A46DC90">
      <w:pPr>
        <w:spacing w:line="440" w:lineRule="exact"/>
        <w:ind w:firstLine="480" w:firstLineChars="200"/>
        <w:rPr>
          <w:rFonts w:ascii="宋体" w:hAnsi="宋体" w:cs="宋体"/>
          <w:color w:val="auto"/>
          <w:sz w:val="24"/>
          <w:u w:val="single"/>
        </w:rPr>
      </w:pPr>
      <w:r>
        <w:rPr>
          <w:rFonts w:hint="eastAsia" w:ascii="宋体" w:hAnsi="宋体" w:cs="宋体"/>
          <w:color w:val="auto"/>
          <w:sz w:val="24"/>
          <w:u w:val="single"/>
        </w:rPr>
        <w:t>（2）“异常恶劣的气候条件”指以月计的某个时期的恶劣气候比当地气象部门多年的统计资料，比50年一遇频率计算的平均气候还要恶劣而引起的工程延误，由监理工程师根据承包人提交的证明予以认定。</w:t>
      </w:r>
    </w:p>
    <w:p w14:paraId="5C373791">
      <w:pPr>
        <w:spacing w:line="440" w:lineRule="exact"/>
        <w:ind w:firstLine="480" w:firstLineChars="200"/>
        <w:rPr>
          <w:rFonts w:ascii="宋体" w:hAnsi="宋体" w:cs="宋体"/>
          <w:color w:val="auto"/>
          <w:sz w:val="24"/>
        </w:rPr>
      </w:pPr>
      <w:r>
        <w:rPr>
          <w:rFonts w:hint="eastAsia" w:ascii="宋体" w:hAnsi="宋体" w:cs="宋体"/>
          <w:color w:val="auto"/>
          <w:sz w:val="24"/>
        </w:rPr>
        <w:t>7.</w:t>
      </w:r>
      <w:r>
        <w:rPr>
          <w:rFonts w:ascii="宋体" w:hAnsi="宋体" w:cs="宋体"/>
          <w:color w:val="auto"/>
          <w:sz w:val="24"/>
        </w:rPr>
        <w:t>8</w:t>
      </w:r>
      <w:r>
        <w:rPr>
          <w:rFonts w:hint="eastAsia" w:ascii="宋体" w:hAnsi="宋体" w:cs="宋体"/>
          <w:color w:val="auto"/>
          <w:sz w:val="24"/>
        </w:rPr>
        <w:t xml:space="preserve"> 提前竣工的奖励</w:t>
      </w:r>
    </w:p>
    <w:p w14:paraId="7690BDB3">
      <w:pPr>
        <w:spacing w:line="440" w:lineRule="exact"/>
        <w:ind w:firstLine="480" w:firstLineChars="200"/>
        <w:rPr>
          <w:rFonts w:ascii="宋体" w:hAnsi="宋体" w:cs="宋体"/>
          <w:color w:val="auto"/>
          <w:sz w:val="24"/>
        </w:rPr>
      </w:pPr>
      <w:r>
        <w:rPr>
          <w:rFonts w:hint="eastAsia" w:ascii="宋体" w:hAnsi="宋体" w:cs="宋体"/>
          <w:color w:val="auto"/>
          <w:sz w:val="24"/>
        </w:rPr>
        <w:t>7.</w:t>
      </w:r>
      <w:r>
        <w:rPr>
          <w:rFonts w:ascii="宋体" w:hAnsi="宋体" w:cs="宋体"/>
          <w:color w:val="auto"/>
          <w:sz w:val="24"/>
        </w:rPr>
        <w:t>8</w:t>
      </w:r>
      <w:r>
        <w:rPr>
          <w:rFonts w:hint="eastAsia" w:ascii="宋体" w:hAnsi="宋体" w:cs="宋体"/>
          <w:color w:val="auto"/>
          <w:sz w:val="24"/>
        </w:rPr>
        <w:t>.</w:t>
      </w:r>
      <w:r>
        <w:rPr>
          <w:rFonts w:ascii="宋体" w:hAnsi="宋体" w:cs="宋体"/>
          <w:color w:val="auto"/>
          <w:sz w:val="24"/>
        </w:rPr>
        <w:t>1</w:t>
      </w:r>
      <w:r>
        <w:rPr>
          <w:rFonts w:hint="eastAsia" w:ascii="宋体" w:hAnsi="宋体" w:cs="宋体"/>
          <w:color w:val="auto"/>
          <w:sz w:val="24"/>
        </w:rPr>
        <w:t xml:space="preserve"> 提前竣工的奖励：</w:t>
      </w:r>
      <w:r>
        <w:rPr>
          <w:rFonts w:hint="eastAsia" w:ascii="宋体" w:hAnsi="宋体" w:cs="宋体"/>
          <w:color w:val="auto"/>
          <w:sz w:val="24"/>
          <w:u w:val="single"/>
        </w:rPr>
        <w:t xml:space="preserve">     无      </w:t>
      </w:r>
      <w:r>
        <w:rPr>
          <w:rFonts w:hint="eastAsia" w:ascii="宋体" w:hAnsi="宋体" w:cs="宋体"/>
          <w:color w:val="auto"/>
          <w:sz w:val="24"/>
        </w:rPr>
        <w:t>。</w:t>
      </w:r>
    </w:p>
    <w:p w14:paraId="253DA517">
      <w:pPr>
        <w:spacing w:line="440" w:lineRule="exact"/>
        <w:ind w:firstLine="482" w:firstLineChars="200"/>
        <w:rPr>
          <w:rFonts w:ascii="宋体" w:hAnsi="宋体" w:cs="宋体"/>
          <w:b/>
          <w:bCs/>
          <w:color w:val="auto"/>
          <w:sz w:val="24"/>
        </w:rPr>
      </w:pPr>
      <w:r>
        <w:rPr>
          <w:rFonts w:hint="eastAsia" w:ascii="宋体" w:hAnsi="宋体" w:cs="宋体"/>
          <w:b/>
          <w:bCs/>
          <w:color w:val="auto"/>
          <w:sz w:val="24"/>
        </w:rPr>
        <w:t>8.材料与设备</w:t>
      </w:r>
    </w:p>
    <w:p w14:paraId="6595D802">
      <w:pPr>
        <w:spacing w:line="440" w:lineRule="exact"/>
        <w:ind w:firstLine="480" w:firstLineChars="200"/>
        <w:rPr>
          <w:rFonts w:ascii="宋体" w:hAnsi="宋体" w:cs="宋体"/>
          <w:color w:val="auto"/>
          <w:sz w:val="24"/>
        </w:rPr>
      </w:pPr>
      <w:r>
        <w:rPr>
          <w:rFonts w:hint="eastAsia" w:ascii="宋体" w:hAnsi="宋体" w:cs="宋体"/>
          <w:color w:val="auto"/>
          <w:sz w:val="24"/>
        </w:rPr>
        <w:t>8.</w:t>
      </w:r>
      <w:r>
        <w:rPr>
          <w:rFonts w:ascii="宋体" w:hAnsi="宋体" w:cs="宋体"/>
          <w:color w:val="auto"/>
          <w:sz w:val="24"/>
        </w:rPr>
        <w:t>1</w:t>
      </w:r>
      <w:r>
        <w:rPr>
          <w:rFonts w:hint="eastAsia" w:ascii="宋体" w:hAnsi="宋体" w:cs="宋体"/>
          <w:color w:val="auto"/>
          <w:sz w:val="24"/>
        </w:rPr>
        <w:t xml:space="preserve"> 材料与工程设备的保管与使用</w:t>
      </w:r>
    </w:p>
    <w:p w14:paraId="50465ADC">
      <w:pPr>
        <w:spacing w:line="440" w:lineRule="exact"/>
        <w:ind w:firstLine="480" w:firstLineChars="200"/>
        <w:rPr>
          <w:rFonts w:ascii="宋体" w:hAnsi="宋体" w:cs="宋体"/>
          <w:color w:val="auto"/>
          <w:sz w:val="24"/>
        </w:rPr>
      </w:pPr>
      <w:r>
        <w:rPr>
          <w:rFonts w:hint="eastAsia" w:ascii="宋体" w:hAnsi="宋体" w:cs="宋体"/>
          <w:color w:val="auto"/>
          <w:sz w:val="24"/>
        </w:rPr>
        <w:t>8.</w:t>
      </w:r>
      <w:r>
        <w:rPr>
          <w:rFonts w:ascii="宋体" w:hAnsi="宋体" w:cs="宋体"/>
          <w:color w:val="auto"/>
          <w:sz w:val="24"/>
        </w:rPr>
        <w:t>1</w:t>
      </w:r>
      <w:r>
        <w:rPr>
          <w:rFonts w:hint="eastAsia" w:ascii="宋体" w:hAnsi="宋体" w:cs="宋体"/>
          <w:color w:val="auto"/>
          <w:sz w:val="24"/>
        </w:rPr>
        <w:t>.1 发包人供应的材料设备的保管费用的承担：</w:t>
      </w:r>
      <w:r>
        <w:rPr>
          <w:rFonts w:hint="eastAsia" w:ascii="宋体" w:hAnsi="宋体" w:cs="宋体"/>
          <w:color w:val="auto"/>
          <w:sz w:val="24"/>
          <w:u w:val="single"/>
        </w:rPr>
        <w:t>由承包人承担</w:t>
      </w:r>
      <w:r>
        <w:rPr>
          <w:rFonts w:hint="eastAsia" w:ascii="宋体" w:hAnsi="宋体" w:cs="宋体"/>
          <w:color w:val="auto"/>
          <w:sz w:val="24"/>
        </w:rPr>
        <w:t>。</w:t>
      </w:r>
    </w:p>
    <w:p w14:paraId="04CD81F2">
      <w:pPr>
        <w:spacing w:line="440" w:lineRule="exact"/>
        <w:ind w:firstLine="480" w:firstLineChars="200"/>
        <w:rPr>
          <w:rFonts w:ascii="宋体" w:hAnsi="宋体" w:cs="宋体"/>
          <w:color w:val="auto"/>
          <w:sz w:val="24"/>
        </w:rPr>
      </w:pPr>
      <w:r>
        <w:rPr>
          <w:rFonts w:hint="eastAsia" w:ascii="宋体" w:hAnsi="宋体" w:cs="宋体"/>
          <w:color w:val="auto"/>
          <w:sz w:val="24"/>
        </w:rPr>
        <w:t>8.</w:t>
      </w:r>
      <w:r>
        <w:rPr>
          <w:rFonts w:ascii="宋体" w:hAnsi="宋体" w:cs="宋体"/>
          <w:color w:val="auto"/>
          <w:sz w:val="24"/>
        </w:rPr>
        <w:t>2</w:t>
      </w:r>
      <w:r>
        <w:rPr>
          <w:rFonts w:hint="eastAsia" w:ascii="宋体" w:hAnsi="宋体" w:cs="宋体"/>
          <w:color w:val="auto"/>
          <w:sz w:val="24"/>
        </w:rPr>
        <w:t xml:space="preserve"> 样品</w:t>
      </w:r>
    </w:p>
    <w:p w14:paraId="6793E7C1">
      <w:pPr>
        <w:spacing w:line="440" w:lineRule="exact"/>
        <w:ind w:firstLine="480" w:firstLineChars="200"/>
        <w:rPr>
          <w:rFonts w:ascii="宋体" w:hAnsi="宋体" w:cs="宋体"/>
          <w:color w:val="auto"/>
          <w:sz w:val="24"/>
        </w:rPr>
      </w:pPr>
      <w:r>
        <w:rPr>
          <w:rFonts w:hint="eastAsia" w:ascii="宋体" w:hAnsi="宋体" w:cs="宋体"/>
          <w:color w:val="auto"/>
          <w:sz w:val="24"/>
        </w:rPr>
        <w:t>8.</w:t>
      </w:r>
      <w:r>
        <w:rPr>
          <w:rFonts w:ascii="宋体" w:hAnsi="宋体" w:cs="宋体"/>
          <w:color w:val="auto"/>
          <w:sz w:val="24"/>
        </w:rPr>
        <w:t>2</w:t>
      </w:r>
      <w:r>
        <w:rPr>
          <w:rFonts w:hint="eastAsia" w:ascii="宋体" w:hAnsi="宋体" w:cs="宋体"/>
          <w:color w:val="auto"/>
          <w:sz w:val="24"/>
        </w:rPr>
        <w:t>.1 样品的报送与封存</w:t>
      </w:r>
    </w:p>
    <w:p w14:paraId="3FCE6809">
      <w:pPr>
        <w:spacing w:line="440" w:lineRule="exact"/>
        <w:ind w:firstLine="480" w:firstLineChars="200"/>
        <w:rPr>
          <w:rFonts w:ascii="宋体" w:hAnsi="宋体" w:cs="宋体"/>
          <w:color w:val="auto"/>
          <w:sz w:val="24"/>
        </w:rPr>
      </w:pPr>
      <w:r>
        <w:rPr>
          <w:rFonts w:hint="eastAsia" w:ascii="宋体" w:hAnsi="宋体" w:cs="宋体"/>
          <w:color w:val="auto"/>
          <w:sz w:val="24"/>
        </w:rPr>
        <w:t>需要承包人报送样品的材料或工程设备，样品的种类、名称、规格、数量要求：主要材料涉及品种、款式、颜色等方面内容的，承包人应提交合格的材料样品送发包人选定并确认封样，所提供的主要材料满足或优于工程量清单中的参数要求。</w:t>
      </w:r>
    </w:p>
    <w:p w14:paraId="6B02AADE">
      <w:pPr>
        <w:spacing w:line="440" w:lineRule="exact"/>
        <w:ind w:firstLine="480" w:firstLineChars="200"/>
        <w:rPr>
          <w:rFonts w:ascii="宋体" w:hAnsi="宋体" w:cs="宋体"/>
          <w:color w:val="auto"/>
          <w:sz w:val="24"/>
        </w:rPr>
      </w:pPr>
      <w:r>
        <w:rPr>
          <w:rFonts w:hint="eastAsia" w:ascii="宋体" w:hAnsi="宋体" w:cs="宋体"/>
          <w:color w:val="auto"/>
          <w:sz w:val="24"/>
        </w:rPr>
        <w:t>8.</w:t>
      </w:r>
      <w:r>
        <w:rPr>
          <w:rFonts w:ascii="宋体" w:hAnsi="宋体" w:cs="宋体"/>
          <w:color w:val="auto"/>
          <w:sz w:val="24"/>
        </w:rPr>
        <w:t>3</w:t>
      </w:r>
      <w:r>
        <w:rPr>
          <w:rFonts w:hint="eastAsia" w:ascii="宋体" w:hAnsi="宋体" w:cs="宋体"/>
          <w:color w:val="auto"/>
          <w:sz w:val="24"/>
        </w:rPr>
        <w:t xml:space="preserve"> 施工设备和临时设施</w:t>
      </w:r>
    </w:p>
    <w:p w14:paraId="6F0F967F">
      <w:pPr>
        <w:spacing w:line="440" w:lineRule="exact"/>
        <w:ind w:firstLine="480" w:firstLineChars="200"/>
        <w:rPr>
          <w:rFonts w:ascii="宋体" w:hAnsi="宋体" w:cs="宋体"/>
          <w:color w:val="auto"/>
          <w:sz w:val="24"/>
        </w:rPr>
      </w:pPr>
      <w:r>
        <w:rPr>
          <w:rFonts w:hint="eastAsia" w:ascii="宋体" w:hAnsi="宋体" w:cs="宋体"/>
          <w:color w:val="auto"/>
          <w:sz w:val="24"/>
        </w:rPr>
        <w:t>8.</w:t>
      </w:r>
      <w:r>
        <w:rPr>
          <w:rFonts w:ascii="宋体" w:hAnsi="宋体" w:cs="宋体"/>
          <w:color w:val="auto"/>
          <w:sz w:val="24"/>
        </w:rPr>
        <w:t>3</w:t>
      </w:r>
      <w:r>
        <w:rPr>
          <w:rFonts w:hint="eastAsia" w:ascii="宋体" w:hAnsi="宋体" w:cs="宋体"/>
          <w:color w:val="auto"/>
          <w:sz w:val="24"/>
        </w:rPr>
        <w:t>.1 承包人提供的施工设备和临时设施</w:t>
      </w:r>
    </w:p>
    <w:p w14:paraId="3DBA44A5">
      <w:pPr>
        <w:spacing w:line="440" w:lineRule="exact"/>
        <w:ind w:firstLine="480" w:firstLineChars="200"/>
        <w:rPr>
          <w:rFonts w:ascii="宋体" w:hAnsi="宋体" w:cs="宋体"/>
          <w:color w:val="auto"/>
          <w:sz w:val="24"/>
        </w:rPr>
      </w:pPr>
      <w:r>
        <w:rPr>
          <w:rFonts w:hint="eastAsia" w:ascii="宋体" w:hAnsi="宋体" w:cs="宋体"/>
          <w:color w:val="auto"/>
          <w:sz w:val="24"/>
        </w:rPr>
        <w:t>关于修建临时设施费用承担的约定：</w:t>
      </w:r>
      <w:r>
        <w:rPr>
          <w:rFonts w:hint="eastAsia" w:ascii="宋体" w:hAnsi="宋体" w:cs="宋体"/>
          <w:color w:val="auto"/>
          <w:sz w:val="24"/>
          <w:u w:val="single"/>
        </w:rPr>
        <w:t>由承包人承担</w:t>
      </w:r>
      <w:r>
        <w:rPr>
          <w:rFonts w:hint="eastAsia" w:ascii="宋体" w:hAnsi="宋体" w:cs="宋体"/>
          <w:color w:val="auto"/>
          <w:sz w:val="24"/>
        </w:rPr>
        <w:t>。</w:t>
      </w:r>
    </w:p>
    <w:p w14:paraId="70708EBC">
      <w:pPr>
        <w:spacing w:line="440" w:lineRule="exact"/>
        <w:ind w:firstLine="482" w:firstLineChars="200"/>
        <w:rPr>
          <w:rFonts w:ascii="宋体" w:hAnsi="宋体" w:cs="宋体"/>
          <w:b/>
          <w:bCs/>
          <w:color w:val="auto"/>
          <w:sz w:val="24"/>
        </w:rPr>
      </w:pPr>
      <w:bookmarkStart w:id="21" w:name="_Toc18417"/>
      <w:bookmarkStart w:id="22" w:name="_Toc23527"/>
      <w:bookmarkStart w:id="23" w:name="_Toc19830"/>
      <w:bookmarkStart w:id="24" w:name="_Toc30114"/>
      <w:bookmarkStart w:id="25" w:name="_Toc4383"/>
      <w:bookmarkStart w:id="26" w:name="_Toc351203641"/>
      <w:bookmarkStart w:id="27" w:name="_Toc5947"/>
      <w:bookmarkStart w:id="28" w:name="_Toc16714"/>
      <w:bookmarkStart w:id="29" w:name="_Toc9577"/>
      <w:bookmarkStart w:id="30" w:name="_Toc448911917"/>
      <w:bookmarkStart w:id="31" w:name="_Toc13980"/>
      <w:bookmarkStart w:id="32" w:name="_Toc11462"/>
      <w:r>
        <w:rPr>
          <w:rFonts w:hint="eastAsia" w:ascii="宋体" w:hAnsi="宋体" w:cs="宋体"/>
          <w:b/>
          <w:bCs/>
          <w:color w:val="auto"/>
          <w:sz w:val="24"/>
        </w:rPr>
        <w:t>9.试验与检验</w:t>
      </w:r>
      <w:bookmarkEnd w:id="21"/>
      <w:bookmarkEnd w:id="22"/>
      <w:bookmarkEnd w:id="23"/>
      <w:bookmarkEnd w:id="24"/>
      <w:bookmarkEnd w:id="25"/>
      <w:bookmarkEnd w:id="26"/>
      <w:bookmarkEnd w:id="27"/>
      <w:bookmarkEnd w:id="28"/>
      <w:bookmarkEnd w:id="29"/>
      <w:bookmarkEnd w:id="30"/>
      <w:bookmarkEnd w:id="31"/>
      <w:bookmarkEnd w:id="32"/>
    </w:p>
    <w:p w14:paraId="073565FF">
      <w:pPr>
        <w:spacing w:line="440" w:lineRule="exact"/>
        <w:ind w:firstLine="480" w:firstLineChars="200"/>
        <w:rPr>
          <w:rFonts w:ascii="宋体" w:hAnsi="宋体" w:cs="宋体"/>
          <w:color w:val="auto"/>
          <w:sz w:val="24"/>
        </w:rPr>
      </w:pPr>
      <w:bookmarkStart w:id="33" w:name="_Toc448911918"/>
      <w:bookmarkStart w:id="34" w:name="_Toc25074"/>
      <w:r>
        <w:rPr>
          <w:rFonts w:hint="eastAsia" w:ascii="宋体" w:hAnsi="宋体" w:cs="宋体"/>
          <w:color w:val="auto"/>
          <w:sz w:val="24"/>
        </w:rPr>
        <w:t>9.1 试验设备与试验人员</w:t>
      </w:r>
      <w:bookmarkEnd w:id="33"/>
      <w:bookmarkEnd w:id="34"/>
    </w:p>
    <w:p w14:paraId="51CCE197">
      <w:pPr>
        <w:spacing w:line="440" w:lineRule="exact"/>
        <w:ind w:firstLine="480" w:firstLineChars="200"/>
        <w:rPr>
          <w:rFonts w:ascii="宋体" w:hAnsi="宋体" w:cs="宋体"/>
          <w:color w:val="auto"/>
          <w:sz w:val="24"/>
        </w:rPr>
      </w:pPr>
      <w:r>
        <w:rPr>
          <w:rFonts w:hint="eastAsia" w:ascii="宋体" w:hAnsi="宋体" w:cs="宋体"/>
          <w:color w:val="auto"/>
          <w:sz w:val="24"/>
        </w:rPr>
        <w:t>9.1.1 试验设备</w:t>
      </w:r>
    </w:p>
    <w:p w14:paraId="51EBC5CB">
      <w:pPr>
        <w:spacing w:line="440" w:lineRule="exact"/>
        <w:ind w:firstLine="480" w:firstLineChars="200"/>
        <w:rPr>
          <w:rFonts w:ascii="宋体" w:hAnsi="宋体" w:cs="宋体"/>
          <w:color w:val="auto"/>
          <w:sz w:val="24"/>
        </w:rPr>
      </w:pPr>
      <w:r>
        <w:rPr>
          <w:rFonts w:hint="eastAsia" w:ascii="宋体" w:hAnsi="宋体" w:cs="宋体"/>
          <w:color w:val="auto"/>
          <w:sz w:val="24"/>
        </w:rPr>
        <w:t>施工现场需要配置的试验场所：</w:t>
      </w:r>
      <w:r>
        <w:rPr>
          <w:rFonts w:hint="eastAsia" w:ascii="宋体" w:hAnsi="宋体" w:cs="宋体"/>
          <w:color w:val="auto"/>
          <w:sz w:val="24"/>
          <w:u w:val="single"/>
        </w:rPr>
        <w:t>根据国家及地方有关规定和现场实际情况配置</w:t>
      </w:r>
      <w:r>
        <w:rPr>
          <w:rFonts w:hint="eastAsia" w:ascii="宋体" w:hAnsi="宋体" w:cs="宋体"/>
          <w:color w:val="auto"/>
          <w:sz w:val="24"/>
        </w:rPr>
        <w:t>。</w:t>
      </w:r>
    </w:p>
    <w:p w14:paraId="5A0D56A9">
      <w:pPr>
        <w:spacing w:line="440" w:lineRule="exact"/>
        <w:ind w:firstLine="480" w:firstLineChars="200"/>
        <w:rPr>
          <w:rFonts w:ascii="宋体" w:hAnsi="宋体" w:cs="宋体"/>
          <w:color w:val="auto"/>
          <w:sz w:val="24"/>
        </w:rPr>
      </w:pPr>
      <w:r>
        <w:rPr>
          <w:rFonts w:hint="eastAsia" w:ascii="宋体" w:hAnsi="宋体" w:cs="宋体"/>
          <w:color w:val="auto"/>
          <w:sz w:val="24"/>
        </w:rPr>
        <w:t>施工现场需要配备的试验设备：</w:t>
      </w:r>
      <w:r>
        <w:rPr>
          <w:rFonts w:hint="eastAsia" w:ascii="宋体" w:hAnsi="宋体" w:cs="宋体"/>
          <w:color w:val="auto"/>
          <w:sz w:val="24"/>
          <w:u w:val="single"/>
        </w:rPr>
        <w:t>根据国家及地方有关规定和现场实际情况配置</w:t>
      </w:r>
      <w:r>
        <w:rPr>
          <w:rFonts w:hint="eastAsia" w:ascii="宋体" w:hAnsi="宋体" w:cs="宋体"/>
          <w:color w:val="auto"/>
          <w:sz w:val="24"/>
        </w:rPr>
        <w:t>。</w:t>
      </w:r>
    </w:p>
    <w:p w14:paraId="5C13C1CA">
      <w:pPr>
        <w:spacing w:line="440" w:lineRule="exact"/>
        <w:ind w:firstLine="480" w:firstLineChars="200"/>
        <w:rPr>
          <w:rFonts w:ascii="宋体" w:hAnsi="宋体" w:cs="宋体"/>
          <w:color w:val="auto"/>
          <w:sz w:val="24"/>
        </w:rPr>
      </w:pPr>
      <w:r>
        <w:rPr>
          <w:rFonts w:hint="eastAsia" w:ascii="宋体" w:hAnsi="宋体" w:cs="宋体"/>
          <w:color w:val="auto"/>
          <w:sz w:val="24"/>
        </w:rPr>
        <w:t>施工现场需要具备的其他试验条件：</w:t>
      </w:r>
      <w:r>
        <w:rPr>
          <w:rFonts w:hint="eastAsia" w:ascii="宋体" w:hAnsi="宋体" w:cs="宋体"/>
          <w:color w:val="auto"/>
          <w:sz w:val="24"/>
          <w:u w:val="single"/>
        </w:rPr>
        <w:t>根据国家及地方有关规定和现场实际情况配置</w:t>
      </w:r>
      <w:r>
        <w:rPr>
          <w:rFonts w:hint="eastAsia" w:ascii="宋体" w:hAnsi="宋体" w:cs="宋体"/>
          <w:color w:val="auto"/>
          <w:sz w:val="24"/>
        </w:rPr>
        <w:t>。</w:t>
      </w:r>
    </w:p>
    <w:p w14:paraId="2E1DEB7D">
      <w:pPr>
        <w:spacing w:line="440" w:lineRule="exact"/>
        <w:ind w:firstLine="480" w:firstLineChars="200"/>
        <w:rPr>
          <w:rFonts w:ascii="宋体" w:hAnsi="宋体" w:cs="宋体"/>
          <w:color w:val="auto"/>
          <w:sz w:val="24"/>
        </w:rPr>
      </w:pPr>
      <w:bookmarkStart w:id="35" w:name="_Toc448911919"/>
      <w:bookmarkStart w:id="36" w:name="_Toc2437"/>
      <w:r>
        <w:rPr>
          <w:rFonts w:hint="eastAsia" w:ascii="宋体" w:hAnsi="宋体" w:cs="宋体"/>
          <w:color w:val="auto"/>
          <w:sz w:val="24"/>
        </w:rPr>
        <w:t>9.</w:t>
      </w:r>
      <w:r>
        <w:rPr>
          <w:rFonts w:ascii="宋体" w:hAnsi="宋体" w:cs="宋体"/>
          <w:color w:val="auto"/>
          <w:sz w:val="24"/>
        </w:rPr>
        <w:t>2</w:t>
      </w:r>
      <w:r>
        <w:rPr>
          <w:rFonts w:hint="eastAsia" w:ascii="宋体" w:hAnsi="宋体" w:cs="宋体"/>
          <w:color w:val="auto"/>
          <w:sz w:val="24"/>
        </w:rPr>
        <w:t xml:space="preserve"> 现场工艺试验</w:t>
      </w:r>
      <w:bookmarkEnd w:id="35"/>
      <w:bookmarkEnd w:id="36"/>
    </w:p>
    <w:p w14:paraId="67A75DA4">
      <w:pPr>
        <w:spacing w:line="440" w:lineRule="exact"/>
        <w:ind w:firstLine="480" w:firstLineChars="200"/>
        <w:rPr>
          <w:rFonts w:ascii="宋体" w:hAnsi="宋体" w:cs="宋体"/>
          <w:color w:val="auto"/>
          <w:sz w:val="24"/>
        </w:rPr>
      </w:pPr>
      <w:r>
        <w:rPr>
          <w:rFonts w:hint="eastAsia" w:ascii="宋体" w:hAnsi="宋体" w:cs="宋体"/>
          <w:color w:val="auto"/>
          <w:sz w:val="24"/>
        </w:rPr>
        <w:t>现场工艺试验的有关约定：</w:t>
      </w:r>
      <w:r>
        <w:rPr>
          <w:rFonts w:hint="eastAsia" w:ascii="宋体" w:hAnsi="宋体" w:cs="宋体"/>
          <w:color w:val="auto"/>
          <w:sz w:val="24"/>
          <w:u w:val="single"/>
        </w:rPr>
        <w:t xml:space="preserve">        无      </w:t>
      </w:r>
      <w:r>
        <w:rPr>
          <w:rFonts w:hint="eastAsia" w:ascii="宋体" w:hAnsi="宋体" w:cs="宋体"/>
          <w:color w:val="auto"/>
          <w:sz w:val="24"/>
        </w:rPr>
        <w:t>。</w:t>
      </w:r>
    </w:p>
    <w:p w14:paraId="6CD50714">
      <w:pPr>
        <w:spacing w:line="440" w:lineRule="exact"/>
        <w:ind w:firstLine="482" w:firstLineChars="200"/>
        <w:rPr>
          <w:rFonts w:ascii="宋体" w:hAnsi="宋体" w:cs="宋体"/>
          <w:b/>
          <w:bCs/>
          <w:color w:val="auto"/>
          <w:sz w:val="24"/>
        </w:rPr>
      </w:pPr>
      <w:bookmarkStart w:id="37" w:name="_Toc4203"/>
      <w:bookmarkStart w:id="38" w:name="_Toc10215"/>
      <w:bookmarkStart w:id="39" w:name="_Toc448911920"/>
      <w:bookmarkStart w:id="40" w:name="_Toc27989"/>
      <w:bookmarkStart w:id="41" w:name="_Toc20990"/>
      <w:bookmarkStart w:id="42" w:name="_Toc827"/>
      <w:bookmarkStart w:id="43" w:name="_Toc11676"/>
      <w:bookmarkStart w:id="44" w:name="_Toc21740"/>
      <w:bookmarkStart w:id="45" w:name="_Toc1811"/>
      <w:bookmarkStart w:id="46" w:name="_Toc7553"/>
      <w:bookmarkStart w:id="47" w:name="_Toc4151"/>
      <w:r>
        <w:rPr>
          <w:rFonts w:hint="eastAsia" w:ascii="宋体" w:hAnsi="宋体" w:cs="宋体"/>
          <w:b/>
          <w:bCs/>
          <w:color w:val="auto"/>
          <w:sz w:val="24"/>
        </w:rPr>
        <w:t>1</w:t>
      </w:r>
      <w:bookmarkStart w:id="48" w:name="_Toc303539146"/>
      <w:bookmarkStart w:id="49" w:name="_Toc297120493"/>
      <w:bookmarkStart w:id="50" w:name="_Toc296346694"/>
      <w:bookmarkStart w:id="51" w:name="_Toc296347192"/>
      <w:bookmarkStart w:id="52" w:name="_Toc296891021"/>
      <w:bookmarkStart w:id="53" w:name="_Toc297123540"/>
      <w:bookmarkStart w:id="54" w:name="_Toc297216199"/>
      <w:bookmarkStart w:id="55" w:name="_Toc296503193"/>
      <w:bookmarkStart w:id="56" w:name="_Toc304295566"/>
      <w:bookmarkStart w:id="57" w:name="_Toc296891233"/>
      <w:bookmarkStart w:id="58" w:name="_Toc296944532"/>
      <w:bookmarkStart w:id="59" w:name="_Toc292559903"/>
      <w:bookmarkStart w:id="60" w:name="_Toc297048379"/>
      <w:bookmarkStart w:id="61" w:name="_Toc300934989"/>
      <w:bookmarkStart w:id="62" w:name="_Toc292559398"/>
      <w:r>
        <w:rPr>
          <w:rFonts w:hint="eastAsia" w:ascii="宋体" w:hAnsi="宋体" w:cs="宋体"/>
          <w:b/>
          <w:bCs/>
          <w:color w:val="auto"/>
          <w:sz w:val="24"/>
        </w:rPr>
        <w:t>0.变更</w:t>
      </w:r>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p w14:paraId="7D6C39A5">
      <w:pPr>
        <w:spacing w:line="440" w:lineRule="exact"/>
        <w:ind w:firstLine="480" w:firstLineChars="200"/>
        <w:rPr>
          <w:rFonts w:ascii="宋体" w:hAnsi="宋体" w:cs="宋体"/>
          <w:color w:val="auto"/>
          <w:sz w:val="24"/>
        </w:rPr>
      </w:pPr>
      <w:bookmarkStart w:id="63" w:name="_Toc448911921"/>
      <w:bookmarkStart w:id="64" w:name="_Toc13244"/>
      <w:r>
        <w:rPr>
          <w:rFonts w:hint="eastAsia" w:ascii="宋体" w:hAnsi="宋体" w:cs="宋体"/>
          <w:color w:val="auto"/>
          <w:sz w:val="24"/>
        </w:rPr>
        <w:t>10.1 变更的范围</w:t>
      </w:r>
      <w:bookmarkEnd w:id="63"/>
      <w:bookmarkEnd w:id="64"/>
    </w:p>
    <w:p w14:paraId="40C5A89A">
      <w:pPr>
        <w:spacing w:line="440" w:lineRule="exact"/>
        <w:ind w:firstLine="480" w:firstLineChars="200"/>
        <w:rPr>
          <w:rFonts w:ascii="宋体" w:hAnsi="宋体" w:cs="宋体"/>
          <w:color w:val="auto"/>
          <w:sz w:val="24"/>
        </w:rPr>
      </w:pPr>
      <w:r>
        <w:rPr>
          <w:rFonts w:hint="eastAsia" w:ascii="宋体" w:hAnsi="宋体" w:cs="宋体"/>
          <w:color w:val="auto"/>
          <w:sz w:val="24"/>
        </w:rPr>
        <w:t>关于变更的范围的约定：</w:t>
      </w:r>
      <w:r>
        <w:rPr>
          <w:rFonts w:hint="eastAsia" w:ascii="宋体" w:hAnsi="宋体" w:cs="宋体"/>
          <w:color w:val="auto"/>
          <w:sz w:val="24"/>
          <w:u w:val="single"/>
        </w:rPr>
        <w:t>变更范围除通用条款约定外，本工程变更为图纸未包含或发包人要求增加或减少的工程内容，不含承包人在竞标时因自身原因而漏报、少报、错报部分的工程内容</w:t>
      </w:r>
      <w:r>
        <w:rPr>
          <w:rFonts w:hint="eastAsia" w:ascii="宋体" w:hAnsi="宋体" w:cs="宋体"/>
          <w:color w:val="auto"/>
          <w:sz w:val="24"/>
        </w:rPr>
        <w:t>。</w:t>
      </w:r>
    </w:p>
    <w:p w14:paraId="05EA3C1F">
      <w:pPr>
        <w:spacing w:line="440" w:lineRule="exact"/>
        <w:ind w:firstLine="480" w:firstLineChars="200"/>
        <w:rPr>
          <w:rFonts w:ascii="宋体" w:hAnsi="宋体" w:cs="宋体"/>
          <w:color w:val="auto"/>
          <w:sz w:val="24"/>
        </w:rPr>
      </w:pPr>
      <w:bookmarkStart w:id="65" w:name="tip_risk_bookmark_24"/>
      <w:r>
        <w:rPr>
          <w:rFonts w:hint="eastAsia" w:ascii="宋体" w:hAnsi="宋体" w:cs="宋体"/>
          <w:color w:val="auto"/>
          <w:sz w:val="24"/>
          <w:u w:val="single"/>
        </w:rPr>
        <w:t>变更不应以任何方式使合同作废或无效，但所有变更对</w:t>
      </w:r>
      <w:r>
        <w:rPr>
          <w:rFonts w:hint="eastAsia" w:ascii="宋体" w:hAnsi="宋体" w:cs="宋体"/>
          <w:color w:val="auto"/>
          <w:sz w:val="24"/>
        </w:rPr>
        <w:t>扣除</w:t>
      </w:r>
      <w:r>
        <w:rPr>
          <w:rFonts w:hint="eastAsia" w:ascii="宋体" w:hAnsi="宋体" w:cs="宋体"/>
          <w:color w:val="auto"/>
          <w:sz w:val="24"/>
          <w:u w:val="single"/>
        </w:rPr>
        <w:t>价值的影响（如有）应按本合同进行变更计价。如果发包人或发包人通过监理人发出指令进行工程变更完全是因为：（1）承包人违约或毁约；（2）承包人自身的施工方便；（3）承包人施工措施的需要；（4）承包人的其他原因。则由于本款（1）～（4）原因引起变更的费用由承包人承担，承包人不得要求发包人签署费用变更单。</w:t>
      </w:r>
      <w:bookmarkEnd w:id="65"/>
    </w:p>
    <w:p w14:paraId="1D63B40B">
      <w:pPr>
        <w:spacing w:line="440" w:lineRule="exact"/>
        <w:ind w:firstLine="480" w:firstLineChars="200"/>
        <w:rPr>
          <w:rFonts w:ascii="宋体" w:hAnsi="宋体" w:cs="宋体"/>
          <w:color w:val="auto"/>
          <w:sz w:val="24"/>
          <w:u w:val="single"/>
        </w:rPr>
      </w:pPr>
      <w:r>
        <w:rPr>
          <w:rFonts w:hint="eastAsia" w:ascii="宋体" w:hAnsi="宋体" w:cs="宋体"/>
          <w:color w:val="auto"/>
          <w:sz w:val="24"/>
          <w:u w:val="single"/>
        </w:rPr>
        <w:t>包含在总包合同范围内的暂估价材料、设备和专业分包工程认价过程中考察市场价格、编制招标文件及控制价、组织开评标等发生的相关费用，均由承包人负担，结算时不再调整。</w:t>
      </w:r>
    </w:p>
    <w:p w14:paraId="53B652C7">
      <w:pPr>
        <w:spacing w:line="440" w:lineRule="exact"/>
        <w:ind w:firstLine="480" w:firstLineChars="200"/>
        <w:rPr>
          <w:rFonts w:ascii="宋体" w:hAnsi="宋体" w:cs="宋体"/>
          <w:color w:val="auto"/>
          <w:sz w:val="24"/>
        </w:rPr>
      </w:pPr>
      <w:bookmarkStart w:id="66" w:name="_Toc448911922"/>
      <w:bookmarkStart w:id="67" w:name="_Toc15488"/>
      <w:r>
        <w:rPr>
          <w:rFonts w:hint="eastAsia" w:ascii="宋体" w:hAnsi="宋体" w:cs="宋体"/>
          <w:color w:val="auto"/>
          <w:sz w:val="24"/>
        </w:rPr>
        <w:t>10.</w:t>
      </w:r>
      <w:r>
        <w:rPr>
          <w:rFonts w:ascii="宋体" w:hAnsi="宋体" w:cs="宋体"/>
          <w:color w:val="auto"/>
          <w:sz w:val="24"/>
        </w:rPr>
        <w:t>2</w:t>
      </w:r>
      <w:r>
        <w:rPr>
          <w:rFonts w:hint="eastAsia" w:ascii="宋体" w:hAnsi="宋体" w:cs="宋体"/>
          <w:color w:val="auto"/>
          <w:sz w:val="24"/>
        </w:rPr>
        <w:t xml:space="preserve"> 变更估价</w:t>
      </w:r>
      <w:bookmarkEnd w:id="66"/>
      <w:bookmarkEnd w:id="67"/>
    </w:p>
    <w:p w14:paraId="35A30D50">
      <w:pPr>
        <w:spacing w:line="440" w:lineRule="exact"/>
        <w:ind w:firstLine="480" w:firstLineChars="200"/>
        <w:rPr>
          <w:rFonts w:ascii="宋体" w:hAnsi="宋体" w:cs="宋体"/>
          <w:color w:val="auto"/>
          <w:sz w:val="24"/>
        </w:rPr>
      </w:pPr>
      <w:r>
        <w:rPr>
          <w:rFonts w:hint="eastAsia" w:ascii="宋体" w:hAnsi="宋体" w:cs="宋体"/>
          <w:color w:val="auto"/>
          <w:sz w:val="24"/>
        </w:rPr>
        <w:t>10.</w:t>
      </w:r>
      <w:r>
        <w:rPr>
          <w:rFonts w:ascii="宋体" w:hAnsi="宋体" w:cs="宋体"/>
          <w:color w:val="auto"/>
          <w:sz w:val="24"/>
        </w:rPr>
        <w:t>2</w:t>
      </w:r>
      <w:r>
        <w:rPr>
          <w:rFonts w:hint="eastAsia" w:ascii="宋体" w:hAnsi="宋体" w:cs="宋体"/>
          <w:color w:val="auto"/>
          <w:sz w:val="24"/>
        </w:rPr>
        <w:t>.1 变更估价原则</w:t>
      </w:r>
    </w:p>
    <w:p w14:paraId="4CE1C361">
      <w:pPr>
        <w:spacing w:line="440" w:lineRule="exact"/>
        <w:ind w:firstLine="480" w:firstLineChars="200"/>
        <w:rPr>
          <w:rFonts w:ascii="宋体" w:hAnsi="宋体" w:cs="宋体"/>
          <w:color w:val="auto"/>
          <w:sz w:val="24"/>
        </w:rPr>
      </w:pPr>
      <w:r>
        <w:rPr>
          <w:rFonts w:hint="eastAsia" w:ascii="宋体" w:hAnsi="宋体" w:cs="宋体"/>
          <w:color w:val="auto"/>
          <w:sz w:val="24"/>
        </w:rPr>
        <w:t xml:space="preserve">关于变更估价的约定：  </w:t>
      </w:r>
    </w:p>
    <w:p w14:paraId="366A6274">
      <w:pPr>
        <w:spacing w:line="440" w:lineRule="exact"/>
        <w:ind w:firstLine="480" w:firstLineChars="200"/>
        <w:rPr>
          <w:rFonts w:ascii="宋体" w:hAnsi="宋体" w:cs="宋体"/>
          <w:color w:val="auto"/>
          <w:sz w:val="24"/>
          <w:u w:val="single"/>
        </w:rPr>
      </w:pPr>
      <w:r>
        <w:rPr>
          <w:rFonts w:hint="eastAsia" w:ascii="宋体" w:hAnsi="宋体" w:cs="宋体"/>
          <w:color w:val="auto"/>
          <w:sz w:val="24"/>
          <w:u w:val="single"/>
        </w:rPr>
        <w:t>（1）当工程变更导致该清单项目的工程数量发生变化，且工程量变化在±15%（含）以内时，变更引起的清单工程量的综合单价按照下列规定确定：</w:t>
      </w:r>
    </w:p>
    <w:p w14:paraId="65658359">
      <w:pPr>
        <w:spacing w:line="440" w:lineRule="exact"/>
        <w:ind w:firstLine="480" w:firstLineChars="200"/>
        <w:rPr>
          <w:rFonts w:ascii="宋体" w:hAnsi="宋体" w:cs="宋体"/>
          <w:color w:val="auto"/>
          <w:sz w:val="24"/>
          <w:u w:val="single"/>
        </w:rPr>
      </w:pPr>
      <w:r>
        <w:rPr>
          <w:rFonts w:hint="eastAsia" w:ascii="宋体" w:hAnsi="宋体" w:cs="宋体"/>
          <w:color w:val="auto"/>
          <w:sz w:val="24"/>
          <w:u w:val="single"/>
        </w:rPr>
        <w:t>1）已标价工程量清单中有适用于变更工程项目的，应采用该项目的单价；</w:t>
      </w:r>
    </w:p>
    <w:p w14:paraId="1E43C1C5">
      <w:pPr>
        <w:spacing w:line="440" w:lineRule="exact"/>
        <w:ind w:firstLine="480" w:firstLineChars="200"/>
        <w:rPr>
          <w:rFonts w:ascii="宋体" w:hAnsi="宋体" w:cs="宋体"/>
          <w:color w:val="auto"/>
          <w:sz w:val="24"/>
          <w:u w:val="single"/>
        </w:rPr>
      </w:pPr>
      <w:r>
        <w:rPr>
          <w:rFonts w:hint="eastAsia" w:ascii="宋体" w:hAnsi="宋体" w:cs="宋体"/>
          <w:color w:val="auto"/>
          <w:sz w:val="24"/>
          <w:u w:val="single"/>
        </w:rPr>
        <w:t>2）已标价工程量清单中没有适用但有类似于变更工程项目的，可在合理范围内参照类似项目的单价；</w:t>
      </w:r>
    </w:p>
    <w:p w14:paraId="3EF69F56">
      <w:pPr>
        <w:spacing w:line="440" w:lineRule="exact"/>
        <w:ind w:firstLine="480" w:firstLineChars="200"/>
        <w:rPr>
          <w:rFonts w:ascii="宋体" w:hAnsi="宋体" w:cs="宋体"/>
          <w:color w:val="auto"/>
          <w:sz w:val="24"/>
          <w:u w:val="single"/>
        </w:rPr>
      </w:pPr>
      <w:r>
        <w:rPr>
          <w:rFonts w:hint="eastAsia" w:ascii="宋体" w:hAnsi="宋体" w:cs="宋体"/>
          <w:color w:val="auto"/>
          <w:sz w:val="24"/>
          <w:u w:val="single"/>
        </w:rPr>
        <w:t>3）已标价工程量清单中没有适用也没有类似于变更工程项目的，应由承包人根据变更工程资料、计量规则和计价办法、工程造价管理机构发布的信息价格、市场询价和承包人报价浮动率提出变更工程项目的单价，并报发包人确认。其中：</w:t>
      </w:r>
    </w:p>
    <w:p w14:paraId="443EB3F6">
      <w:pPr>
        <w:spacing w:line="440" w:lineRule="exact"/>
        <w:ind w:firstLine="480" w:firstLineChars="200"/>
        <w:rPr>
          <w:rFonts w:ascii="宋体" w:hAnsi="宋体" w:cs="宋体"/>
          <w:color w:val="auto"/>
          <w:sz w:val="24"/>
          <w:u w:val="single"/>
        </w:rPr>
      </w:pPr>
      <w:r>
        <w:rPr>
          <w:rFonts w:hint="eastAsia" w:ascii="宋体" w:hAnsi="宋体" w:cs="宋体"/>
          <w:color w:val="auto"/>
          <w:sz w:val="24"/>
          <w:u w:val="single"/>
        </w:rPr>
        <w:t>①承包人报价浮动率按下列公式计算：承包人报价浮动率L=（1-成交价／最高竞标限价）×100%；成交价和最高竞标限价均按扣除工程建设其他费用后计算。</w:t>
      </w:r>
    </w:p>
    <w:p w14:paraId="5BB892B7">
      <w:pPr>
        <w:spacing w:line="440" w:lineRule="exact"/>
        <w:ind w:firstLine="480" w:firstLineChars="200"/>
        <w:rPr>
          <w:rFonts w:ascii="宋体" w:hAnsi="宋体" w:cs="宋体"/>
          <w:color w:val="auto"/>
          <w:sz w:val="24"/>
          <w:u w:val="single"/>
        </w:rPr>
      </w:pPr>
      <w:r>
        <w:rPr>
          <w:rFonts w:hint="eastAsia" w:ascii="宋体" w:hAnsi="宋体" w:cs="宋体"/>
          <w:color w:val="auto"/>
          <w:sz w:val="24"/>
          <w:u w:val="single"/>
        </w:rPr>
        <w:t>②综合单价组价原则为：消耗量可依据工程所在地现行定额相关项目及有关规定的消耗量确定；人工、材料、机械价格按发承包双方确认的市场价格或参照施工期工程所在地造价信息确定；管理费和利润按相应清单项目承包人原竞标费率确定。</w:t>
      </w:r>
    </w:p>
    <w:p w14:paraId="36936A99">
      <w:pPr>
        <w:spacing w:line="440" w:lineRule="exact"/>
        <w:ind w:firstLine="480" w:firstLineChars="200"/>
        <w:rPr>
          <w:rFonts w:ascii="宋体" w:hAnsi="宋体" w:cs="宋体"/>
          <w:color w:val="auto"/>
          <w:sz w:val="24"/>
          <w:u w:val="single"/>
        </w:rPr>
      </w:pPr>
      <w:r>
        <w:rPr>
          <w:rFonts w:hint="eastAsia" w:ascii="宋体" w:hAnsi="宋体" w:cs="宋体"/>
          <w:color w:val="auto"/>
          <w:sz w:val="24"/>
          <w:u w:val="single"/>
        </w:rPr>
        <w:t>（2）当工程变更导致该清单项目的工程数量发生变化，且工程量增减超过±15%（不含）时，该清单项目综合单价应按以下原则确定：当工程量增加15%以上时，增加的工程量的综合单价应予调低；当工程量减少15%以上时，减少后剩余工程量的综合单价应予调高，具体调整原则如下：</w:t>
      </w:r>
    </w:p>
    <w:p w14:paraId="51740673">
      <w:pPr>
        <w:spacing w:line="440" w:lineRule="exact"/>
        <w:ind w:firstLine="480" w:firstLineChars="200"/>
        <w:rPr>
          <w:rFonts w:ascii="宋体" w:hAnsi="宋体" w:cs="宋体"/>
          <w:color w:val="auto"/>
          <w:sz w:val="24"/>
          <w:u w:val="single"/>
        </w:rPr>
      </w:pPr>
      <w:r>
        <w:rPr>
          <w:rFonts w:hint="eastAsia" w:ascii="宋体" w:hAnsi="宋体" w:cs="宋体"/>
          <w:color w:val="auto"/>
          <w:sz w:val="24"/>
          <w:u w:val="single"/>
        </w:rPr>
        <w:t>1）当Q</w:t>
      </w:r>
      <w:r>
        <w:rPr>
          <w:rFonts w:hint="eastAsia" w:ascii="宋体" w:hAnsi="宋体" w:cs="宋体"/>
          <w:color w:val="auto"/>
          <w:sz w:val="24"/>
          <w:u w:val="single"/>
          <w:vertAlign w:val="subscript"/>
        </w:rPr>
        <w:t>1</w:t>
      </w:r>
      <w:r>
        <w:rPr>
          <w:rFonts w:hint="eastAsia" w:ascii="宋体" w:hAnsi="宋体" w:cs="宋体"/>
          <w:color w:val="auto"/>
          <w:sz w:val="24"/>
          <w:u w:val="single"/>
        </w:rPr>
        <w:t>&gt;1.15Q</w:t>
      </w:r>
      <w:r>
        <w:rPr>
          <w:rFonts w:hint="eastAsia" w:ascii="宋体" w:hAnsi="宋体" w:cs="宋体"/>
          <w:color w:val="auto"/>
          <w:sz w:val="24"/>
          <w:u w:val="single"/>
          <w:vertAlign w:val="subscript"/>
        </w:rPr>
        <w:t>0</w:t>
      </w:r>
      <w:r>
        <w:rPr>
          <w:rFonts w:hint="eastAsia" w:ascii="宋体" w:hAnsi="宋体" w:cs="宋体"/>
          <w:color w:val="auto"/>
          <w:sz w:val="24"/>
          <w:u w:val="single"/>
        </w:rPr>
        <w:t>时，S=1.15Q</w:t>
      </w:r>
      <w:r>
        <w:rPr>
          <w:rFonts w:hint="eastAsia" w:ascii="宋体" w:hAnsi="宋体" w:cs="宋体"/>
          <w:color w:val="auto"/>
          <w:sz w:val="24"/>
          <w:u w:val="single"/>
          <w:vertAlign w:val="subscript"/>
        </w:rPr>
        <w:t xml:space="preserve">0 </w:t>
      </w:r>
      <w:r>
        <w:rPr>
          <w:rFonts w:hint="eastAsia" w:ascii="宋体" w:hAnsi="宋体" w:cs="宋体"/>
          <w:color w:val="auto"/>
          <w:sz w:val="24"/>
          <w:u w:val="single"/>
        </w:rPr>
        <w:t>×P</w:t>
      </w:r>
      <w:r>
        <w:rPr>
          <w:rFonts w:hint="eastAsia" w:ascii="宋体" w:hAnsi="宋体" w:cs="宋体"/>
          <w:color w:val="auto"/>
          <w:sz w:val="24"/>
          <w:u w:val="single"/>
          <w:vertAlign w:val="subscript"/>
        </w:rPr>
        <w:t>0</w:t>
      </w:r>
      <w:r>
        <w:rPr>
          <w:rFonts w:hint="eastAsia" w:ascii="宋体" w:hAnsi="宋体" w:cs="宋体"/>
          <w:color w:val="auto"/>
          <w:sz w:val="24"/>
          <w:u w:val="single"/>
        </w:rPr>
        <w:t>+(Q</w:t>
      </w:r>
      <w:r>
        <w:rPr>
          <w:rFonts w:hint="eastAsia" w:ascii="宋体" w:hAnsi="宋体" w:cs="宋体"/>
          <w:color w:val="auto"/>
          <w:sz w:val="24"/>
          <w:u w:val="single"/>
          <w:vertAlign w:val="subscript"/>
        </w:rPr>
        <w:t>1</w:t>
      </w:r>
      <w:r>
        <w:rPr>
          <w:rFonts w:hint="eastAsia" w:ascii="宋体" w:hAnsi="宋体" w:cs="宋体"/>
          <w:color w:val="auto"/>
          <w:sz w:val="24"/>
          <w:u w:val="single"/>
        </w:rPr>
        <w:t>-1.15Q</w:t>
      </w:r>
      <w:r>
        <w:rPr>
          <w:rFonts w:hint="eastAsia" w:ascii="宋体" w:hAnsi="宋体" w:cs="宋体"/>
          <w:color w:val="auto"/>
          <w:sz w:val="24"/>
          <w:u w:val="single"/>
          <w:vertAlign w:val="subscript"/>
        </w:rPr>
        <w:t>0</w:t>
      </w:r>
      <w:r>
        <w:rPr>
          <w:rFonts w:hint="eastAsia" w:ascii="宋体" w:hAnsi="宋体" w:cs="宋体"/>
          <w:color w:val="auto"/>
          <w:sz w:val="24"/>
          <w:u w:val="single"/>
        </w:rPr>
        <w:t>)×P</w:t>
      </w:r>
      <w:r>
        <w:rPr>
          <w:rFonts w:hint="eastAsia" w:ascii="宋体" w:hAnsi="宋体" w:cs="宋体"/>
          <w:color w:val="auto"/>
          <w:sz w:val="24"/>
          <w:u w:val="single"/>
          <w:vertAlign w:val="subscript"/>
        </w:rPr>
        <w:t>1</w:t>
      </w:r>
      <w:r>
        <w:rPr>
          <w:rFonts w:hint="eastAsia" w:ascii="宋体" w:hAnsi="宋体" w:cs="宋体"/>
          <w:color w:val="auto"/>
          <w:sz w:val="24"/>
          <w:u w:val="single"/>
        </w:rPr>
        <w:t>；</w:t>
      </w:r>
    </w:p>
    <w:p w14:paraId="0E1F2DA0">
      <w:pPr>
        <w:spacing w:line="440" w:lineRule="exact"/>
        <w:ind w:firstLine="480" w:firstLineChars="200"/>
        <w:rPr>
          <w:rFonts w:ascii="宋体" w:hAnsi="宋体" w:cs="宋体"/>
          <w:color w:val="auto"/>
          <w:sz w:val="24"/>
          <w:u w:val="single"/>
        </w:rPr>
      </w:pPr>
      <w:r>
        <w:rPr>
          <w:rFonts w:hint="eastAsia" w:ascii="宋体" w:hAnsi="宋体" w:cs="宋体"/>
          <w:color w:val="auto"/>
          <w:sz w:val="24"/>
          <w:u w:val="single"/>
        </w:rPr>
        <w:t>当Q</w:t>
      </w:r>
      <w:r>
        <w:rPr>
          <w:rFonts w:hint="eastAsia" w:ascii="宋体" w:hAnsi="宋体" w:cs="宋体"/>
          <w:color w:val="auto"/>
          <w:sz w:val="24"/>
          <w:u w:val="single"/>
          <w:vertAlign w:val="subscript"/>
        </w:rPr>
        <w:t>1</w:t>
      </w:r>
      <w:r>
        <w:rPr>
          <w:rFonts w:hint="eastAsia" w:ascii="宋体" w:hAnsi="宋体" w:cs="宋体"/>
          <w:color w:val="auto"/>
          <w:sz w:val="24"/>
          <w:u w:val="single"/>
        </w:rPr>
        <w:t>&lt;0.85 Q</w:t>
      </w:r>
      <w:r>
        <w:rPr>
          <w:rFonts w:hint="eastAsia" w:ascii="宋体" w:hAnsi="宋体" w:cs="宋体"/>
          <w:color w:val="auto"/>
          <w:sz w:val="24"/>
          <w:u w:val="single"/>
          <w:vertAlign w:val="subscript"/>
        </w:rPr>
        <w:t>0</w:t>
      </w:r>
      <w:r>
        <w:rPr>
          <w:rFonts w:hint="eastAsia" w:ascii="宋体" w:hAnsi="宋体" w:cs="宋体"/>
          <w:color w:val="auto"/>
          <w:sz w:val="24"/>
          <w:u w:val="single"/>
        </w:rPr>
        <w:t>时，S=Q</w:t>
      </w:r>
      <w:r>
        <w:rPr>
          <w:rFonts w:hint="eastAsia" w:ascii="宋体" w:hAnsi="宋体" w:cs="宋体"/>
          <w:color w:val="auto"/>
          <w:sz w:val="24"/>
          <w:u w:val="single"/>
          <w:vertAlign w:val="subscript"/>
        </w:rPr>
        <w:t>1</w:t>
      </w:r>
      <w:r>
        <w:rPr>
          <w:rFonts w:hint="eastAsia" w:ascii="宋体" w:hAnsi="宋体" w:cs="宋体"/>
          <w:color w:val="auto"/>
          <w:sz w:val="24"/>
          <w:u w:val="single"/>
        </w:rPr>
        <w:t>×P</w:t>
      </w:r>
      <w:r>
        <w:rPr>
          <w:rFonts w:hint="eastAsia" w:ascii="宋体" w:hAnsi="宋体" w:cs="宋体"/>
          <w:color w:val="auto"/>
          <w:sz w:val="24"/>
          <w:u w:val="single"/>
          <w:vertAlign w:val="subscript"/>
        </w:rPr>
        <w:t>1</w:t>
      </w:r>
      <w:r>
        <w:rPr>
          <w:rFonts w:hint="eastAsia" w:ascii="宋体" w:hAnsi="宋体" w:cs="宋体"/>
          <w:color w:val="auto"/>
          <w:sz w:val="24"/>
          <w:u w:val="single"/>
        </w:rPr>
        <w:t>。</w:t>
      </w:r>
    </w:p>
    <w:p w14:paraId="59B6A008">
      <w:pPr>
        <w:spacing w:line="440" w:lineRule="exact"/>
        <w:ind w:firstLine="480" w:firstLineChars="200"/>
        <w:rPr>
          <w:rFonts w:ascii="宋体" w:hAnsi="宋体" w:cs="宋体"/>
          <w:color w:val="auto"/>
          <w:sz w:val="24"/>
          <w:u w:val="single"/>
        </w:rPr>
      </w:pPr>
      <w:r>
        <w:rPr>
          <w:rFonts w:hint="eastAsia" w:ascii="宋体" w:hAnsi="宋体" w:cs="宋体"/>
          <w:color w:val="auto"/>
          <w:sz w:val="24"/>
          <w:u w:val="single"/>
        </w:rPr>
        <w:t>式中 S——调整后的某一清单项目结算价；</w:t>
      </w:r>
    </w:p>
    <w:p w14:paraId="5017BEB3">
      <w:pPr>
        <w:spacing w:line="440" w:lineRule="exact"/>
        <w:ind w:firstLine="480" w:firstLineChars="200"/>
        <w:rPr>
          <w:rFonts w:ascii="宋体" w:hAnsi="宋体" w:cs="宋体"/>
          <w:color w:val="auto"/>
          <w:sz w:val="24"/>
          <w:u w:val="single"/>
        </w:rPr>
      </w:pPr>
      <w:r>
        <w:rPr>
          <w:rFonts w:hint="eastAsia" w:ascii="宋体" w:hAnsi="宋体" w:cs="宋体"/>
          <w:color w:val="auto"/>
          <w:sz w:val="24"/>
          <w:u w:val="single"/>
        </w:rPr>
        <w:t>Q1——最终完成的工程量；</w:t>
      </w:r>
    </w:p>
    <w:p w14:paraId="46817A7C">
      <w:pPr>
        <w:spacing w:line="440" w:lineRule="exact"/>
        <w:ind w:firstLine="480" w:firstLineChars="200"/>
        <w:rPr>
          <w:rFonts w:ascii="宋体" w:hAnsi="宋体" w:cs="宋体"/>
          <w:color w:val="auto"/>
          <w:sz w:val="24"/>
          <w:u w:val="single"/>
        </w:rPr>
      </w:pPr>
      <w:r>
        <w:rPr>
          <w:rFonts w:hint="eastAsia" w:ascii="宋体" w:hAnsi="宋体" w:cs="宋体"/>
          <w:color w:val="auto"/>
          <w:sz w:val="24"/>
          <w:u w:val="single"/>
        </w:rPr>
        <w:t>Q0——已标价工程量清单中的工程量；</w:t>
      </w:r>
    </w:p>
    <w:p w14:paraId="39C48ABB">
      <w:pPr>
        <w:spacing w:line="440" w:lineRule="exact"/>
        <w:ind w:firstLine="480" w:firstLineChars="200"/>
        <w:rPr>
          <w:rFonts w:ascii="宋体" w:hAnsi="宋体" w:cs="宋体"/>
          <w:color w:val="auto"/>
          <w:sz w:val="24"/>
          <w:u w:val="single"/>
        </w:rPr>
      </w:pPr>
      <w:r>
        <w:rPr>
          <w:rFonts w:hint="eastAsia" w:ascii="宋体" w:hAnsi="宋体" w:cs="宋体"/>
          <w:color w:val="auto"/>
          <w:sz w:val="24"/>
          <w:u w:val="single"/>
        </w:rPr>
        <w:t>P1——按照最终完成工程量重新调整后的综合单价；</w:t>
      </w:r>
    </w:p>
    <w:p w14:paraId="75BE89C8">
      <w:pPr>
        <w:spacing w:line="440" w:lineRule="exact"/>
        <w:ind w:firstLine="480" w:firstLineChars="200"/>
        <w:rPr>
          <w:rFonts w:ascii="宋体" w:hAnsi="宋体" w:cs="宋体"/>
          <w:color w:val="auto"/>
          <w:sz w:val="24"/>
          <w:u w:val="single"/>
        </w:rPr>
      </w:pPr>
      <w:r>
        <w:rPr>
          <w:rFonts w:hint="eastAsia" w:ascii="宋体" w:hAnsi="宋体" w:cs="宋体"/>
          <w:color w:val="auto"/>
          <w:sz w:val="24"/>
          <w:u w:val="single"/>
        </w:rPr>
        <w:t>P0——承包人已标价工程量清单中的综合单价。</w:t>
      </w:r>
    </w:p>
    <w:p w14:paraId="03F77E7D">
      <w:pPr>
        <w:spacing w:line="440" w:lineRule="exact"/>
        <w:ind w:firstLine="480" w:firstLineChars="200"/>
        <w:rPr>
          <w:rFonts w:ascii="宋体" w:hAnsi="宋体" w:cs="宋体"/>
          <w:color w:val="auto"/>
          <w:sz w:val="24"/>
          <w:u w:val="single"/>
        </w:rPr>
      </w:pPr>
      <w:r>
        <w:rPr>
          <w:rFonts w:hint="eastAsia" w:ascii="宋体" w:hAnsi="宋体" w:cs="宋体"/>
          <w:color w:val="auto"/>
          <w:sz w:val="24"/>
          <w:u w:val="single"/>
        </w:rPr>
        <w:t>2）P1的确定方法：</w:t>
      </w:r>
    </w:p>
    <w:p w14:paraId="772F1FB8">
      <w:pPr>
        <w:spacing w:line="440" w:lineRule="exact"/>
        <w:ind w:firstLine="480" w:firstLineChars="200"/>
        <w:rPr>
          <w:rFonts w:ascii="宋体" w:hAnsi="宋体" w:cs="宋体"/>
          <w:color w:val="auto"/>
          <w:sz w:val="24"/>
          <w:u w:val="single"/>
        </w:rPr>
      </w:pPr>
      <w:r>
        <w:rPr>
          <w:rFonts w:hint="eastAsia" w:ascii="宋体" w:hAnsi="宋体" w:cs="宋体"/>
          <w:color w:val="auto"/>
          <w:sz w:val="24"/>
          <w:u w:val="single"/>
        </w:rPr>
        <w:t>当工程量偏差项目出现承包人在工程量清单中填报的综合单价和发包人最高竞标限价相应清单项目综合单价偏差超过±15%时，工程量偏差项目综合单价的调整可参考以下公式：</w:t>
      </w:r>
    </w:p>
    <w:p w14:paraId="3F4D3DB4">
      <w:pPr>
        <w:spacing w:line="440" w:lineRule="exact"/>
        <w:ind w:firstLine="480" w:firstLineChars="200"/>
        <w:rPr>
          <w:rFonts w:ascii="宋体" w:hAnsi="宋体" w:cs="宋体"/>
          <w:color w:val="auto"/>
          <w:sz w:val="24"/>
          <w:u w:val="single"/>
        </w:rPr>
      </w:pPr>
      <w:r>
        <w:rPr>
          <w:rFonts w:hint="eastAsia" w:ascii="宋体" w:hAnsi="宋体" w:cs="宋体"/>
          <w:color w:val="auto"/>
          <w:sz w:val="24"/>
          <w:u w:val="single"/>
        </w:rPr>
        <w:t>①当P0&lt;P2×(1–L)×(1-15%）时，该类项目的综合单价P1按照P2×(1–L)×(1–15%）调整；</w:t>
      </w:r>
    </w:p>
    <w:p w14:paraId="15C1B844">
      <w:pPr>
        <w:spacing w:line="440" w:lineRule="exact"/>
        <w:ind w:firstLine="480" w:firstLineChars="200"/>
        <w:rPr>
          <w:rFonts w:ascii="宋体" w:hAnsi="宋体" w:cs="宋体"/>
          <w:color w:val="auto"/>
          <w:sz w:val="24"/>
          <w:u w:val="single"/>
        </w:rPr>
      </w:pPr>
      <w:r>
        <w:rPr>
          <w:rFonts w:hint="eastAsia" w:ascii="宋体" w:hAnsi="宋体" w:cs="宋体"/>
          <w:color w:val="auto"/>
          <w:sz w:val="24"/>
          <w:u w:val="single"/>
        </w:rPr>
        <w:t>②当P0＞P2×(1+15%）时，该类项目的综合单价P1按照P2×(1+15%）调整。</w:t>
      </w:r>
    </w:p>
    <w:p w14:paraId="4CCAF0A0">
      <w:pPr>
        <w:spacing w:line="440" w:lineRule="exact"/>
        <w:ind w:firstLine="480" w:firstLineChars="200"/>
        <w:rPr>
          <w:rFonts w:ascii="宋体" w:hAnsi="宋体" w:cs="宋体"/>
          <w:color w:val="auto"/>
          <w:sz w:val="24"/>
          <w:u w:val="single"/>
        </w:rPr>
      </w:pPr>
      <w:r>
        <w:rPr>
          <w:rFonts w:hint="eastAsia" w:ascii="宋体" w:hAnsi="宋体" w:cs="宋体"/>
          <w:color w:val="auto"/>
          <w:sz w:val="24"/>
          <w:u w:val="single"/>
        </w:rPr>
        <w:t>式中P0——承包人在工程量清单中填报的综合单价；</w:t>
      </w:r>
    </w:p>
    <w:p w14:paraId="5B87983D">
      <w:pPr>
        <w:spacing w:line="440" w:lineRule="exact"/>
        <w:ind w:firstLine="480" w:firstLineChars="200"/>
        <w:rPr>
          <w:rFonts w:ascii="宋体" w:hAnsi="宋体" w:cs="宋体"/>
          <w:color w:val="auto"/>
          <w:sz w:val="24"/>
          <w:u w:val="single"/>
        </w:rPr>
      </w:pPr>
      <w:r>
        <w:rPr>
          <w:rFonts w:hint="eastAsia" w:ascii="宋体" w:hAnsi="宋体" w:cs="宋体"/>
          <w:color w:val="auto"/>
          <w:sz w:val="24"/>
          <w:u w:val="single"/>
        </w:rPr>
        <w:t>P2——发包人最高竞标限价相应清单项目综合单价；</w:t>
      </w:r>
    </w:p>
    <w:p w14:paraId="5704C1B6">
      <w:pPr>
        <w:spacing w:line="440" w:lineRule="exact"/>
        <w:ind w:firstLine="480" w:firstLineChars="200"/>
        <w:rPr>
          <w:rFonts w:ascii="宋体" w:hAnsi="宋体" w:cs="宋体"/>
          <w:color w:val="auto"/>
          <w:sz w:val="24"/>
          <w:u w:val="single"/>
        </w:rPr>
      </w:pPr>
      <w:r>
        <w:rPr>
          <w:rFonts w:hint="eastAsia" w:ascii="宋体" w:hAnsi="宋体" w:cs="宋体"/>
          <w:color w:val="auto"/>
          <w:sz w:val="24"/>
          <w:u w:val="single"/>
        </w:rPr>
        <w:t>L——为本合同条款第10.</w:t>
      </w:r>
      <w:r>
        <w:rPr>
          <w:rFonts w:ascii="宋体" w:hAnsi="宋体" w:cs="宋体"/>
          <w:color w:val="auto"/>
          <w:sz w:val="24"/>
          <w:u w:val="single"/>
        </w:rPr>
        <w:t>2</w:t>
      </w:r>
      <w:r>
        <w:rPr>
          <w:rFonts w:hint="eastAsia" w:ascii="宋体" w:hAnsi="宋体" w:cs="宋体"/>
          <w:color w:val="auto"/>
          <w:sz w:val="24"/>
          <w:u w:val="single"/>
        </w:rPr>
        <w:t>.1（1）第3）款中计算的承包人报价浮动率。</w:t>
      </w:r>
    </w:p>
    <w:p w14:paraId="5B52A0D0">
      <w:pPr>
        <w:spacing w:line="440" w:lineRule="exact"/>
        <w:ind w:firstLine="480" w:firstLineChars="200"/>
        <w:rPr>
          <w:rFonts w:ascii="宋体" w:hAnsi="宋体" w:cs="宋体"/>
          <w:color w:val="auto"/>
          <w:sz w:val="24"/>
          <w:u w:val="single"/>
        </w:rPr>
      </w:pPr>
      <w:r>
        <w:rPr>
          <w:rFonts w:hint="eastAsia" w:ascii="宋体" w:hAnsi="宋体" w:cs="宋体"/>
          <w:color w:val="auto"/>
          <w:sz w:val="24"/>
          <w:u w:val="single"/>
        </w:rPr>
        <w:t>③当P0＞P2×(1–L)×(1-15%）或P0&lt;P2×(1+ 15%）时，不调整。</w:t>
      </w:r>
    </w:p>
    <w:p w14:paraId="4A2E124D">
      <w:pPr>
        <w:spacing w:line="440" w:lineRule="exact"/>
        <w:ind w:firstLine="480" w:firstLineChars="200"/>
        <w:rPr>
          <w:rFonts w:ascii="宋体" w:hAnsi="宋体" w:cs="宋体"/>
          <w:color w:val="auto"/>
          <w:sz w:val="24"/>
          <w:u w:val="single"/>
        </w:rPr>
      </w:pPr>
      <w:r>
        <w:rPr>
          <w:rFonts w:hint="eastAsia" w:ascii="宋体" w:hAnsi="宋体" w:cs="宋体"/>
          <w:color w:val="auto"/>
          <w:sz w:val="24"/>
          <w:u w:val="single"/>
        </w:rPr>
        <w:t>（3）对于承包人在竞标报价中的漏项清单项目，当工程量变更时，其变更部分的综合单价按照评审时其他有效竞标人该项竞标报价的算术平均值计算的结果确定。</w:t>
      </w:r>
    </w:p>
    <w:p w14:paraId="1ED5624C">
      <w:pPr>
        <w:spacing w:line="440" w:lineRule="exact"/>
        <w:ind w:firstLine="480" w:firstLineChars="200"/>
        <w:rPr>
          <w:rFonts w:ascii="宋体" w:hAnsi="宋体" w:cs="宋体"/>
          <w:color w:val="auto"/>
          <w:sz w:val="24"/>
        </w:rPr>
      </w:pPr>
      <w:r>
        <w:rPr>
          <w:rFonts w:hint="eastAsia" w:ascii="宋体" w:hAnsi="宋体" w:cs="宋体"/>
          <w:color w:val="auto"/>
          <w:sz w:val="24"/>
          <w:u w:val="single"/>
        </w:rPr>
        <w:t>（4）在《技术标准和要求》中，提出应由承包人承担的费用，结算时一律不作调整。</w:t>
      </w:r>
    </w:p>
    <w:p w14:paraId="4BBD954B">
      <w:pPr>
        <w:spacing w:line="440" w:lineRule="exact"/>
        <w:ind w:firstLine="480" w:firstLineChars="200"/>
        <w:rPr>
          <w:rFonts w:ascii="宋体" w:hAnsi="宋体" w:cs="宋体"/>
          <w:color w:val="auto"/>
          <w:sz w:val="24"/>
        </w:rPr>
      </w:pPr>
      <w:bookmarkStart w:id="68" w:name="_Toc448911923"/>
      <w:bookmarkStart w:id="69" w:name="_Toc14798"/>
      <w:r>
        <w:rPr>
          <w:rFonts w:hint="eastAsia" w:ascii="宋体" w:hAnsi="宋体" w:cs="宋体"/>
          <w:color w:val="auto"/>
          <w:sz w:val="24"/>
        </w:rPr>
        <w:t>1</w:t>
      </w:r>
      <w:bookmarkStart w:id="70" w:name="_Toc296346698"/>
      <w:bookmarkStart w:id="71" w:name="_Toc303539150"/>
      <w:bookmarkStart w:id="72" w:name="_Toc296891237"/>
      <w:bookmarkStart w:id="73" w:name="_Toc296347196"/>
      <w:bookmarkStart w:id="74" w:name="_Toc300934993"/>
      <w:bookmarkStart w:id="75" w:name="_Toc296503197"/>
      <w:bookmarkStart w:id="76" w:name="_Toc297048383"/>
      <w:bookmarkStart w:id="77" w:name="_Toc296891025"/>
      <w:bookmarkStart w:id="78" w:name="_Toc297216203"/>
      <w:bookmarkStart w:id="79" w:name="_Toc297120497"/>
      <w:bookmarkStart w:id="80" w:name="_Toc292559907"/>
      <w:bookmarkStart w:id="81" w:name="_Toc292559402"/>
      <w:bookmarkStart w:id="82" w:name="_Toc296944536"/>
      <w:bookmarkStart w:id="83" w:name="_Toc297123544"/>
      <w:r>
        <w:rPr>
          <w:rFonts w:hint="eastAsia" w:ascii="宋体" w:hAnsi="宋体" w:cs="宋体"/>
          <w:color w:val="auto"/>
          <w:sz w:val="24"/>
        </w:rPr>
        <w:t>0.</w:t>
      </w:r>
      <w:r>
        <w:rPr>
          <w:rFonts w:ascii="宋体" w:hAnsi="宋体" w:cs="宋体"/>
          <w:color w:val="auto"/>
          <w:sz w:val="24"/>
        </w:rPr>
        <w:t>3</w:t>
      </w:r>
      <w:r>
        <w:rPr>
          <w:rFonts w:hint="eastAsia" w:ascii="宋体" w:hAnsi="宋体" w:cs="宋体"/>
          <w:color w:val="auto"/>
          <w:sz w:val="24"/>
        </w:rPr>
        <w:t xml:space="preserve"> 承</w:t>
      </w:r>
      <w:bookmarkEnd w:id="70"/>
      <w:bookmarkEnd w:id="71"/>
      <w:bookmarkEnd w:id="72"/>
      <w:bookmarkEnd w:id="73"/>
      <w:bookmarkEnd w:id="74"/>
      <w:bookmarkEnd w:id="75"/>
      <w:bookmarkEnd w:id="76"/>
      <w:bookmarkEnd w:id="77"/>
      <w:bookmarkEnd w:id="78"/>
      <w:bookmarkEnd w:id="79"/>
      <w:bookmarkEnd w:id="80"/>
      <w:bookmarkEnd w:id="81"/>
      <w:bookmarkEnd w:id="82"/>
      <w:bookmarkEnd w:id="83"/>
      <w:r>
        <w:rPr>
          <w:rFonts w:hint="eastAsia" w:ascii="宋体" w:hAnsi="宋体" w:cs="宋体"/>
          <w:color w:val="auto"/>
          <w:sz w:val="24"/>
        </w:rPr>
        <w:t>包人的合理化建议</w:t>
      </w:r>
      <w:bookmarkEnd w:id="68"/>
      <w:bookmarkEnd w:id="69"/>
    </w:p>
    <w:p w14:paraId="3D6CDFD6">
      <w:pPr>
        <w:spacing w:line="440" w:lineRule="exact"/>
        <w:ind w:firstLine="480" w:firstLineChars="200"/>
        <w:rPr>
          <w:rFonts w:ascii="宋体" w:hAnsi="宋体" w:cs="宋体"/>
          <w:color w:val="auto"/>
          <w:sz w:val="24"/>
        </w:rPr>
      </w:pPr>
      <w:r>
        <w:rPr>
          <w:rFonts w:hint="eastAsia" w:ascii="宋体" w:hAnsi="宋体" w:cs="宋体"/>
          <w:color w:val="auto"/>
          <w:sz w:val="24"/>
        </w:rPr>
        <w:t>监理人审查承包人合理化建议的期限：</w:t>
      </w:r>
      <w:r>
        <w:rPr>
          <w:rFonts w:hint="eastAsia" w:ascii="宋体" w:hAnsi="宋体" w:cs="宋体"/>
          <w:color w:val="auto"/>
          <w:sz w:val="24"/>
          <w:u w:val="single"/>
        </w:rPr>
        <w:t xml:space="preserve">         无      </w:t>
      </w:r>
      <w:r>
        <w:rPr>
          <w:rFonts w:hint="eastAsia" w:ascii="宋体" w:hAnsi="宋体" w:cs="宋体"/>
          <w:color w:val="auto"/>
          <w:sz w:val="24"/>
        </w:rPr>
        <w:t>。</w:t>
      </w:r>
    </w:p>
    <w:p w14:paraId="125C082B">
      <w:pPr>
        <w:spacing w:line="440" w:lineRule="exact"/>
        <w:ind w:firstLine="480" w:firstLineChars="200"/>
        <w:rPr>
          <w:rFonts w:ascii="宋体" w:hAnsi="宋体" w:cs="宋体"/>
          <w:color w:val="auto"/>
          <w:sz w:val="24"/>
        </w:rPr>
      </w:pPr>
      <w:r>
        <w:rPr>
          <w:rFonts w:hint="eastAsia" w:ascii="宋体" w:hAnsi="宋体" w:cs="宋体"/>
          <w:color w:val="auto"/>
          <w:sz w:val="24"/>
        </w:rPr>
        <w:t>发包人审批承包人合理化建议的期限：</w:t>
      </w:r>
      <w:r>
        <w:rPr>
          <w:rFonts w:hint="eastAsia" w:ascii="宋体" w:hAnsi="宋体" w:cs="宋体"/>
          <w:color w:val="auto"/>
          <w:sz w:val="24"/>
          <w:u w:val="single"/>
        </w:rPr>
        <w:t xml:space="preserve">        无       </w:t>
      </w:r>
      <w:r>
        <w:rPr>
          <w:rFonts w:hint="eastAsia" w:ascii="宋体" w:hAnsi="宋体" w:cs="宋体"/>
          <w:color w:val="auto"/>
          <w:sz w:val="24"/>
        </w:rPr>
        <w:t>。</w:t>
      </w:r>
    </w:p>
    <w:p w14:paraId="1D8FF2D7">
      <w:pPr>
        <w:spacing w:line="440" w:lineRule="exact"/>
        <w:ind w:firstLine="480" w:firstLineChars="200"/>
        <w:rPr>
          <w:rFonts w:ascii="宋体" w:hAnsi="宋体" w:cs="宋体"/>
          <w:color w:val="auto"/>
          <w:sz w:val="24"/>
        </w:rPr>
      </w:pPr>
      <w:r>
        <w:rPr>
          <w:rFonts w:hint="eastAsia" w:ascii="宋体" w:hAnsi="宋体" w:cs="宋体"/>
          <w:color w:val="auto"/>
          <w:sz w:val="24"/>
        </w:rPr>
        <w:t>承包人提出的合理化建议降低了合同价格或者提高了工程经济效益的奖励的方法和金额为：</w:t>
      </w:r>
      <w:r>
        <w:rPr>
          <w:rFonts w:hint="eastAsia" w:ascii="宋体" w:hAnsi="宋体" w:cs="宋体"/>
          <w:color w:val="auto"/>
          <w:sz w:val="24"/>
          <w:u w:val="single"/>
        </w:rPr>
        <w:t xml:space="preserve">  无 </w:t>
      </w:r>
      <w:r>
        <w:rPr>
          <w:rFonts w:hint="eastAsia" w:ascii="宋体" w:hAnsi="宋体" w:cs="宋体"/>
          <w:color w:val="auto"/>
          <w:sz w:val="24"/>
        </w:rPr>
        <w:t>。</w:t>
      </w:r>
    </w:p>
    <w:p w14:paraId="0D41920F">
      <w:pPr>
        <w:spacing w:line="440" w:lineRule="exact"/>
        <w:ind w:firstLine="480" w:firstLineChars="200"/>
        <w:rPr>
          <w:rFonts w:ascii="宋体" w:hAnsi="宋体" w:cs="宋体"/>
          <w:color w:val="auto"/>
          <w:sz w:val="24"/>
        </w:rPr>
      </w:pPr>
      <w:bookmarkStart w:id="84" w:name="_Toc448911924"/>
      <w:bookmarkStart w:id="85" w:name="_Toc1986"/>
      <w:r>
        <w:rPr>
          <w:rFonts w:hint="eastAsia" w:ascii="宋体" w:hAnsi="宋体" w:cs="宋体"/>
          <w:color w:val="auto"/>
          <w:sz w:val="24"/>
        </w:rPr>
        <w:t>10.</w:t>
      </w:r>
      <w:r>
        <w:rPr>
          <w:rFonts w:ascii="宋体" w:hAnsi="宋体" w:cs="宋体"/>
          <w:color w:val="auto"/>
          <w:sz w:val="24"/>
        </w:rPr>
        <w:t>4</w:t>
      </w:r>
      <w:r>
        <w:rPr>
          <w:rFonts w:hint="eastAsia" w:ascii="宋体" w:hAnsi="宋体" w:cs="宋体"/>
          <w:color w:val="auto"/>
          <w:sz w:val="24"/>
        </w:rPr>
        <w:t xml:space="preserve"> 暂估价</w:t>
      </w:r>
      <w:bookmarkEnd w:id="84"/>
      <w:bookmarkEnd w:id="85"/>
    </w:p>
    <w:p w14:paraId="6ADF65C2">
      <w:pPr>
        <w:spacing w:line="440" w:lineRule="exact"/>
        <w:ind w:firstLine="480" w:firstLineChars="200"/>
        <w:rPr>
          <w:rFonts w:ascii="宋体" w:hAnsi="宋体" w:cs="宋体"/>
          <w:color w:val="auto"/>
          <w:sz w:val="24"/>
        </w:rPr>
      </w:pPr>
      <w:r>
        <w:rPr>
          <w:rFonts w:hint="eastAsia" w:ascii="宋体" w:hAnsi="宋体" w:cs="宋体"/>
          <w:color w:val="auto"/>
          <w:sz w:val="24"/>
        </w:rPr>
        <w:t>暂估价材料和工程设备的明细详见工程量清单。</w:t>
      </w:r>
    </w:p>
    <w:p w14:paraId="79321736">
      <w:pPr>
        <w:spacing w:line="440" w:lineRule="exact"/>
        <w:ind w:firstLine="480" w:firstLineChars="200"/>
        <w:rPr>
          <w:rFonts w:ascii="宋体" w:hAnsi="宋体" w:cs="宋体"/>
          <w:color w:val="auto"/>
          <w:sz w:val="24"/>
        </w:rPr>
      </w:pPr>
      <w:r>
        <w:rPr>
          <w:rFonts w:hint="eastAsia" w:ascii="宋体" w:hAnsi="宋体" w:cs="宋体"/>
          <w:color w:val="auto"/>
          <w:sz w:val="24"/>
        </w:rPr>
        <w:t>10.</w:t>
      </w:r>
      <w:r>
        <w:rPr>
          <w:rFonts w:ascii="宋体" w:hAnsi="宋体" w:cs="宋体"/>
          <w:color w:val="auto"/>
          <w:sz w:val="24"/>
        </w:rPr>
        <w:t>4</w:t>
      </w:r>
      <w:r>
        <w:rPr>
          <w:rFonts w:hint="eastAsia" w:ascii="宋体" w:hAnsi="宋体" w:cs="宋体"/>
          <w:color w:val="auto"/>
          <w:sz w:val="24"/>
        </w:rPr>
        <w:t>.1 依法必须招标的暂估价项目</w:t>
      </w:r>
    </w:p>
    <w:p w14:paraId="47E495B0">
      <w:pPr>
        <w:spacing w:line="440" w:lineRule="exact"/>
        <w:ind w:firstLine="480" w:firstLineChars="200"/>
        <w:rPr>
          <w:rFonts w:ascii="宋体" w:hAnsi="宋体" w:cs="宋体"/>
          <w:color w:val="auto"/>
          <w:sz w:val="24"/>
        </w:rPr>
      </w:pPr>
      <w:r>
        <w:rPr>
          <w:rFonts w:hint="eastAsia" w:ascii="宋体" w:hAnsi="宋体" w:cs="宋体"/>
          <w:color w:val="auto"/>
          <w:sz w:val="24"/>
        </w:rPr>
        <w:t>对于依法必须招标的暂估价项目的确认和批准采取</w:t>
      </w:r>
      <w:r>
        <w:rPr>
          <w:rFonts w:hint="eastAsia" w:ascii="宋体" w:hAnsi="宋体" w:cs="宋体"/>
          <w:color w:val="auto"/>
          <w:sz w:val="24"/>
          <w:u w:val="single"/>
        </w:rPr>
        <w:t>：承包人组织招标，发包人审批招标方案</w:t>
      </w:r>
      <w:r>
        <w:rPr>
          <w:rFonts w:hint="eastAsia" w:ascii="宋体" w:hAnsi="宋体" w:cs="宋体"/>
          <w:color w:val="auto"/>
          <w:sz w:val="24"/>
        </w:rPr>
        <w:t>方式确定。</w:t>
      </w:r>
    </w:p>
    <w:p w14:paraId="44B9EDAB">
      <w:pPr>
        <w:spacing w:line="440" w:lineRule="exact"/>
        <w:ind w:firstLine="480" w:firstLineChars="200"/>
        <w:rPr>
          <w:rFonts w:ascii="宋体" w:hAnsi="宋体" w:cs="宋体"/>
          <w:color w:val="auto"/>
          <w:sz w:val="24"/>
        </w:rPr>
      </w:pPr>
      <w:r>
        <w:rPr>
          <w:rFonts w:hint="eastAsia" w:ascii="宋体" w:hAnsi="宋体" w:cs="宋体"/>
          <w:color w:val="auto"/>
          <w:sz w:val="24"/>
        </w:rPr>
        <w:t>本工程依法必须招标的暂估价项目有：</w:t>
      </w:r>
      <w:r>
        <w:rPr>
          <w:rFonts w:hint="eastAsia" w:ascii="宋体" w:hAnsi="宋体" w:cs="宋体"/>
          <w:color w:val="auto"/>
          <w:sz w:val="24"/>
          <w:u w:val="single"/>
        </w:rPr>
        <w:t xml:space="preserve">  无  </w:t>
      </w:r>
      <w:r>
        <w:rPr>
          <w:rFonts w:hint="eastAsia" w:ascii="宋体" w:hAnsi="宋体" w:cs="宋体"/>
          <w:color w:val="auto"/>
          <w:sz w:val="24"/>
        </w:rPr>
        <w:t>。</w:t>
      </w:r>
    </w:p>
    <w:p w14:paraId="207C317C">
      <w:pPr>
        <w:spacing w:line="440" w:lineRule="exact"/>
        <w:ind w:firstLine="480" w:firstLineChars="200"/>
        <w:rPr>
          <w:rFonts w:ascii="宋体" w:hAnsi="宋体" w:cs="宋体"/>
          <w:color w:val="auto"/>
          <w:sz w:val="24"/>
        </w:rPr>
      </w:pPr>
      <w:r>
        <w:rPr>
          <w:rFonts w:hint="eastAsia" w:ascii="宋体" w:hAnsi="宋体" w:cs="宋体"/>
          <w:color w:val="auto"/>
          <w:sz w:val="24"/>
        </w:rPr>
        <w:t>10.</w:t>
      </w:r>
      <w:r>
        <w:rPr>
          <w:rFonts w:ascii="宋体" w:hAnsi="宋体" w:cs="宋体"/>
          <w:color w:val="auto"/>
          <w:sz w:val="24"/>
        </w:rPr>
        <w:t>4</w:t>
      </w:r>
      <w:r>
        <w:rPr>
          <w:rFonts w:hint="eastAsia" w:ascii="宋体" w:hAnsi="宋体" w:cs="宋体"/>
          <w:color w:val="auto"/>
          <w:sz w:val="24"/>
        </w:rPr>
        <w:t>.2 不属于依法必须招标的暂估价项目</w:t>
      </w:r>
    </w:p>
    <w:p w14:paraId="1D84FD1C">
      <w:pPr>
        <w:spacing w:line="440" w:lineRule="exact"/>
        <w:ind w:firstLine="480" w:firstLineChars="200"/>
        <w:jc w:val="left"/>
        <w:rPr>
          <w:rFonts w:ascii="宋体" w:hAnsi="宋体" w:cs="宋体"/>
          <w:color w:val="auto"/>
          <w:sz w:val="24"/>
          <w:u w:val="single"/>
        </w:rPr>
      </w:pPr>
      <w:r>
        <w:rPr>
          <w:rFonts w:hint="eastAsia" w:ascii="宋体" w:hAnsi="宋体" w:cs="宋体"/>
          <w:color w:val="auto"/>
          <w:sz w:val="24"/>
        </w:rPr>
        <w:t>对于不属于依法必须招标的暂估价项目：</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u w:val="single"/>
        </w:rPr>
        <w:t>无 。</w:t>
      </w:r>
    </w:p>
    <w:p w14:paraId="3BDB5E29">
      <w:pPr>
        <w:spacing w:line="440" w:lineRule="exact"/>
        <w:ind w:firstLine="480" w:firstLineChars="200"/>
        <w:jc w:val="left"/>
        <w:rPr>
          <w:rFonts w:ascii="宋体" w:hAnsi="宋体" w:cs="宋体"/>
          <w:color w:val="auto"/>
          <w:sz w:val="24"/>
        </w:rPr>
      </w:pPr>
      <w:r>
        <w:rPr>
          <w:rFonts w:hint="eastAsia" w:ascii="宋体" w:hAnsi="宋体" w:cs="宋体"/>
          <w:color w:val="auto"/>
          <w:sz w:val="24"/>
        </w:rPr>
        <w:t>承包人直接实施的暂估价项目的约定：</w:t>
      </w:r>
      <w:r>
        <w:rPr>
          <w:rFonts w:hint="eastAsia" w:ascii="宋体" w:hAnsi="宋体" w:cs="宋体"/>
          <w:color w:val="auto"/>
          <w:sz w:val="24"/>
          <w:u w:val="single"/>
        </w:rPr>
        <w:t xml:space="preserve"> 无 </w:t>
      </w:r>
      <w:r>
        <w:rPr>
          <w:rFonts w:hint="eastAsia" w:ascii="宋体" w:hAnsi="宋体" w:cs="宋体"/>
          <w:color w:val="auto"/>
          <w:sz w:val="24"/>
        </w:rPr>
        <w:t>。</w:t>
      </w:r>
    </w:p>
    <w:p w14:paraId="11B47842">
      <w:pPr>
        <w:spacing w:line="440" w:lineRule="exact"/>
        <w:ind w:firstLine="480" w:firstLineChars="200"/>
        <w:rPr>
          <w:rFonts w:ascii="宋体" w:hAnsi="宋体" w:cs="宋体"/>
          <w:color w:val="auto"/>
          <w:sz w:val="24"/>
        </w:rPr>
      </w:pPr>
      <w:bookmarkStart w:id="86" w:name="_Toc448911925"/>
      <w:bookmarkStart w:id="87" w:name="_Toc26174"/>
      <w:r>
        <w:rPr>
          <w:rFonts w:hint="eastAsia" w:ascii="宋体" w:hAnsi="宋体" w:cs="宋体"/>
          <w:color w:val="auto"/>
          <w:sz w:val="24"/>
        </w:rPr>
        <w:t>10.</w:t>
      </w:r>
      <w:r>
        <w:rPr>
          <w:rFonts w:ascii="宋体" w:hAnsi="宋体" w:cs="宋体"/>
          <w:color w:val="auto"/>
          <w:sz w:val="24"/>
        </w:rPr>
        <w:t>5</w:t>
      </w:r>
      <w:r>
        <w:rPr>
          <w:rFonts w:hint="eastAsia" w:ascii="宋体" w:hAnsi="宋体" w:cs="宋体"/>
          <w:color w:val="auto"/>
          <w:sz w:val="24"/>
        </w:rPr>
        <w:t xml:space="preserve"> 暂列金额</w:t>
      </w:r>
      <w:bookmarkEnd w:id="86"/>
      <w:bookmarkEnd w:id="87"/>
    </w:p>
    <w:p w14:paraId="4AE70786">
      <w:pPr>
        <w:spacing w:line="440" w:lineRule="exact"/>
        <w:ind w:firstLine="480" w:firstLineChars="200"/>
        <w:rPr>
          <w:rFonts w:ascii="宋体" w:hAnsi="宋体" w:cs="宋体"/>
          <w:b/>
          <w:bCs/>
          <w:color w:val="auto"/>
          <w:sz w:val="24"/>
          <w:u w:val="single"/>
        </w:rPr>
      </w:pPr>
      <w:r>
        <w:rPr>
          <w:rFonts w:hint="eastAsia" w:ascii="宋体" w:hAnsi="宋体" w:cs="宋体"/>
          <w:color w:val="auto"/>
          <w:sz w:val="24"/>
        </w:rPr>
        <w:t>合同当事人关于暂列金额使用的约定：</w:t>
      </w:r>
      <w:r>
        <w:rPr>
          <w:rFonts w:hint="eastAsia" w:ascii="宋体" w:hAnsi="宋体" w:cs="宋体"/>
          <w:color w:val="auto"/>
          <w:sz w:val="24"/>
          <w:u w:val="single"/>
        </w:rPr>
        <w:t>无（暂列金是指发包人为可能发生工程变更而暂列的金额，发包人审定后，按照审定造价支付部分或全部暂列金。暂列金是发包人自行确定设立的，承包人无权使用此笔费用。此费用按实际发生经发包人签证后确定全部使用、部分使用或不使用。</w:t>
      </w:r>
      <w:r>
        <w:rPr>
          <w:rFonts w:hint="eastAsia" w:ascii="宋体" w:hAnsi="宋体" w:cs="宋体"/>
          <w:b/>
          <w:bCs/>
          <w:color w:val="auto"/>
          <w:sz w:val="24"/>
          <w:u w:val="single"/>
        </w:rPr>
        <w:t>暂列金不计入工程款付款的基数</w:t>
      </w:r>
      <w:r>
        <w:rPr>
          <w:rFonts w:hint="eastAsia" w:ascii="宋体" w:hAnsi="宋体" w:cs="宋体"/>
          <w:color w:val="auto"/>
          <w:sz w:val="24"/>
          <w:u w:val="single"/>
        </w:rPr>
        <w:t>）。</w:t>
      </w:r>
    </w:p>
    <w:p w14:paraId="34E709B0">
      <w:pPr>
        <w:spacing w:line="440" w:lineRule="exact"/>
        <w:ind w:firstLine="482" w:firstLineChars="200"/>
        <w:rPr>
          <w:rFonts w:ascii="宋体" w:hAnsi="宋体" w:cs="宋体"/>
          <w:b/>
          <w:bCs/>
          <w:color w:val="auto"/>
          <w:sz w:val="24"/>
        </w:rPr>
      </w:pPr>
      <w:bookmarkStart w:id="88" w:name="_Toc24919"/>
      <w:bookmarkStart w:id="89" w:name="_Toc19468"/>
      <w:bookmarkStart w:id="90" w:name="_Toc29624"/>
      <w:bookmarkStart w:id="91" w:name="_Toc25590"/>
      <w:bookmarkStart w:id="92" w:name="_Toc3502"/>
      <w:bookmarkStart w:id="93" w:name="_Toc12000"/>
      <w:bookmarkStart w:id="94" w:name="_Toc351203643"/>
      <w:bookmarkStart w:id="95" w:name="_Toc15153"/>
      <w:bookmarkStart w:id="96" w:name="_Toc861"/>
      <w:bookmarkStart w:id="97" w:name="_Toc16264"/>
      <w:bookmarkStart w:id="98" w:name="_Toc24706"/>
      <w:bookmarkStart w:id="99" w:name="_Toc448911926"/>
      <w:r>
        <w:rPr>
          <w:rFonts w:hint="eastAsia" w:ascii="宋体" w:hAnsi="宋体" w:cs="宋体"/>
          <w:b/>
          <w:bCs/>
          <w:color w:val="auto"/>
          <w:sz w:val="24"/>
        </w:rPr>
        <w:t>11.价格调整</w:t>
      </w:r>
      <w:bookmarkEnd w:id="88"/>
      <w:bookmarkEnd w:id="89"/>
      <w:bookmarkEnd w:id="90"/>
      <w:bookmarkEnd w:id="91"/>
      <w:bookmarkEnd w:id="92"/>
      <w:bookmarkEnd w:id="93"/>
      <w:bookmarkEnd w:id="94"/>
      <w:bookmarkEnd w:id="95"/>
      <w:bookmarkEnd w:id="96"/>
      <w:bookmarkEnd w:id="97"/>
      <w:bookmarkEnd w:id="98"/>
      <w:bookmarkEnd w:id="99"/>
    </w:p>
    <w:p w14:paraId="740B8B01">
      <w:pPr>
        <w:spacing w:line="440" w:lineRule="exact"/>
        <w:ind w:firstLine="480" w:firstLineChars="200"/>
        <w:rPr>
          <w:rFonts w:ascii="宋体" w:hAnsi="宋体" w:cs="宋体"/>
          <w:color w:val="auto"/>
          <w:sz w:val="24"/>
        </w:rPr>
      </w:pPr>
      <w:bookmarkStart w:id="100" w:name="_Toc448911927"/>
      <w:bookmarkStart w:id="101" w:name="_Toc2234"/>
      <w:r>
        <w:rPr>
          <w:rFonts w:hint="eastAsia" w:ascii="宋体" w:hAnsi="宋体" w:cs="宋体"/>
          <w:color w:val="auto"/>
          <w:sz w:val="24"/>
        </w:rPr>
        <w:t>11.1 市场价格波动引起的调整</w:t>
      </w:r>
      <w:bookmarkEnd w:id="100"/>
      <w:bookmarkEnd w:id="101"/>
    </w:p>
    <w:p w14:paraId="32CC6D64">
      <w:pPr>
        <w:spacing w:line="440" w:lineRule="exact"/>
        <w:ind w:firstLine="480" w:firstLineChars="200"/>
        <w:rPr>
          <w:rFonts w:ascii="宋体" w:hAnsi="宋体" w:cs="宋体"/>
          <w:color w:val="auto"/>
          <w:sz w:val="24"/>
        </w:rPr>
      </w:pPr>
      <w:bookmarkStart w:id="102" w:name="auto_fouce_26"/>
      <w:bookmarkStart w:id="103" w:name="tip_risk_bookmark_25"/>
      <w:r>
        <w:rPr>
          <w:rFonts w:hint="eastAsia" w:ascii="宋体" w:hAnsi="宋体" w:cs="宋体"/>
          <w:color w:val="auto"/>
          <w:sz w:val="24"/>
        </w:rPr>
        <w:t>市场价格波动是否调整合同价格的约定：</w:t>
      </w:r>
      <w:r>
        <w:rPr>
          <w:rFonts w:hint="eastAsia" w:ascii="宋体" w:hAnsi="宋体" w:cs="宋体"/>
          <w:color w:val="auto"/>
          <w:sz w:val="24"/>
          <w:u w:val="single"/>
        </w:rPr>
        <w:t>不调整</w:t>
      </w:r>
      <w:r>
        <w:rPr>
          <w:rFonts w:hint="eastAsia" w:ascii="宋体" w:hAnsi="宋体" w:cs="宋体"/>
          <w:color w:val="auto"/>
          <w:sz w:val="24"/>
        </w:rPr>
        <w:t>。</w:t>
      </w:r>
      <w:bookmarkEnd w:id="102"/>
    </w:p>
    <w:p w14:paraId="7409B66E">
      <w:pPr>
        <w:spacing w:line="440" w:lineRule="exact"/>
        <w:ind w:firstLine="480" w:firstLineChars="200"/>
        <w:rPr>
          <w:rFonts w:ascii="宋体" w:hAnsi="宋体" w:cs="宋体"/>
          <w:color w:val="auto"/>
          <w:sz w:val="24"/>
        </w:rPr>
      </w:pPr>
      <w:r>
        <w:rPr>
          <w:rFonts w:hint="eastAsia" w:ascii="宋体" w:hAnsi="宋体" w:cs="宋体"/>
          <w:color w:val="auto"/>
          <w:sz w:val="24"/>
        </w:rPr>
        <w:t>因市场价格波动调整合同价格，采用以下第/种方式对合同价格进行调整：</w:t>
      </w:r>
      <w:bookmarkEnd w:id="103"/>
    </w:p>
    <w:p w14:paraId="22A42171">
      <w:pPr>
        <w:spacing w:line="440" w:lineRule="exact"/>
        <w:ind w:firstLine="482" w:firstLineChars="200"/>
        <w:rPr>
          <w:rFonts w:ascii="宋体" w:hAnsi="宋体" w:cs="宋体"/>
          <w:b/>
          <w:bCs/>
          <w:color w:val="auto"/>
          <w:sz w:val="24"/>
        </w:rPr>
      </w:pPr>
      <w:r>
        <w:rPr>
          <w:rFonts w:hint="eastAsia" w:ascii="宋体" w:hAnsi="宋体" w:cs="宋体"/>
          <w:b/>
          <w:bCs/>
          <w:color w:val="auto"/>
          <w:sz w:val="24"/>
        </w:rPr>
        <w:t>第1种方式：采用价格指数进行价格调整。</w:t>
      </w:r>
    </w:p>
    <w:p w14:paraId="6449C770">
      <w:pPr>
        <w:spacing w:line="440" w:lineRule="exact"/>
        <w:ind w:firstLine="480" w:firstLineChars="200"/>
        <w:rPr>
          <w:rFonts w:ascii="宋体" w:hAnsi="宋体" w:cs="宋体"/>
          <w:color w:val="auto"/>
          <w:sz w:val="24"/>
        </w:rPr>
      </w:pPr>
      <w:r>
        <w:rPr>
          <w:rFonts w:hint="eastAsia" w:ascii="宋体" w:hAnsi="宋体" w:cs="宋体"/>
          <w:color w:val="auto"/>
          <w:sz w:val="24"/>
        </w:rPr>
        <w:t>关于各可调因子、定值和变值权重，以及基本价格指数及其来源的约定：</w:t>
      </w:r>
      <w:r>
        <w:rPr>
          <w:rFonts w:hint="eastAsia" w:ascii="宋体" w:hAnsi="宋体" w:cs="宋体"/>
          <w:color w:val="auto"/>
          <w:sz w:val="24"/>
          <w:u w:val="single"/>
        </w:rPr>
        <w:t xml:space="preserve">   无 </w:t>
      </w:r>
      <w:r>
        <w:rPr>
          <w:rFonts w:hint="eastAsia" w:ascii="宋体" w:hAnsi="宋体" w:cs="宋体"/>
          <w:color w:val="auto"/>
          <w:sz w:val="24"/>
        </w:rPr>
        <w:t xml:space="preserve">；  </w:t>
      </w:r>
    </w:p>
    <w:p w14:paraId="6364C318">
      <w:pPr>
        <w:spacing w:line="440" w:lineRule="exact"/>
        <w:ind w:firstLine="482" w:firstLineChars="200"/>
        <w:rPr>
          <w:rFonts w:ascii="宋体" w:hAnsi="宋体" w:cs="宋体"/>
          <w:b/>
          <w:bCs/>
          <w:color w:val="auto"/>
          <w:sz w:val="24"/>
        </w:rPr>
      </w:pPr>
      <w:r>
        <w:rPr>
          <w:rFonts w:hint="eastAsia" w:ascii="宋体" w:hAnsi="宋体" w:cs="宋体"/>
          <w:b/>
          <w:bCs/>
          <w:color w:val="auto"/>
          <w:sz w:val="24"/>
        </w:rPr>
        <w:t>第2种方式：采用造价信息进行价格调整。</w:t>
      </w:r>
    </w:p>
    <w:p w14:paraId="6C9C95BB">
      <w:pPr>
        <w:spacing w:line="440" w:lineRule="exact"/>
        <w:ind w:firstLine="480" w:firstLineChars="200"/>
        <w:rPr>
          <w:rFonts w:ascii="宋体" w:hAnsi="宋体" w:cs="宋体"/>
          <w:color w:val="auto"/>
          <w:sz w:val="24"/>
          <w:u w:val="single"/>
        </w:rPr>
      </w:pPr>
      <w:r>
        <w:rPr>
          <w:rFonts w:hint="eastAsia" w:ascii="宋体" w:hAnsi="宋体" w:cs="宋体"/>
          <w:color w:val="auto"/>
          <w:sz w:val="24"/>
        </w:rPr>
        <w:t>关于基准价格的约定：</w:t>
      </w:r>
      <w:r>
        <w:rPr>
          <w:rFonts w:hint="eastAsia" w:ascii="宋体" w:hAnsi="宋体" w:cs="宋体"/>
          <w:color w:val="auto"/>
          <w:sz w:val="24"/>
          <w:highlight w:val="cyan"/>
          <w:u w:val="single"/>
        </w:rPr>
        <w:t>按2026年第</w:t>
      </w:r>
      <w:r>
        <w:rPr>
          <w:rFonts w:hint="eastAsia" w:ascii="宋体" w:hAnsi="宋体" w:cs="宋体"/>
          <w:color w:val="auto"/>
          <w:sz w:val="24"/>
          <w:highlight w:val="cyan"/>
          <w:u w:val="single"/>
          <w:lang w:val="en-US" w:eastAsia="zh-CN"/>
        </w:rPr>
        <w:t>5</w:t>
      </w:r>
      <w:r>
        <w:rPr>
          <w:rFonts w:hint="eastAsia" w:ascii="宋体" w:hAnsi="宋体" w:cs="宋体"/>
          <w:color w:val="auto"/>
          <w:sz w:val="24"/>
          <w:highlight w:val="cyan"/>
          <w:u w:val="single"/>
        </w:rPr>
        <w:t>期</w:t>
      </w:r>
      <w:r>
        <w:rPr>
          <w:rFonts w:hint="eastAsia" w:ascii="宋体" w:hAnsi="宋体" w:cs="宋体"/>
          <w:color w:val="auto"/>
          <w:sz w:val="24"/>
          <w:highlight w:val="cyan"/>
          <w:u w:val="single"/>
          <w:lang w:val="en-US" w:eastAsia="zh-CN"/>
        </w:rPr>
        <w:t>上</w:t>
      </w:r>
      <w:r>
        <w:rPr>
          <w:rFonts w:hint="eastAsia" w:ascii="宋体" w:hAnsi="宋体" w:cs="宋体"/>
          <w:color w:val="auto"/>
          <w:sz w:val="24"/>
          <w:highlight w:val="cyan"/>
          <w:u w:val="single"/>
        </w:rPr>
        <w:t>半月《南宁建设工程造价信息》</w:t>
      </w:r>
      <w:r>
        <w:rPr>
          <w:rFonts w:hint="eastAsia" w:ascii="宋体" w:hAnsi="宋体" w:cs="宋体"/>
          <w:color w:val="auto"/>
          <w:sz w:val="24"/>
          <w:u w:val="single"/>
        </w:rPr>
        <w:t xml:space="preserve"> 除税价格计取。</w:t>
      </w:r>
    </w:p>
    <w:p w14:paraId="6905C2E3">
      <w:pPr>
        <w:spacing w:line="440" w:lineRule="exact"/>
        <w:ind w:firstLine="480" w:firstLineChars="200"/>
        <w:rPr>
          <w:rFonts w:ascii="宋体" w:hAnsi="宋体" w:cs="宋体"/>
          <w:color w:val="auto"/>
          <w:sz w:val="24"/>
        </w:rPr>
      </w:pPr>
      <w:r>
        <w:rPr>
          <w:rFonts w:hint="eastAsia" w:ascii="宋体" w:hAnsi="宋体" w:cs="宋体"/>
          <w:color w:val="auto"/>
          <w:sz w:val="24"/>
        </w:rPr>
        <w:t>专用合同条款①承包人在已标价工程量清单或预算书中载明的材料单价低于基准价格的：专用合同条款合同履行期间材料单价涨幅以基准价格为基础超过5%时，或材料单价跌幅以已标价工程量清单或预算书中载明材料单价为基础超过5%时，其超过部分据实调整。</w:t>
      </w:r>
    </w:p>
    <w:p w14:paraId="382C1A88">
      <w:pPr>
        <w:spacing w:line="440" w:lineRule="exact"/>
        <w:ind w:firstLine="480" w:firstLineChars="200"/>
        <w:rPr>
          <w:rFonts w:ascii="宋体" w:hAnsi="宋体" w:cs="宋体"/>
          <w:color w:val="auto"/>
          <w:sz w:val="24"/>
        </w:rPr>
      </w:pPr>
      <w:r>
        <w:rPr>
          <w:rFonts w:hint="eastAsia" w:ascii="宋体" w:hAnsi="宋体" w:cs="宋体"/>
          <w:color w:val="auto"/>
          <w:sz w:val="24"/>
        </w:rPr>
        <w:t>②承包人在已标价工程量清单或预算书中载明的材料单价高于基准价格的：专用合同条款合同履行期间材料单价跌幅以基准价格为基础超过5%时，材料单价涨幅以已标价工程量清单或预算书中载明材料单价为基础超过5%时，其超过部分据实调整。</w:t>
      </w:r>
    </w:p>
    <w:p w14:paraId="00982029">
      <w:pPr>
        <w:spacing w:line="440" w:lineRule="exact"/>
        <w:ind w:firstLine="480" w:firstLineChars="200"/>
        <w:rPr>
          <w:rFonts w:ascii="宋体" w:hAnsi="宋体" w:cs="宋体"/>
          <w:color w:val="auto"/>
          <w:sz w:val="24"/>
        </w:rPr>
      </w:pPr>
      <w:r>
        <w:rPr>
          <w:rFonts w:hint="eastAsia" w:ascii="宋体" w:hAnsi="宋体" w:cs="宋体"/>
          <w:color w:val="auto"/>
          <w:sz w:val="24"/>
        </w:rPr>
        <w:t>③承包人在已标价工程量清单或预算书中载明的材料单价等于基准单价的：专用合同条款合同履行期间材料单价涨跌幅以基准单价为基础超过±5%时，其超过部分据实调整。</w:t>
      </w:r>
    </w:p>
    <w:p w14:paraId="741C5012">
      <w:pPr>
        <w:spacing w:line="440" w:lineRule="exact"/>
        <w:ind w:firstLine="482" w:firstLineChars="200"/>
        <w:rPr>
          <w:rFonts w:ascii="宋体" w:hAnsi="宋体" w:cs="宋体"/>
          <w:b/>
          <w:bCs/>
          <w:color w:val="auto"/>
          <w:sz w:val="24"/>
        </w:rPr>
      </w:pPr>
      <w:r>
        <w:rPr>
          <w:rFonts w:hint="eastAsia" w:ascii="宋体" w:hAnsi="宋体" w:cs="宋体"/>
          <w:b/>
          <w:bCs/>
          <w:color w:val="auto"/>
          <w:sz w:val="24"/>
        </w:rPr>
        <w:t>第3种方式：其他价格调整方式。</w:t>
      </w:r>
    </w:p>
    <w:p w14:paraId="229844B2">
      <w:pPr>
        <w:spacing w:line="440" w:lineRule="exact"/>
        <w:ind w:firstLine="480" w:firstLineChars="200"/>
        <w:rPr>
          <w:rFonts w:ascii="宋体" w:hAnsi="宋体" w:cs="宋体"/>
          <w:color w:val="auto"/>
          <w:sz w:val="24"/>
        </w:rPr>
      </w:pPr>
      <w:r>
        <w:rPr>
          <w:rFonts w:hint="eastAsia" w:ascii="宋体" w:hAnsi="宋体" w:cs="宋体"/>
          <w:color w:val="auto"/>
          <w:sz w:val="24"/>
        </w:rPr>
        <w:t>其他价格调整方式：</w:t>
      </w:r>
      <w:r>
        <w:rPr>
          <w:rFonts w:hint="eastAsia" w:ascii="宋体" w:hAnsi="宋体" w:cs="宋体"/>
          <w:color w:val="auto"/>
          <w:sz w:val="24"/>
          <w:u w:val="single"/>
        </w:rPr>
        <w:t xml:space="preserve">     无    </w:t>
      </w:r>
      <w:r>
        <w:rPr>
          <w:rFonts w:hint="eastAsia" w:ascii="宋体" w:hAnsi="宋体" w:cs="宋体"/>
          <w:color w:val="auto"/>
          <w:sz w:val="24"/>
        </w:rPr>
        <w:t>。</w:t>
      </w:r>
    </w:p>
    <w:p w14:paraId="7241C6BD">
      <w:pPr>
        <w:spacing w:line="440" w:lineRule="exact"/>
        <w:ind w:firstLine="482" w:firstLineChars="200"/>
        <w:rPr>
          <w:rFonts w:ascii="宋体" w:hAnsi="宋体" w:cs="宋体"/>
          <w:b/>
          <w:bCs/>
          <w:color w:val="auto"/>
          <w:sz w:val="24"/>
        </w:rPr>
      </w:pPr>
      <w:bookmarkStart w:id="104" w:name="_Toc296891245"/>
      <w:bookmarkStart w:id="105" w:name="_Toc296346706"/>
      <w:bookmarkStart w:id="106" w:name="_Toc297048391"/>
      <w:bookmarkStart w:id="107" w:name="_Toc297120505"/>
      <w:bookmarkStart w:id="108" w:name="_Toc296891033"/>
      <w:bookmarkStart w:id="109" w:name="_Toc296944544"/>
      <w:bookmarkStart w:id="110" w:name="_Toc296503205"/>
      <w:bookmarkStart w:id="111" w:name="_Toc292559915"/>
      <w:bookmarkStart w:id="112" w:name="_Toc296347204"/>
      <w:bookmarkStart w:id="113" w:name="_Toc292559410"/>
      <w:bookmarkStart w:id="114" w:name="_Toc14113"/>
      <w:bookmarkStart w:id="115" w:name="_Toc351203644"/>
      <w:bookmarkStart w:id="116" w:name="_Toc13778"/>
      <w:bookmarkStart w:id="117" w:name="_Toc13075"/>
      <w:bookmarkStart w:id="118" w:name="_Toc7568"/>
      <w:bookmarkStart w:id="119" w:name="_Toc14777"/>
      <w:bookmarkStart w:id="120" w:name="_Toc766"/>
      <w:bookmarkStart w:id="121" w:name="_Toc28972"/>
      <w:bookmarkStart w:id="122" w:name="_Toc9087"/>
      <w:bookmarkStart w:id="123" w:name="_Toc26670"/>
      <w:bookmarkStart w:id="124" w:name="_Toc448911928"/>
      <w:bookmarkStart w:id="125" w:name="_Toc17494"/>
      <w:r>
        <w:rPr>
          <w:rFonts w:hint="eastAsia" w:ascii="宋体" w:hAnsi="宋体" w:cs="宋体"/>
          <w:b/>
          <w:bCs/>
          <w:color w:val="auto"/>
          <w:sz w:val="24"/>
        </w:rPr>
        <w:t>12.</w:t>
      </w:r>
      <w:bookmarkEnd w:id="104"/>
      <w:bookmarkEnd w:id="105"/>
      <w:bookmarkEnd w:id="106"/>
      <w:bookmarkEnd w:id="107"/>
      <w:bookmarkEnd w:id="108"/>
      <w:bookmarkEnd w:id="109"/>
      <w:bookmarkEnd w:id="110"/>
      <w:bookmarkEnd w:id="111"/>
      <w:bookmarkEnd w:id="112"/>
      <w:bookmarkEnd w:id="113"/>
      <w:r>
        <w:rPr>
          <w:rFonts w:hint="eastAsia" w:ascii="宋体" w:hAnsi="宋体" w:cs="宋体"/>
          <w:b/>
          <w:bCs/>
          <w:color w:val="auto"/>
          <w:sz w:val="24"/>
        </w:rPr>
        <w:t>合同价格、计量与支付</w:t>
      </w:r>
      <w:bookmarkEnd w:id="114"/>
      <w:bookmarkEnd w:id="115"/>
      <w:bookmarkEnd w:id="116"/>
      <w:bookmarkEnd w:id="117"/>
      <w:bookmarkEnd w:id="118"/>
      <w:bookmarkEnd w:id="119"/>
      <w:bookmarkEnd w:id="120"/>
      <w:bookmarkEnd w:id="121"/>
      <w:bookmarkEnd w:id="122"/>
      <w:bookmarkEnd w:id="123"/>
      <w:bookmarkEnd w:id="124"/>
      <w:bookmarkEnd w:id="125"/>
    </w:p>
    <w:p w14:paraId="791CF78D">
      <w:pPr>
        <w:spacing w:line="440" w:lineRule="exact"/>
        <w:ind w:firstLine="480" w:firstLineChars="200"/>
        <w:rPr>
          <w:rFonts w:ascii="宋体" w:hAnsi="宋体" w:cs="宋体"/>
          <w:color w:val="auto"/>
          <w:sz w:val="24"/>
        </w:rPr>
      </w:pPr>
      <w:bookmarkStart w:id="126" w:name="_Toc267251461"/>
      <w:bookmarkStart w:id="127" w:name="_Toc292559411"/>
      <w:bookmarkStart w:id="128" w:name="_Toc292559916"/>
      <w:bookmarkStart w:id="129" w:name="_Toc297048392"/>
      <w:bookmarkStart w:id="130" w:name="_Toc296891034"/>
      <w:bookmarkStart w:id="131" w:name="_Toc297120506"/>
      <w:bookmarkStart w:id="132" w:name="_Toc296346707"/>
      <w:bookmarkStart w:id="133" w:name="_Toc296347205"/>
      <w:bookmarkStart w:id="134" w:name="_Toc296503206"/>
      <w:bookmarkStart w:id="135" w:name="_Toc296891246"/>
      <w:bookmarkStart w:id="136" w:name="_Toc296944545"/>
      <w:bookmarkStart w:id="137" w:name="_Toc448911929"/>
      <w:bookmarkStart w:id="138" w:name="_Toc14112"/>
      <w:r>
        <w:rPr>
          <w:rFonts w:hint="eastAsia" w:ascii="宋体" w:hAnsi="宋体" w:cs="宋体"/>
          <w:color w:val="auto"/>
          <w:sz w:val="24"/>
        </w:rPr>
        <w:t>12.1 合</w:t>
      </w:r>
      <w:bookmarkEnd w:id="126"/>
      <w:bookmarkEnd w:id="127"/>
      <w:bookmarkEnd w:id="128"/>
      <w:r>
        <w:rPr>
          <w:rFonts w:hint="eastAsia" w:ascii="宋体" w:hAnsi="宋体" w:cs="宋体"/>
          <w:color w:val="auto"/>
          <w:sz w:val="24"/>
        </w:rPr>
        <w:t>同价</w:t>
      </w:r>
      <w:bookmarkEnd w:id="129"/>
      <w:bookmarkEnd w:id="130"/>
      <w:bookmarkEnd w:id="131"/>
      <w:bookmarkEnd w:id="132"/>
      <w:bookmarkEnd w:id="133"/>
      <w:bookmarkEnd w:id="134"/>
      <w:bookmarkEnd w:id="135"/>
      <w:bookmarkEnd w:id="136"/>
      <w:r>
        <w:rPr>
          <w:rFonts w:hint="eastAsia" w:ascii="宋体" w:hAnsi="宋体" w:cs="宋体"/>
          <w:color w:val="auto"/>
          <w:sz w:val="24"/>
        </w:rPr>
        <w:t>格形式</w:t>
      </w:r>
      <w:bookmarkEnd w:id="137"/>
      <w:bookmarkEnd w:id="138"/>
    </w:p>
    <w:p w14:paraId="6F9E8481">
      <w:pPr>
        <w:pStyle w:val="18"/>
        <w:widowControl/>
        <w:spacing w:line="440" w:lineRule="exact"/>
        <w:ind w:firstLine="420"/>
        <w:jc w:val="left"/>
        <w:rPr>
          <w:rFonts w:ascii="宋体" w:hAnsi="宋体" w:cs="宋体"/>
          <w:color w:val="auto"/>
        </w:rPr>
      </w:pPr>
      <w:r>
        <w:rPr>
          <w:rFonts w:hint="eastAsia" w:ascii="宋体" w:hAnsi="宋体" w:cs="宋体"/>
          <w:color w:val="auto"/>
        </w:rPr>
        <w:t>本工程采用固定</w:t>
      </w:r>
      <w:r>
        <w:rPr>
          <w:rFonts w:hint="eastAsia" w:ascii="宋体" w:hAnsi="宋体" w:cs="宋体"/>
          <w:color w:val="auto"/>
          <w:u w:val="single"/>
        </w:rPr>
        <w:t>综合单价</w:t>
      </w:r>
      <w:r>
        <w:rPr>
          <w:rFonts w:hint="eastAsia" w:ascii="宋体" w:hAnsi="宋体" w:cs="宋体"/>
          <w:color w:val="auto"/>
        </w:rPr>
        <w:t>合同价格形式，合同价格包含增值税，本工程计价时采用的增值税计税方法为：☑一般计税法 □简易计税法。</w:t>
      </w:r>
    </w:p>
    <w:p w14:paraId="592E9E0A">
      <w:pPr>
        <w:spacing w:line="440" w:lineRule="exact"/>
        <w:ind w:firstLine="480" w:firstLineChars="200"/>
        <w:rPr>
          <w:rFonts w:ascii="宋体" w:hAnsi="宋体" w:cs="宋体"/>
          <w:color w:val="auto"/>
          <w:sz w:val="24"/>
        </w:rPr>
      </w:pPr>
      <w:r>
        <w:rPr>
          <w:rFonts w:hint="eastAsia" w:ascii="宋体" w:hAnsi="宋体" w:cs="宋体"/>
          <w:color w:val="auto"/>
          <w:sz w:val="24"/>
        </w:rPr>
        <w:t>12.1.1 单价合同。</w:t>
      </w:r>
    </w:p>
    <w:p w14:paraId="172F63DA">
      <w:pPr>
        <w:spacing w:line="440" w:lineRule="exact"/>
        <w:ind w:firstLine="480" w:firstLineChars="200"/>
        <w:rPr>
          <w:rFonts w:ascii="宋体" w:hAnsi="宋体" w:cs="宋体"/>
          <w:color w:val="auto"/>
          <w:sz w:val="24"/>
        </w:rPr>
      </w:pPr>
      <w:r>
        <w:rPr>
          <w:rFonts w:hint="eastAsia" w:ascii="宋体" w:hAnsi="宋体" w:cs="宋体"/>
          <w:color w:val="auto"/>
          <w:sz w:val="24"/>
        </w:rPr>
        <w:t>综合单价包含的风险范围：</w:t>
      </w:r>
      <w:r>
        <w:rPr>
          <w:rFonts w:hint="eastAsia" w:ascii="宋体" w:hAnsi="宋体" w:cs="宋体"/>
          <w:color w:val="auto"/>
          <w:sz w:val="24"/>
          <w:u w:val="single"/>
        </w:rPr>
        <w:t>除工程变更、工程量清单缺项、工程量偏差、政策性调整以外的风险。</w:t>
      </w:r>
    </w:p>
    <w:p w14:paraId="6DD4D6BF">
      <w:pPr>
        <w:spacing w:line="440" w:lineRule="exact"/>
        <w:ind w:firstLine="480" w:firstLineChars="200"/>
        <w:rPr>
          <w:rFonts w:ascii="宋体" w:hAnsi="宋体" w:cs="宋体"/>
          <w:color w:val="auto"/>
          <w:sz w:val="24"/>
        </w:rPr>
      </w:pPr>
      <w:r>
        <w:rPr>
          <w:rFonts w:hint="eastAsia" w:ascii="宋体" w:hAnsi="宋体" w:cs="宋体"/>
          <w:color w:val="auto"/>
          <w:sz w:val="24"/>
        </w:rPr>
        <w:t>风险费用的计算方法：</w:t>
      </w:r>
      <w:r>
        <w:rPr>
          <w:rFonts w:hint="eastAsia" w:ascii="宋体" w:hAnsi="宋体" w:cs="宋体"/>
          <w:color w:val="auto"/>
          <w:sz w:val="24"/>
          <w:u w:val="single"/>
        </w:rPr>
        <w:t>无</w:t>
      </w:r>
      <w:r>
        <w:rPr>
          <w:rFonts w:hint="eastAsia" w:ascii="宋体" w:hAnsi="宋体" w:cs="宋体"/>
          <w:color w:val="auto"/>
          <w:sz w:val="24"/>
        </w:rPr>
        <w:t>。</w:t>
      </w:r>
    </w:p>
    <w:p w14:paraId="36A34E38">
      <w:pPr>
        <w:spacing w:line="440" w:lineRule="exact"/>
        <w:ind w:firstLine="480" w:firstLineChars="200"/>
        <w:rPr>
          <w:rFonts w:ascii="宋体" w:hAnsi="宋体" w:cs="宋体"/>
          <w:color w:val="auto"/>
          <w:sz w:val="24"/>
        </w:rPr>
      </w:pPr>
      <w:r>
        <w:rPr>
          <w:rFonts w:hint="eastAsia" w:ascii="宋体" w:hAnsi="宋体" w:cs="宋体"/>
          <w:color w:val="auto"/>
          <w:sz w:val="24"/>
        </w:rPr>
        <w:t>风险范围以外合同价格的调整方法：</w:t>
      </w:r>
    </w:p>
    <w:p w14:paraId="1BF4ADF7">
      <w:pPr>
        <w:pStyle w:val="23"/>
        <w:numPr>
          <w:ilvl w:val="0"/>
          <w:numId w:val="1"/>
        </w:numPr>
        <w:spacing w:line="440" w:lineRule="exact"/>
        <w:ind w:firstLineChars="0"/>
        <w:rPr>
          <w:rFonts w:ascii="宋体" w:hAnsi="宋体" w:cs="宋体"/>
          <w:color w:val="auto"/>
          <w:sz w:val="24"/>
        </w:rPr>
      </w:pPr>
      <w:r>
        <w:rPr>
          <w:rFonts w:hint="eastAsia" w:ascii="宋体" w:hAnsi="宋体" w:cs="宋体"/>
          <w:color w:val="auto"/>
          <w:sz w:val="24"/>
        </w:rPr>
        <w:t>工程变更：按10.</w:t>
      </w:r>
      <w:r>
        <w:rPr>
          <w:rFonts w:ascii="宋体" w:hAnsi="宋体" w:cs="宋体"/>
          <w:color w:val="auto"/>
          <w:sz w:val="24"/>
        </w:rPr>
        <w:t>2</w:t>
      </w:r>
      <w:r>
        <w:rPr>
          <w:rFonts w:hint="eastAsia" w:ascii="宋体" w:hAnsi="宋体" w:cs="宋体"/>
          <w:color w:val="auto"/>
          <w:sz w:val="24"/>
        </w:rPr>
        <w:t>.1变更估价原则的约定调整。</w:t>
      </w:r>
    </w:p>
    <w:p w14:paraId="69CF7601">
      <w:pPr>
        <w:spacing w:line="440" w:lineRule="exact"/>
        <w:ind w:firstLine="480" w:firstLineChars="200"/>
        <w:rPr>
          <w:rFonts w:ascii="宋体" w:hAnsi="宋体" w:cs="宋体"/>
          <w:color w:val="auto"/>
          <w:sz w:val="24"/>
        </w:rPr>
      </w:pPr>
      <w:r>
        <w:rPr>
          <w:rFonts w:hint="eastAsia" w:ascii="宋体" w:hAnsi="宋体" w:cs="宋体"/>
          <w:color w:val="auto"/>
          <w:sz w:val="24"/>
        </w:rPr>
        <w:t>②政策性调整：按自治区建设行政主管部门颁布的文件执行。</w:t>
      </w:r>
    </w:p>
    <w:p w14:paraId="08FC88D0">
      <w:pPr>
        <w:spacing w:line="440" w:lineRule="exact"/>
        <w:ind w:firstLine="480" w:firstLineChars="200"/>
        <w:rPr>
          <w:rFonts w:ascii="宋体" w:hAnsi="宋体" w:cs="宋体"/>
          <w:color w:val="auto"/>
          <w:sz w:val="24"/>
        </w:rPr>
      </w:pPr>
      <w:r>
        <w:rPr>
          <w:rFonts w:hint="eastAsia" w:ascii="宋体" w:hAnsi="宋体" w:cs="宋体"/>
          <w:color w:val="auto"/>
          <w:sz w:val="24"/>
        </w:rPr>
        <w:t>③其它：</w:t>
      </w:r>
      <w:r>
        <w:rPr>
          <w:rFonts w:hint="eastAsia" w:ascii="宋体" w:hAnsi="宋体" w:cs="宋体"/>
          <w:color w:val="auto"/>
          <w:sz w:val="24"/>
          <w:u w:val="single"/>
        </w:rPr>
        <w:t xml:space="preserve">  / </w:t>
      </w:r>
      <w:r>
        <w:rPr>
          <w:rFonts w:hint="eastAsia" w:ascii="宋体" w:hAnsi="宋体" w:cs="宋体"/>
          <w:color w:val="auto"/>
          <w:sz w:val="24"/>
        </w:rPr>
        <w:t>。</w:t>
      </w:r>
    </w:p>
    <w:p w14:paraId="760F2208">
      <w:pPr>
        <w:spacing w:line="440" w:lineRule="exact"/>
        <w:ind w:firstLine="480" w:firstLineChars="200"/>
        <w:rPr>
          <w:rFonts w:ascii="宋体" w:hAnsi="宋体" w:cs="宋体"/>
          <w:color w:val="auto"/>
          <w:sz w:val="24"/>
        </w:rPr>
      </w:pPr>
      <w:r>
        <w:rPr>
          <w:rFonts w:hint="eastAsia" w:ascii="宋体" w:hAnsi="宋体" w:cs="宋体"/>
          <w:color w:val="auto"/>
          <w:sz w:val="24"/>
        </w:rPr>
        <w:t>12.1.2总价合同。</w:t>
      </w:r>
    </w:p>
    <w:p w14:paraId="4AB27472">
      <w:pPr>
        <w:spacing w:line="440" w:lineRule="exact"/>
        <w:ind w:firstLine="480" w:firstLineChars="200"/>
        <w:rPr>
          <w:rFonts w:ascii="宋体" w:hAnsi="宋体" w:cs="宋体"/>
          <w:color w:val="auto"/>
          <w:sz w:val="24"/>
          <w:u w:val="single"/>
        </w:rPr>
      </w:pPr>
      <w:r>
        <w:rPr>
          <w:rFonts w:hint="eastAsia" w:ascii="宋体" w:hAnsi="宋体" w:cs="宋体"/>
          <w:color w:val="auto"/>
          <w:sz w:val="24"/>
        </w:rPr>
        <w:t>总价包含的风险范围：</w:t>
      </w:r>
      <w:r>
        <w:rPr>
          <w:rFonts w:ascii="宋体" w:hAnsi="宋体" w:cs="宋体"/>
          <w:color w:val="auto"/>
          <w:sz w:val="24"/>
          <w:u w:val="single"/>
        </w:rPr>
        <w:t xml:space="preserve">   /  </w:t>
      </w:r>
    </w:p>
    <w:p w14:paraId="5631F7BF">
      <w:pPr>
        <w:spacing w:line="440" w:lineRule="exact"/>
        <w:ind w:firstLine="480" w:firstLineChars="200"/>
        <w:rPr>
          <w:rFonts w:ascii="宋体" w:hAnsi="宋体" w:cs="宋体"/>
          <w:color w:val="auto"/>
          <w:sz w:val="24"/>
        </w:rPr>
      </w:pPr>
      <w:r>
        <w:rPr>
          <w:rFonts w:hint="eastAsia" w:ascii="宋体" w:hAnsi="宋体" w:cs="宋体"/>
          <w:color w:val="auto"/>
          <w:sz w:val="24"/>
        </w:rPr>
        <w:t>风险费用的计算方法：</w:t>
      </w:r>
      <w:r>
        <w:rPr>
          <w:rFonts w:ascii="宋体" w:hAnsi="宋体" w:cs="宋体"/>
          <w:color w:val="auto"/>
          <w:sz w:val="24"/>
          <w:u w:val="single"/>
        </w:rPr>
        <w:t xml:space="preserve">    /   </w:t>
      </w:r>
      <w:r>
        <w:rPr>
          <w:rFonts w:hint="eastAsia" w:ascii="宋体" w:hAnsi="宋体" w:cs="宋体"/>
          <w:color w:val="auto"/>
          <w:sz w:val="24"/>
        </w:rPr>
        <w:t>。</w:t>
      </w:r>
    </w:p>
    <w:p w14:paraId="3E82ECA2">
      <w:pPr>
        <w:spacing w:line="440" w:lineRule="exact"/>
        <w:ind w:firstLine="480" w:firstLineChars="200"/>
        <w:rPr>
          <w:rFonts w:ascii="宋体" w:hAnsi="宋体" w:cs="宋体"/>
          <w:color w:val="auto"/>
          <w:sz w:val="24"/>
        </w:rPr>
      </w:pPr>
      <w:r>
        <w:rPr>
          <w:rFonts w:hint="eastAsia" w:ascii="宋体" w:hAnsi="宋体" w:cs="宋体"/>
          <w:color w:val="auto"/>
          <w:sz w:val="24"/>
        </w:rPr>
        <w:t>12.1.3 其他价格方式：</w:t>
      </w:r>
      <w:r>
        <w:rPr>
          <w:rFonts w:hint="eastAsia" w:ascii="宋体" w:hAnsi="宋体" w:cs="宋体"/>
          <w:color w:val="auto"/>
          <w:sz w:val="24"/>
          <w:u w:val="single"/>
        </w:rPr>
        <w:t xml:space="preserve">   /  </w:t>
      </w:r>
      <w:r>
        <w:rPr>
          <w:rFonts w:hint="eastAsia" w:ascii="宋体" w:hAnsi="宋体" w:cs="宋体"/>
          <w:color w:val="auto"/>
          <w:sz w:val="24"/>
        </w:rPr>
        <w:t>。</w:t>
      </w:r>
    </w:p>
    <w:p w14:paraId="19EF10EB">
      <w:pPr>
        <w:spacing w:line="440" w:lineRule="exact"/>
        <w:ind w:firstLine="480" w:firstLineChars="200"/>
        <w:rPr>
          <w:rFonts w:ascii="宋体" w:hAnsi="宋体" w:cs="宋体"/>
          <w:color w:val="auto"/>
          <w:sz w:val="24"/>
        </w:rPr>
      </w:pPr>
      <w:r>
        <w:rPr>
          <w:rFonts w:hint="eastAsia" w:ascii="宋体" w:hAnsi="宋体" w:cs="宋体"/>
          <w:color w:val="auto"/>
          <w:sz w:val="24"/>
        </w:rPr>
        <w:t>12.2 预付款</w:t>
      </w:r>
    </w:p>
    <w:p w14:paraId="7674C39A">
      <w:pPr>
        <w:spacing w:line="440" w:lineRule="exact"/>
        <w:ind w:firstLine="480" w:firstLineChars="200"/>
        <w:rPr>
          <w:rFonts w:ascii="宋体" w:hAnsi="宋体" w:cs="宋体"/>
          <w:color w:val="auto"/>
          <w:sz w:val="24"/>
        </w:rPr>
      </w:pPr>
      <w:r>
        <w:rPr>
          <w:rFonts w:hint="eastAsia" w:ascii="宋体" w:hAnsi="宋体" w:cs="宋体"/>
          <w:color w:val="auto"/>
          <w:sz w:val="24"/>
        </w:rPr>
        <w:t>12.2.1 预付款的支付</w:t>
      </w:r>
    </w:p>
    <w:p w14:paraId="00ACFAB3">
      <w:pPr>
        <w:spacing w:line="500" w:lineRule="exact"/>
        <w:ind w:firstLine="420" w:firstLineChars="175"/>
        <w:jc w:val="left"/>
        <w:rPr>
          <w:rFonts w:ascii="宋体" w:hAnsi="宋体"/>
          <w:color w:val="auto"/>
          <w:szCs w:val="21"/>
        </w:rPr>
      </w:pPr>
      <w:r>
        <w:rPr>
          <w:rFonts w:hint="eastAsia" w:ascii="宋体" w:hAnsi="宋体" w:cs="宋体"/>
          <w:color w:val="auto"/>
          <w:sz w:val="24"/>
        </w:rPr>
        <w:t>预付款支付比例或金额：</w:t>
      </w:r>
      <w:r>
        <w:rPr>
          <w:rFonts w:hint="eastAsia" w:ascii="宋体" w:hAnsi="宋体" w:cs="宋体"/>
          <w:color w:val="auto"/>
          <w:sz w:val="24"/>
          <w:u w:val="single"/>
        </w:rPr>
        <w:t xml:space="preserve"> /。</w:t>
      </w:r>
    </w:p>
    <w:p w14:paraId="3DEDBAD7">
      <w:pPr>
        <w:spacing w:line="440" w:lineRule="exact"/>
        <w:ind w:firstLine="480" w:firstLineChars="200"/>
        <w:rPr>
          <w:rFonts w:ascii="宋体" w:hAnsi="宋体" w:cs="宋体"/>
          <w:color w:val="auto"/>
          <w:sz w:val="24"/>
        </w:rPr>
      </w:pPr>
      <w:r>
        <w:rPr>
          <w:rFonts w:hint="eastAsia" w:ascii="宋体" w:hAnsi="宋体" w:cs="宋体"/>
          <w:color w:val="auto"/>
          <w:sz w:val="24"/>
        </w:rPr>
        <w:t>预付款支付期限：</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u w:val="single"/>
        </w:rPr>
        <w:t>/</w:t>
      </w:r>
      <w:r>
        <w:rPr>
          <w:rFonts w:ascii="宋体" w:hAnsi="宋体" w:cs="宋体"/>
          <w:color w:val="auto"/>
          <w:sz w:val="24"/>
          <w:u w:val="single"/>
        </w:rPr>
        <w:t xml:space="preserve">    </w:t>
      </w:r>
      <w:r>
        <w:rPr>
          <w:rFonts w:hint="eastAsia" w:ascii="宋体" w:hAnsi="宋体" w:cs="宋体"/>
          <w:color w:val="auto"/>
          <w:sz w:val="24"/>
        </w:rPr>
        <w:t>。</w:t>
      </w:r>
    </w:p>
    <w:p w14:paraId="0F77E355">
      <w:pPr>
        <w:spacing w:line="440" w:lineRule="exact"/>
        <w:ind w:firstLine="480" w:firstLineChars="200"/>
        <w:rPr>
          <w:rFonts w:ascii="宋体" w:hAnsi="宋体" w:cs="宋体"/>
          <w:color w:val="auto"/>
          <w:sz w:val="24"/>
        </w:rPr>
      </w:pPr>
      <w:r>
        <w:rPr>
          <w:rFonts w:hint="eastAsia" w:ascii="宋体" w:hAnsi="宋体" w:cs="宋体"/>
          <w:color w:val="auto"/>
          <w:sz w:val="24"/>
        </w:rPr>
        <w:t>预付款扣回的方式：</w:t>
      </w:r>
      <w:r>
        <w:rPr>
          <w:rFonts w:hint="eastAsia" w:ascii="宋体" w:hAnsi="宋体" w:cs="宋体"/>
          <w:color w:val="auto"/>
          <w:sz w:val="24"/>
          <w:u w:val="single"/>
        </w:rPr>
        <w:t>无</w:t>
      </w:r>
      <w:r>
        <w:rPr>
          <w:rFonts w:hint="eastAsia" w:ascii="宋体" w:hAnsi="宋体" w:cs="宋体"/>
          <w:color w:val="auto"/>
          <w:sz w:val="24"/>
        </w:rPr>
        <w:t>。</w:t>
      </w:r>
    </w:p>
    <w:p w14:paraId="56623309">
      <w:pPr>
        <w:spacing w:line="440" w:lineRule="exact"/>
        <w:ind w:firstLine="480" w:firstLineChars="200"/>
        <w:rPr>
          <w:rFonts w:ascii="宋体" w:hAnsi="宋体" w:cs="宋体"/>
          <w:color w:val="auto"/>
          <w:sz w:val="24"/>
        </w:rPr>
      </w:pPr>
      <w:r>
        <w:rPr>
          <w:rFonts w:hint="eastAsia" w:ascii="宋体" w:hAnsi="宋体" w:cs="宋体"/>
          <w:color w:val="auto"/>
          <w:sz w:val="24"/>
        </w:rPr>
        <w:t>12.2.2 预付款担保</w:t>
      </w:r>
    </w:p>
    <w:p w14:paraId="2E5DD8FD">
      <w:pPr>
        <w:spacing w:line="440" w:lineRule="exact"/>
        <w:ind w:firstLine="480" w:firstLineChars="200"/>
        <w:rPr>
          <w:rFonts w:ascii="宋体" w:hAnsi="宋体" w:cs="宋体"/>
          <w:color w:val="auto"/>
          <w:sz w:val="24"/>
        </w:rPr>
      </w:pPr>
      <w:r>
        <w:rPr>
          <w:rFonts w:hint="eastAsia" w:ascii="宋体" w:hAnsi="宋体" w:cs="宋体"/>
          <w:color w:val="auto"/>
          <w:sz w:val="24"/>
        </w:rPr>
        <w:t xml:space="preserve">承包人提交预付款担保的期限：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w:t>
      </w:r>
    </w:p>
    <w:p w14:paraId="19B94FEB">
      <w:pPr>
        <w:spacing w:line="440" w:lineRule="exact"/>
        <w:ind w:firstLine="480" w:firstLineChars="200"/>
        <w:rPr>
          <w:rFonts w:ascii="宋体" w:hAnsi="宋体" w:cs="宋体"/>
          <w:color w:val="auto"/>
          <w:sz w:val="24"/>
          <w:u w:val="single"/>
        </w:rPr>
      </w:pPr>
      <w:r>
        <w:rPr>
          <w:rFonts w:hint="eastAsia" w:ascii="宋体" w:hAnsi="宋体" w:cs="宋体"/>
          <w:color w:val="auto"/>
          <w:sz w:val="24"/>
        </w:rPr>
        <w:t xml:space="preserve">预付款担保的形式为： </w:t>
      </w:r>
      <w:r>
        <w:rPr>
          <w:rFonts w:hint="eastAsia" w:ascii="宋体" w:hAnsi="宋体" w:cs="宋体"/>
          <w:color w:val="auto"/>
          <w:sz w:val="24"/>
          <w:u w:val="single"/>
        </w:rPr>
        <w:t xml:space="preserve"> /  。</w:t>
      </w:r>
    </w:p>
    <w:p w14:paraId="6CBA29B7">
      <w:pPr>
        <w:spacing w:line="440" w:lineRule="exact"/>
        <w:ind w:firstLine="480" w:firstLineChars="200"/>
        <w:rPr>
          <w:rFonts w:ascii="宋体" w:hAnsi="宋体" w:cs="宋体"/>
          <w:color w:val="auto"/>
          <w:sz w:val="24"/>
        </w:rPr>
      </w:pPr>
      <w:bookmarkStart w:id="139" w:name="_Toc26443"/>
      <w:bookmarkStart w:id="140" w:name="_Toc448911931"/>
      <w:r>
        <w:rPr>
          <w:rFonts w:hint="eastAsia" w:ascii="宋体" w:hAnsi="宋体" w:cs="宋体"/>
          <w:color w:val="auto"/>
          <w:sz w:val="24"/>
        </w:rPr>
        <w:t>12.3 计量</w:t>
      </w:r>
      <w:bookmarkEnd w:id="139"/>
      <w:bookmarkEnd w:id="140"/>
    </w:p>
    <w:p w14:paraId="60DBE475">
      <w:pPr>
        <w:spacing w:line="440" w:lineRule="exact"/>
        <w:ind w:firstLine="480" w:firstLineChars="200"/>
        <w:rPr>
          <w:rFonts w:ascii="宋体" w:hAnsi="宋体" w:cs="宋体"/>
          <w:color w:val="auto"/>
          <w:sz w:val="24"/>
        </w:rPr>
      </w:pPr>
      <w:r>
        <w:rPr>
          <w:rFonts w:hint="eastAsia" w:ascii="宋体" w:hAnsi="宋体" w:cs="宋体"/>
          <w:color w:val="auto"/>
          <w:sz w:val="24"/>
        </w:rPr>
        <w:t>12.3.1 计量原则</w:t>
      </w:r>
    </w:p>
    <w:p w14:paraId="16793AE1">
      <w:pPr>
        <w:spacing w:line="440" w:lineRule="exact"/>
        <w:ind w:firstLine="480" w:firstLineChars="200"/>
        <w:rPr>
          <w:rFonts w:ascii="宋体" w:hAnsi="宋体" w:cs="宋体"/>
          <w:color w:val="auto"/>
          <w:sz w:val="24"/>
        </w:rPr>
      </w:pPr>
      <w:r>
        <w:rPr>
          <w:rFonts w:hint="eastAsia" w:ascii="宋体" w:hAnsi="宋体" w:cs="宋体"/>
          <w:color w:val="auto"/>
          <w:sz w:val="24"/>
        </w:rPr>
        <w:t>工程量计算规则：</w:t>
      </w:r>
      <w:r>
        <w:rPr>
          <w:rFonts w:hint="eastAsia" w:ascii="宋体" w:hAnsi="宋体" w:cs="宋体"/>
          <w:color w:val="auto"/>
          <w:sz w:val="24"/>
          <w:u w:val="single"/>
        </w:rPr>
        <w:t>执行国家、行业及地方现行工程量清单计价规范</w:t>
      </w:r>
      <w:r>
        <w:rPr>
          <w:rFonts w:hint="eastAsia" w:ascii="宋体" w:hAnsi="宋体" w:cs="宋体"/>
          <w:color w:val="auto"/>
          <w:sz w:val="24"/>
        </w:rPr>
        <w:t>。</w:t>
      </w:r>
    </w:p>
    <w:p w14:paraId="2F010FE9">
      <w:pPr>
        <w:spacing w:line="440" w:lineRule="exact"/>
        <w:ind w:firstLine="480" w:firstLineChars="200"/>
        <w:rPr>
          <w:rFonts w:ascii="宋体" w:hAnsi="宋体" w:cs="宋体"/>
          <w:color w:val="auto"/>
          <w:sz w:val="24"/>
        </w:rPr>
      </w:pPr>
      <w:r>
        <w:rPr>
          <w:rFonts w:hint="eastAsia" w:ascii="宋体" w:hAnsi="宋体" w:cs="宋体"/>
          <w:color w:val="auto"/>
          <w:sz w:val="24"/>
        </w:rPr>
        <w:t>12.3.2 计量周期</w:t>
      </w:r>
    </w:p>
    <w:p w14:paraId="72654A22">
      <w:pPr>
        <w:spacing w:line="440" w:lineRule="exact"/>
        <w:ind w:firstLine="480" w:firstLineChars="200"/>
        <w:rPr>
          <w:rFonts w:ascii="宋体" w:hAnsi="宋体" w:cs="宋体"/>
          <w:color w:val="auto"/>
          <w:sz w:val="24"/>
          <w:u w:val="single"/>
        </w:rPr>
      </w:pPr>
      <w:r>
        <w:rPr>
          <w:rFonts w:hint="eastAsia" w:ascii="宋体" w:hAnsi="宋体" w:cs="宋体"/>
          <w:color w:val="auto"/>
          <w:sz w:val="24"/>
        </w:rPr>
        <w:t>关于计量周期的约定：</w:t>
      </w:r>
      <w:r>
        <w:rPr>
          <w:rFonts w:hint="eastAsia" w:ascii="宋体" w:hAnsi="宋体" w:cs="宋体"/>
          <w:color w:val="auto"/>
          <w:sz w:val="24"/>
          <w:u w:val="single"/>
        </w:rPr>
        <w:t>承包人进场开工达到本工程要求工期天数后为一个周期，本工程仅有一个计量周期。</w:t>
      </w:r>
    </w:p>
    <w:p w14:paraId="4DFB3341">
      <w:pPr>
        <w:spacing w:line="440" w:lineRule="exact"/>
        <w:ind w:firstLine="480" w:firstLineChars="200"/>
        <w:rPr>
          <w:rFonts w:ascii="宋体" w:hAnsi="宋体" w:cs="宋体"/>
          <w:color w:val="auto"/>
          <w:sz w:val="24"/>
        </w:rPr>
      </w:pPr>
      <w:r>
        <w:rPr>
          <w:rFonts w:hint="eastAsia" w:ascii="宋体" w:hAnsi="宋体" w:cs="宋体"/>
          <w:color w:val="auto"/>
          <w:sz w:val="24"/>
        </w:rPr>
        <w:t>12.3.3 单价合同的计量</w:t>
      </w:r>
    </w:p>
    <w:p w14:paraId="0F6AEADB">
      <w:pPr>
        <w:spacing w:line="440" w:lineRule="exact"/>
        <w:ind w:firstLine="480" w:firstLineChars="200"/>
        <w:rPr>
          <w:rFonts w:ascii="宋体" w:hAnsi="宋体" w:cs="宋体"/>
          <w:color w:val="auto"/>
          <w:sz w:val="24"/>
          <w:u w:val="single"/>
        </w:rPr>
      </w:pPr>
      <w:r>
        <w:rPr>
          <w:rFonts w:hint="eastAsia" w:ascii="宋体" w:hAnsi="宋体" w:cs="宋体"/>
          <w:color w:val="auto"/>
          <w:sz w:val="24"/>
        </w:rPr>
        <w:t>关于单价合同计量的约定：（</w:t>
      </w:r>
      <w:r>
        <w:rPr>
          <w:rFonts w:hint="eastAsia" w:ascii="宋体" w:hAnsi="宋体" w:cs="宋体"/>
          <w:color w:val="auto"/>
          <w:sz w:val="24"/>
          <w:u w:val="single"/>
        </w:rPr>
        <w:t>1)工程量清单所列的工程量，不能作为承包人按合同履行其责任依据，实际施工中发生的工程量增加或减少并不影响承包人履行合同的责任，工程结算以完成的实际工程量为准。（2)除另有规定外，工程师应按照合同通过计量来核实确定已完成的工程量和价款，承包人应得到该价款扣除保留金后的金额。当工程师要对已完工的工程量进行计量时，应适时地通知承包人参加。</w:t>
      </w:r>
    </w:p>
    <w:p w14:paraId="7CEDE2D2">
      <w:pPr>
        <w:spacing w:line="440" w:lineRule="exact"/>
        <w:ind w:firstLine="480" w:firstLineChars="200"/>
        <w:rPr>
          <w:rFonts w:ascii="宋体" w:hAnsi="宋体" w:cs="宋体"/>
          <w:color w:val="auto"/>
          <w:sz w:val="24"/>
        </w:rPr>
      </w:pPr>
      <w:r>
        <w:rPr>
          <w:rFonts w:hint="eastAsia" w:ascii="宋体" w:hAnsi="宋体" w:cs="宋体"/>
          <w:color w:val="auto"/>
          <w:sz w:val="24"/>
        </w:rPr>
        <w:t>12.3.4 总价合同的计量</w:t>
      </w:r>
    </w:p>
    <w:p w14:paraId="780B55FD">
      <w:pPr>
        <w:spacing w:line="440" w:lineRule="exact"/>
        <w:ind w:firstLine="480" w:firstLineChars="200"/>
        <w:jc w:val="left"/>
        <w:rPr>
          <w:rFonts w:ascii="宋体" w:hAnsi="宋体" w:cs="宋体"/>
          <w:color w:val="auto"/>
          <w:sz w:val="24"/>
        </w:rPr>
      </w:pPr>
      <w:r>
        <w:rPr>
          <w:rFonts w:hint="eastAsia" w:ascii="宋体" w:hAnsi="宋体" w:cs="宋体"/>
          <w:color w:val="auto"/>
          <w:sz w:val="24"/>
        </w:rPr>
        <w:t>（1）总价合同计量约定：</w:t>
      </w:r>
      <w:r>
        <w:rPr>
          <w:rFonts w:hint="eastAsia" w:ascii="宋体" w:hAnsi="宋体" w:cs="宋体"/>
          <w:color w:val="auto"/>
          <w:sz w:val="24"/>
          <w:u w:val="single"/>
        </w:rPr>
        <w:t>/</w:t>
      </w:r>
      <w:r>
        <w:rPr>
          <w:rFonts w:hint="eastAsia" w:ascii="宋体" w:hAnsi="宋体" w:cs="宋体"/>
          <w:color w:val="auto"/>
          <w:sz w:val="24"/>
        </w:rPr>
        <w:t>。</w:t>
      </w:r>
    </w:p>
    <w:p w14:paraId="0F5648A3">
      <w:pPr>
        <w:spacing w:line="440" w:lineRule="exact"/>
        <w:ind w:firstLine="480" w:firstLineChars="200"/>
        <w:rPr>
          <w:rFonts w:ascii="宋体" w:hAnsi="宋体" w:cs="宋体"/>
          <w:color w:val="auto"/>
          <w:sz w:val="24"/>
        </w:rPr>
      </w:pPr>
      <w:r>
        <w:rPr>
          <w:rFonts w:hint="eastAsia" w:ascii="宋体" w:hAnsi="宋体" w:cs="宋体"/>
          <w:color w:val="auto"/>
          <w:sz w:val="24"/>
        </w:rPr>
        <w:t>12.3.5 其他价格形式合同的计量</w:t>
      </w:r>
    </w:p>
    <w:p w14:paraId="32D85434">
      <w:pPr>
        <w:spacing w:line="440" w:lineRule="exact"/>
        <w:ind w:firstLine="480" w:firstLineChars="200"/>
        <w:rPr>
          <w:rFonts w:ascii="宋体" w:hAnsi="宋体" w:cs="宋体"/>
          <w:color w:val="auto"/>
          <w:sz w:val="24"/>
        </w:rPr>
      </w:pPr>
      <w:r>
        <w:rPr>
          <w:rFonts w:hint="eastAsia" w:ascii="宋体" w:hAnsi="宋体" w:cs="宋体"/>
          <w:color w:val="auto"/>
          <w:sz w:val="24"/>
        </w:rPr>
        <w:t>其他价格形式的计量方式和程序：</w:t>
      </w:r>
      <w:r>
        <w:rPr>
          <w:rFonts w:hint="eastAsia" w:ascii="宋体" w:hAnsi="宋体" w:cs="宋体"/>
          <w:color w:val="auto"/>
          <w:sz w:val="24"/>
          <w:u w:val="single"/>
        </w:rPr>
        <w:t xml:space="preserve">     /      </w:t>
      </w:r>
      <w:r>
        <w:rPr>
          <w:rFonts w:hint="eastAsia" w:ascii="宋体" w:hAnsi="宋体" w:cs="宋体"/>
          <w:color w:val="auto"/>
          <w:sz w:val="24"/>
        </w:rPr>
        <w:t>。</w:t>
      </w:r>
    </w:p>
    <w:p w14:paraId="222D5655">
      <w:pPr>
        <w:spacing w:line="440" w:lineRule="exact"/>
        <w:ind w:firstLine="480" w:firstLineChars="200"/>
        <w:rPr>
          <w:rFonts w:ascii="宋体" w:hAnsi="宋体" w:cs="宋体"/>
          <w:color w:val="auto"/>
          <w:sz w:val="24"/>
        </w:rPr>
      </w:pPr>
      <w:r>
        <w:rPr>
          <w:rFonts w:hint="eastAsia" w:ascii="宋体" w:hAnsi="宋体" w:cs="宋体"/>
          <w:color w:val="auto"/>
          <w:sz w:val="24"/>
        </w:rPr>
        <w:t>12.4 工程进度款支付</w:t>
      </w:r>
    </w:p>
    <w:p w14:paraId="5D601277">
      <w:pPr>
        <w:spacing w:line="440" w:lineRule="exact"/>
        <w:ind w:firstLine="480" w:firstLineChars="200"/>
        <w:rPr>
          <w:rFonts w:ascii="宋体" w:hAnsi="宋体" w:cs="宋体"/>
          <w:color w:val="auto"/>
          <w:sz w:val="24"/>
        </w:rPr>
      </w:pPr>
      <w:r>
        <w:rPr>
          <w:rFonts w:hint="eastAsia" w:ascii="宋体" w:hAnsi="宋体" w:cs="宋体"/>
          <w:color w:val="auto"/>
          <w:sz w:val="24"/>
        </w:rPr>
        <w:t>12.4.1 付款周期</w:t>
      </w:r>
    </w:p>
    <w:p w14:paraId="6659F735">
      <w:pPr>
        <w:spacing w:line="500" w:lineRule="exact"/>
        <w:ind w:firstLine="420" w:firstLineChars="175"/>
        <w:jc w:val="left"/>
        <w:rPr>
          <w:rFonts w:ascii="宋体" w:hAnsi="宋体" w:cs="宋体"/>
          <w:color w:val="auto"/>
          <w:sz w:val="24"/>
          <w:u w:val="single"/>
        </w:rPr>
      </w:pPr>
      <w:bookmarkStart w:id="141" w:name="auto_fouce_27"/>
      <w:r>
        <w:rPr>
          <w:rFonts w:hint="eastAsia" w:ascii="宋体" w:hAnsi="宋体" w:cs="宋体"/>
          <w:color w:val="auto"/>
          <w:sz w:val="24"/>
        </w:rPr>
        <w:t>关于付款周期的约定：1、合同签订后，</w:t>
      </w:r>
      <w:r>
        <w:rPr>
          <w:rFonts w:hint="eastAsia" w:ascii="宋体" w:hAnsi="宋体" w:cs="宋体"/>
          <w:color w:val="auto"/>
          <w:sz w:val="24"/>
          <w:u w:val="single"/>
        </w:rPr>
        <w:t>承包人请款申请经发包人审核后，发包人收到等额增值税发票或普通发票后1</w:t>
      </w:r>
      <w:r>
        <w:rPr>
          <w:rFonts w:hint="eastAsia" w:ascii="宋体" w:hAnsi="宋体" w:cs="宋体"/>
          <w:color w:val="auto"/>
          <w:sz w:val="24"/>
          <w:u w:val="single"/>
          <w:lang w:val="en-US" w:eastAsia="zh-CN"/>
        </w:rPr>
        <w:t>0</w:t>
      </w:r>
      <w:r>
        <w:rPr>
          <w:rFonts w:hint="eastAsia" w:ascii="宋体" w:hAnsi="宋体" w:cs="宋体"/>
          <w:color w:val="auto"/>
          <w:sz w:val="24"/>
          <w:u w:val="single"/>
        </w:rPr>
        <w:t>个工作日内，发包人向承包人支付安全文明措施费的5</w:t>
      </w:r>
      <w:r>
        <w:rPr>
          <w:rFonts w:ascii="宋体" w:hAnsi="宋体" w:cs="宋体"/>
          <w:color w:val="auto"/>
          <w:sz w:val="24"/>
          <w:u w:val="single"/>
        </w:rPr>
        <w:t>0%</w:t>
      </w:r>
      <w:r>
        <w:rPr>
          <w:rFonts w:hint="eastAsia" w:ascii="宋体" w:hAnsi="宋体" w:cs="宋体"/>
          <w:color w:val="auto"/>
          <w:sz w:val="24"/>
          <w:u w:val="single"/>
        </w:rPr>
        <w:t>；2、项目竣工验收合格后，承包人请款申请经发包人审核后，发包人收到</w:t>
      </w:r>
      <w:bookmarkStart w:id="142" w:name="OLE_LINK4"/>
      <w:bookmarkStart w:id="143" w:name="OLE_LINK3"/>
      <w:r>
        <w:rPr>
          <w:rFonts w:hint="eastAsia" w:ascii="宋体" w:hAnsi="宋体" w:cs="宋体"/>
          <w:color w:val="auto"/>
          <w:sz w:val="24"/>
          <w:u w:val="single"/>
        </w:rPr>
        <w:t>等额增值税发票或普通发票</w:t>
      </w:r>
      <w:bookmarkEnd w:id="142"/>
      <w:bookmarkEnd w:id="143"/>
      <w:r>
        <w:rPr>
          <w:rFonts w:hint="eastAsia" w:ascii="宋体" w:hAnsi="宋体" w:cs="宋体"/>
          <w:color w:val="auto"/>
          <w:sz w:val="24"/>
          <w:u w:val="single"/>
        </w:rPr>
        <w:t>后1</w:t>
      </w:r>
      <w:r>
        <w:rPr>
          <w:rFonts w:hint="eastAsia" w:ascii="宋体" w:hAnsi="宋体" w:cs="宋体"/>
          <w:color w:val="auto"/>
          <w:sz w:val="24"/>
          <w:u w:val="single"/>
          <w:lang w:val="en-US" w:eastAsia="zh-CN"/>
        </w:rPr>
        <w:t>0</w:t>
      </w:r>
      <w:r>
        <w:rPr>
          <w:rFonts w:hint="eastAsia" w:ascii="宋体" w:hAnsi="宋体" w:cs="宋体"/>
          <w:color w:val="auto"/>
          <w:sz w:val="24"/>
          <w:u w:val="single"/>
        </w:rPr>
        <w:t>个工作日内，发包人向承包人支付已完成清单项对应合同金额的</w:t>
      </w:r>
      <w:r>
        <w:rPr>
          <w:rFonts w:ascii="宋体" w:hAnsi="宋体" w:cs="宋体"/>
          <w:color w:val="auto"/>
          <w:sz w:val="24"/>
          <w:u w:val="single"/>
        </w:rPr>
        <w:t>8</w:t>
      </w:r>
      <w:r>
        <w:rPr>
          <w:rFonts w:hint="eastAsia" w:ascii="宋体" w:hAnsi="宋体" w:cs="宋体"/>
          <w:color w:val="auto"/>
          <w:sz w:val="24"/>
          <w:u w:val="single"/>
        </w:rPr>
        <w:t>0%（含已支付的5</w:t>
      </w:r>
      <w:r>
        <w:rPr>
          <w:rFonts w:ascii="宋体" w:hAnsi="宋体" w:cs="宋体"/>
          <w:color w:val="auto"/>
          <w:sz w:val="24"/>
          <w:u w:val="single"/>
        </w:rPr>
        <w:t>0%</w:t>
      </w:r>
      <w:r>
        <w:rPr>
          <w:rFonts w:hint="eastAsia" w:ascii="宋体" w:hAnsi="宋体" w:cs="宋体"/>
          <w:color w:val="auto"/>
          <w:sz w:val="24"/>
          <w:u w:val="single"/>
        </w:rPr>
        <w:t>安全文明措施费）；3、承包人提供对应齐全的结算资料，工程结算经发包人或其聘请的第三方造价审核单位或自治区财政投资评审部门审定合格后，向发包人缴纳工程结算价款总额的3%的工程质量保证金，随后承包人可向发包人提交请款申请。</w:t>
      </w:r>
      <w:r>
        <w:rPr>
          <w:rFonts w:hint="eastAsia"/>
          <w:color w:val="auto"/>
        </w:rPr>
        <w:t>4、</w:t>
      </w:r>
      <w:r>
        <w:rPr>
          <w:rFonts w:hint="eastAsia" w:ascii="宋体" w:hAnsi="宋体" w:cs="宋体"/>
          <w:color w:val="auto"/>
          <w:sz w:val="24"/>
          <w:u w:val="single"/>
        </w:rPr>
        <w:t>承包人请款申请经发包人审核后，发包人自收到承包人</w:t>
      </w:r>
      <w:r>
        <w:rPr>
          <w:rFonts w:hint="eastAsia" w:ascii="宋体" w:hAnsi="宋体" w:cs="宋体"/>
          <w:color w:val="auto"/>
          <w:sz w:val="24"/>
          <w:u w:val="single"/>
          <w:lang w:val="en-US" w:eastAsia="zh-CN"/>
        </w:rPr>
        <w:t>工程质量保证金</w:t>
      </w:r>
      <w:r>
        <w:rPr>
          <w:rFonts w:hint="eastAsia" w:ascii="宋体" w:hAnsi="宋体" w:cs="宋体"/>
          <w:color w:val="auto"/>
          <w:sz w:val="24"/>
          <w:u w:val="single"/>
        </w:rPr>
        <w:t>缴纳凭证和合格的增值税发票或者普通发票之日起1</w:t>
      </w:r>
      <w:r>
        <w:rPr>
          <w:rFonts w:hint="eastAsia" w:ascii="宋体" w:hAnsi="宋体" w:cs="宋体"/>
          <w:color w:val="auto"/>
          <w:sz w:val="24"/>
          <w:u w:val="single"/>
          <w:lang w:val="en-US" w:eastAsia="zh-CN"/>
        </w:rPr>
        <w:t>0</w:t>
      </w:r>
      <w:r>
        <w:rPr>
          <w:rFonts w:hint="eastAsia" w:ascii="宋体" w:hAnsi="宋体" w:cs="宋体"/>
          <w:color w:val="auto"/>
          <w:sz w:val="24"/>
          <w:u w:val="single"/>
        </w:rPr>
        <w:t>个工作日内支付至结算合同总价的100%（含已支付的）。质量保证金按本合同第15条约定履行。</w:t>
      </w:r>
      <w:bookmarkEnd w:id="141"/>
    </w:p>
    <w:p w14:paraId="54685CE6">
      <w:pPr>
        <w:spacing w:line="440" w:lineRule="exact"/>
        <w:ind w:firstLine="480" w:firstLineChars="200"/>
        <w:rPr>
          <w:rFonts w:ascii="宋体" w:hAnsi="宋体" w:cs="宋体"/>
          <w:color w:val="auto"/>
          <w:sz w:val="24"/>
        </w:rPr>
      </w:pPr>
      <w:r>
        <w:rPr>
          <w:rFonts w:hint="eastAsia" w:ascii="宋体" w:hAnsi="宋体" w:cs="宋体"/>
          <w:color w:val="auto"/>
          <w:sz w:val="24"/>
        </w:rPr>
        <w:t>12.4.2 进度付款申请单的编制</w:t>
      </w:r>
    </w:p>
    <w:p w14:paraId="0830B79A">
      <w:pPr>
        <w:spacing w:line="440" w:lineRule="exact"/>
        <w:ind w:firstLine="480" w:firstLineChars="200"/>
        <w:rPr>
          <w:rFonts w:ascii="宋体" w:hAnsi="宋体" w:cs="宋体"/>
          <w:color w:val="auto"/>
          <w:sz w:val="24"/>
        </w:rPr>
      </w:pPr>
      <w:r>
        <w:rPr>
          <w:rFonts w:hint="eastAsia" w:ascii="宋体" w:hAnsi="宋体" w:cs="宋体"/>
          <w:color w:val="auto"/>
          <w:sz w:val="24"/>
        </w:rPr>
        <w:t>关于进度付款申请单编制的约定：</w:t>
      </w:r>
      <w:r>
        <w:rPr>
          <w:rFonts w:hint="eastAsia" w:ascii="宋体" w:hAnsi="宋体" w:cs="宋体"/>
          <w:color w:val="auto"/>
          <w:sz w:val="24"/>
          <w:u w:val="single"/>
        </w:rPr>
        <w:t xml:space="preserve">         /       。</w:t>
      </w:r>
    </w:p>
    <w:p w14:paraId="459A2DAF">
      <w:pPr>
        <w:spacing w:line="440" w:lineRule="exact"/>
        <w:ind w:firstLine="480" w:firstLineChars="200"/>
        <w:rPr>
          <w:rFonts w:ascii="宋体" w:hAnsi="宋体" w:cs="宋体"/>
          <w:color w:val="auto"/>
          <w:sz w:val="24"/>
        </w:rPr>
      </w:pPr>
      <w:r>
        <w:rPr>
          <w:rFonts w:hint="eastAsia" w:ascii="宋体" w:hAnsi="宋体" w:cs="宋体"/>
          <w:color w:val="auto"/>
          <w:sz w:val="24"/>
        </w:rPr>
        <w:t>12.4.3 进度付款申请单的提交</w:t>
      </w:r>
    </w:p>
    <w:p w14:paraId="0C238975">
      <w:pPr>
        <w:spacing w:line="440" w:lineRule="exact"/>
        <w:ind w:firstLine="480" w:firstLineChars="200"/>
        <w:rPr>
          <w:rFonts w:ascii="宋体" w:hAnsi="宋体" w:cs="宋体"/>
          <w:color w:val="auto"/>
          <w:sz w:val="24"/>
        </w:rPr>
      </w:pPr>
      <w:r>
        <w:rPr>
          <w:rFonts w:hint="eastAsia" w:ascii="宋体" w:hAnsi="宋体" w:cs="宋体"/>
          <w:color w:val="auto"/>
          <w:sz w:val="24"/>
        </w:rPr>
        <w:t>（1）单价合同进度付款申请单提交的约定：</w:t>
      </w:r>
      <w:r>
        <w:rPr>
          <w:rFonts w:hint="eastAsia" w:ascii="宋体" w:hAnsi="宋体" w:cs="宋体"/>
          <w:color w:val="auto"/>
          <w:sz w:val="24"/>
          <w:u w:val="single"/>
        </w:rPr>
        <w:t xml:space="preserve">  无  </w:t>
      </w:r>
      <w:r>
        <w:rPr>
          <w:rFonts w:hint="eastAsia" w:ascii="宋体" w:hAnsi="宋体" w:cs="宋体"/>
          <w:color w:val="auto"/>
          <w:sz w:val="24"/>
        </w:rPr>
        <w:t xml:space="preserve"> 。</w:t>
      </w:r>
    </w:p>
    <w:p w14:paraId="1C405CB9">
      <w:pPr>
        <w:spacing w:line="440" w:lineRule="exact"/>
        <w:ind w:firstLine="480" w:firstLineChars="200"/>
        <w:rPr>
          <w:rFonts w:ascii="宋体" w:hAnsi="宋体" w:cs="宋体"/>
          <w:color w:val="auto"/>
          <w:sz w:val="24"/>
        </w:rPr>
      </w:pPr>
      <w:r>
        <w:rPr>
          <w:rFonts w:hint="eastAsia" w:ascii="宋体" w:hAnsi="宋体" w:cs="宋体"/>
          <w:color w:val="auto"/>
          <w:sz w:val="24"/>
        </w:rPr>
        <w:t>（2）总价合同进度付款申请单提交的约定：</w:t>
      </w:r>
      <w:r>
        <w:rPr>
          <w:rFonts w:hint="eastAsia" w:ascii="宋体" w:hAnsi="宋体" w:cs="宋体"/>
          <w:color w:val="auto"/>
          <w:sz w:val="24"/>
          <w:u w:val="single"/>
        </w:rPr>
        <w:t xml:space="preserve">  无  </w:t>
      </w:r>
      <w:r>
        <w:rPr>
          <w:rFonts w:hint="eastAsia" w:ascii="宋体" w:hAnsi="宋体" w:cs="宋体"/>
          <w:color w:val="auto"/>
          <w:sz w:val="24"/>
        </w:rPr>
        <w:t xml:space="preserve"> 。</w:t>
      </w:r>
    </w:p>
    <w:p w14:paraId="20B536C4">
      <w:pPr>
        <w:spacing w:line="440" w:lineRule="exact"/>
        <w:ind w:firstLine="480" w:firstLineChars="200"/>
        <w:rPr>
          <w:rFonts w:ascii="宋体" w:hAnsi="宋体" w:cs="宋体"/>
          <w:color w:val="auto"/>
          <w:sz w:val="24"/>
        </w:rPr>
      </w:pPr>
      <w:r>
        <w:rPr>
          <w:rFonts w:hint="eastAsia" w:ascii="宋体" w:hAnsi="宋体" w:cs="宋体"/>
          <w:color w:val="auto"/>
          <w:sz w:val="24"/>
        </w:rPr>
        <w:t>（3）其他价格形式合同进度付款申请单提交的约定：</w:t>
      </w:r>
      <w:r>
        <w:rPr>
          <w:rFonts w:hint="eastAsia" w:ascii="宋体" w:hAnsi="宋体" w:cs="宋体"/>
          <w:color w:val="auto"/>
          <w:sz w:val="24"/>
          <w:u w:val="single"/>
        </w:rPr>
        <w:t xml:space="preserve">         /         </w:t>
      </w:r>
      <w:r>
        <w:rPr>
          <w:rFonts w:hint="eastAsia" w:ascii="宋体" w:hAnsi="宋体" w:cs="宋体"/>
          <w:color w:val="auto"/>
          <w:sz w:val="24"/>
        </w:rPr>
        <w:t>。</w:t>
      </w:r>
    </w:p>
    <w:p w14:paraId="25E06625">
      <w:pPr>
        <w:spacing w:line="440" w:lineRule="exact"/>
        <w:ind w:firstLine="480" w:firstLineChars="200"/>
        <w:rPr>
          <w:rFonts w:ascii="宋体" w:hAnsi="宋体" w:cs="宋体"/>
          <w:color w:val="auto"/>
          <w:sz w:val="24"/>
        </w:rPr>
      </w:pPr>
      <w:r>
        <w:rPr>
          <w:rFonts w:hint="eastAsia" w:ascii="宋体" w:hAnsi="宋体" w:cs="宋体"/>
          <w:color w:val="auto"/>
          <w:sz w:val="24"/>
        </w:rPr>
        <w:t>12.4.4 进度款审核和支付</w:t>
      </w:r>
    </w:p>
    <w:p w14:paraId="1FCBABA7">
      <w:pPr>
        <w:spacing w:line="440" w:lineRule="exact"/>
        <w:ind w:firstLine="480" w:firstLineChars="200"/>
        <w:rPr>
          <w:rFonts w:ascii="宋体" w:hAnsi="宋体" w:cs="宋体"/>
          <w:color w:val="auto"/>
          <w:sz w:val="24"/>
          <w:u w:val="single"/>
        </w:rPr>
      </w:pPr>
      <w:r>
        <w:rPr>
          <w:rFonts w:hint="eastAsia" w:ascii="宋体" w:hAnsi="宋体" w:cs="宋体"/>
          <w:color w:val="auto"/>
          <w:sz w:val="24"/>
        </w:rPr>
        <w:t>（1）监理人审查并报送发包人的期限：</w:t>
      </w:r>
      <w:r>
        <w:rPr>
          <w:rFonts w:hint="eastAsia" w:ascii="宋体" w:hAnsi="宋体" w:cs="宋体"/>
          <w:color w:val="auto"/>
          <w:sz w:val="24"/>
          <w:u w:val="single"/>
        </w:rPr>
        <w:t>监理人收到承包人进度付款申请单以及相关资料后 3 天内完成审查并报送发包人。</w:t>
      </w:r>
    </w:p>
    <w:p w14:paraId="6643A74F">
      <w:pPr>
        <w:spacing w:line="440" w:lineRule="exact"/>
        <w:ind w:firstLine="480" w:firstLineChars="200"/>
        <w:rPr>
          <w:rFonts w:ascii="宋体" w:hAnsi="宋体" w:cs="宋体"/>
          <w:color w:val="auto"/>
          <w:sz w:val="24"/>
        </w:rPr>
      </w:pPr>
      <w:r>
        <w:rPr>
          <w:rFonts w:hint="eastAsia" w:ascii="宋体" w:hAnsi="宋体" w:cs="宋体"/>
          <w:color w:val="auto"/>
          <w:sz w:val="24"/>
        </w:rPr>
        <w:t>发包人完成审批并签发进度款支付证书的期限：</w:t>
      </w:r>
      <w:r>
        <w:rPr>
          <w:rFonts w:hint="eastAsia" w:ascii="宋体" w:hAnsi="宋体" w:cs="宋体"/>
          <w:color w:val="auto"/>
          <w:sz w:val="24"/>
          <w:u w:val="single"/>
        </w:rPr>
        <w:t>收到后 10天内完成审批并签发</w:t>
      </w:r>
      <w:r>
        <w:rPr>
          <w:rFonts w:hint="eastAsia" w:ascii="宋体" w:hAnsi="宋体" w:cs="宋体"/>
          <w:color w:val="auto"/>
          <w:sz w:val="24"/>
        </w:rPr>
        <w:t>。</w:t>
      </w:r>
    </w:p>
    <w:p w14:paraId="11F72205">
      <w:pPr>
        <w:spacing w:line="440" w:lineRule="exact"/>
        <w:ind w:firstLine="480" w:firstLineChars="200"/>
        <w:rPr>
          <w:rFonts w:ascii="宋体" w:hAnsi="宋体" w:cs="宋体"/>
          <w:color w:val="auto"/>
          <w:sz w:val="24"/>
        </w:rPr>
      </w:pPr>
      <w:r>
        <w:rPr>
          <w:rFonts w:hint="eastAsia" w:ascii="宋体" w:hAnsi="宋体" w:cs="宋体"/>
          <w:color w:val="auto"/>
          <w:sz w:val="24"/>
        </w:rPr>
        <w:t>（2）</w:t>
      </w:r>
      <w:bookmarkStart w:id="144" w:name="auto_fouce_29"/>
      <w:r>
        <w:rPr>
          <w:rFonts w:hint="eastAsia" w:ascii="宋体" w:hAnsi="宋体" w:cs="宋体"/>
          <w:color w:val="auto"/>
          <w:sz w:val="24"/>
        </w:rPr>
        <w:t>发包人支付进度款的期限：</w:t>
      </w:r>
      <w:r>
        <w:rPr>
          <w:rFonts w:hint="eastAsia" w:ascii="宋体" w:hAnsi="宋体" w:cs="宋体"/>
          <w:color w:val="auto"/>
          <w:sz w:val="24"/>
          <w:u w:val="single"/>
        </w:rPr>
        <w:t>1、合同签订后，承包人请款申请经发包人审核后，发包人收到等额增值税发票或普通发票后1</w:t>
      </w:r>
      <w:r>
        <w:rPr>
          <w:rFonts w:hint="eastAsia" w:ascii="宋体" w:hAnsi="宋体" w:cs="宋体"/>
          <w:color w:val="auto"/>
          <w:sz w:val="24"/>
          <w:u w:val="single"/>
          <w:lang w:val="en-US" w:eastAsia="zh-CN"/>
        </w:rPr>
        <w:t>0</w:t>
      </w:r>
      <w:r>
        <w:rPr>
          <w:rFonts w:hint="eastAsia" w:ascii="宋体" w:hAnsi="宋体" w:cs="宋体"/>
          <w:color w:val="auto"/>
          <w:sz w:val="24"/>
          <w:u w:val="single"/>
        </w:rPr>
        <w:t>个工作日内，发包人向承包人支付安全文明措施费的50%；2、项目竣工验收合格后，承包人请款申请经发包人审核后，发包人收到等额增值税发票或普通发票后1</w:t>
      </w:r>
      <w:r>
        <w:rPr>
          <w:rFonts w:hint="eastAsia" w:ascii="宋体" w:hAnsi="宋体" w:cs="宋体"/>
          <w:color w:val="auto"/>
          <w:sz w:val="24"/>
          <w:u w:val="single"/>
          <w:lang w:val="en-US" w:eastAsia="zh-CN"/>
        </w:rPr>
        <w:t>0</w:t>
      </w:r>
      <w:r>
        <w:rPr>
          <w:rFonts w:hint="eastAsia" w:ascii="宋体" w:hAnsi="宋体" w:cs="宋体"/>
          <w:color w:val="auto"/>
          <w:sz w:val="24"/>
          <w:u w:val="single"/>
        </w:rPr>
        <w:t>个工作日内，发包人向承包人支付已完成清单项对应合同金额的80%（含已支付的50%安全文明措施费）；3、承包人提供对应齐全的结算资料，工程结算经发包人或其聘请的第三方造价审核单位或自治区财政投资评审部门审定合格后，向发包人缴纳工程结算价款总额的3%的工程质量保证金，随后承包人可向发包人提交请款申请。</w:t>
      </w:r>
      <w:r>
        <w:rPr>
          <w:rFonts w:hint="eastAsia"/>
          <w:color w:val="auto"/>
        </w:rPr>
        <w:t>4、</w:t>
      </w:r>
      <w:r>
        <w:rPr>
          <w:rFonts w:hint="eastAsia" w:ascii="宋体" w:hAnsi="宋体" w:cs="宋体"/>
          <w:color w:val="auto"/>
          <w:sz w:val="24"/>
          <w:u w:val="single"/>
        </w:rPr>
        <w:t>承包人请款申请经发包人审核后，发包人自收到承包人</w:t>
      </w:r>
      <w:r>
        <w:rPr>
          <w:rFonts w:hint="eastAsia" w:ascii="宋体" w:hAnsi="宋体" w:cs="宋体"/>
          <w:color w:val="auto"/>
          <w:sz w:val="24"/>
          <w:u w:val="single"/>
          <w:lang w:val="en-US" w:eastAsia="zh-CN"/>
        </w:rPr>
        <w:t>工程质量保证金</w:t>
      </w:r>
      <w:r>
        <w:rPr>
          <w:rFonts w:hint="eastAsia" w:ascii="宋体" w:hAnsi="宋体" w:cs="宋体"/>
          <w:color w:val="auto"/>
          <w:sz w:val="24"/>
          <w:u w:val="single"/>
        </w:rPr>
        <w:t>缴纳凭证和合格的增值税发票或者普通发票之日起1</w:t>
      </w:r>
      <w:r>
        <w:rPr>
          <w:rFonts w:hint="eastAsia" w:ascii="宋体" w:hAnsi="宋体" w:cs="宋体"/>
          <w:color w:val="auto"/>
          <w:sz w:val="24"/>
          <w:u w:val="single"/>
          <w:lang w:val="en-US" w:eastAsia="zh-CN"/>
        </w:rPr>
        <w:t>0</w:t>
      </w:r>
      <w:r>
        <w:rPr>
          <w:rFonts w:hint="eastAsia" w:ascii="宋体" w:hAnsi="宋体" w:cs="宋体"/>
          <w:color w:val="auto"/>
          <w:sz w:val="24"/>
          <w:u w:val="single"/>
        </w:rPr>
        <w:t>个工作日内支付至结算合同总价的100%（含已支付的）。</w:t>
      </w:r>
      <w:r>
        <w:rPr>
          <w:rFonts w:hint="eastAsia" w:ascii="宋体" w:hAnsi="宋体" w:cs="宋体"/>
          <w:color w:val="auto"/>
          <w:sz w:val="24"/>
        </w:rPr>
        <w:t>质量保证金按本合同第15条约定的</w:t>
      </w:r>
      <w:r>
        <w:rPr>
          <w:rFonts w:hint="eastAsia" w:ascii="宋体" w:hAnsi="宋体" w:cs="宋体"/>
          <w:color w:val="auto"/>
          <w:sz w:val="24"/>
          <w:u w:val="single"/>
        </w:rPr>
        <w:t>缺陷责任期届满后无息退还</w:t>
      </w:r>
      <w:r>
        <w:rPr>
          <w:rFonts w:hint="eastAsia" w:ascii="宋体" w:hAnsi="宋体" w:cs="宋体"/>
          <w:color w:val="auto"/>
          <w:sz w:val="24"/>
        </w:rPr>
        <w:t>。</w:t>
      </w:r>
      <w:bookmarkEnd w:id="144"/>
    </w:p>
    <w:p w14:paraId="4FF38378">
      <w:pPr>
        <w:spacing w:line="440" w:lineRule="exact"/>
        <w:ind w:firstLine="480" w:firstLineChars="200"/>
        <w:rPr>
          <w:rFonts w:ascii="宋体" w:hAnsi="宋体" w:cs="宋体"/>
          <w:color w:val="auto"/>
          <w:sz w:val="24"/>
        </w:rPr>
      </w:pPr>
      <w:r>
        <w:rPr>
          <w:rFonts w:hint="eastAsia" w:ascii="宋体" w:hAnsi="宋体" w:cs="宋体"/>
          <w:color w:val="auto"/>
          <w:sz w:val="24"/>
        </w:rPr>
        <w:t>12.4.</w:t>
      </w:r>
      <w:r>
        <w:rPr>
          <w:rFonts w:ascii="宋体" w:hAnsi="宋体" w:cs="宋体"/>
          <w:color w:val="auto"/>
          <w:sz w:val="24"/>
        </w:rPr>
        <w:t>5</w:t>
      </w:r>
      <w:r>
        <w:rPr>
          <w:rFonts w:hint="eastAsia" w:ascii="宋体" w:hAnsi="宋体" w:cs="宋体"/>
          <w:color w:val="auto"/>
          <w:sz w:val="24"/>
        </w:rPr>
        <w:t xml:space="preserve"> 支付分解表的编制</w:t>
      </w:r>
    </w:p>
    <w:p w14:paraId="6578B220">
      <w:pPr>
        <w:spacing w:line="440" w:lineRule="exact"/>
        <w:ind w:firstLine="480" w:firstLineChars="200"/>
        <w:rPr>
          <w:rFonts w:ascii="宋体" w:hAnsi="宋体" w:cs="宋体"/>
          <w:color w:val="auto"/>
          <w:sz w:val="24"/>
        </w:rPr>
      </w:pPr>
      <w:r>
        <w:rPr>
          <w:rFonts w:ascii="宋体" w:hAnsi="宋体" w:cs="宋体"/>
          <w:color w:val="auto"/>
          <w:sz w:val="24"/>
        </w:rPr>
        <w:t>1</w:t>
      </w:r>
      <w:r>
        <w:rPr>
          <w:rFonts w:hint="eastAsia" w:ascii="宋体" w:hAnsi="宋体" w:cs="宋体"/>
          <w:color w:val="auto"/>
          <w:sz w:val="24"/>
        </w:rPr>
        <w:t>、总价合同支付分解表的编制与审批：</w:t>
      </w:r>
      <w:r>
        <w:rPr>
          <w:rFonts w:hint="eastAsia" w:ascii="宋体" w:hAnsi="宋体" w:cs="宋体"/>
          <w:color w:val="auto"/>
          <w:sz w:val="24"/>
          <w:u w:val="single"/>
        </w:rPr>
        <w:t xml:space="preserve"> 无 </w:t>
      </w:r>
      <w:r>
        <w:rPr>
          <w:rFonts w:hint="eastAsia" w:ascii="宋体" w:hAnsi="宋体" w:cs="宋体"/>
          <w:color w:val="auto"/>
          <w:sz w:val="24"/>
        </w:rPr>
        <w:t>。</w:t>
      </w:r>
    </w:p>
    <w:p w14:paraId="522E0528">
      <w:pPr>
        <w:spacing w:line="440" w:lineRule="exact"/>
        <w:ind w:firstLine="480" w:firstLineChars="200"/>
        <w:rPr>
          <w:rFonts w:ascii="宋体" w:hAnsi="宋体" w:cs="宋体"/>
          <w:color w:val="auto"/>
          <w:sz w:val="24"/>
        </w:rPr>
      </w:pPr>
      <w:r>
        <w:rPr>
          <w:rFonts w:ascii="宋体" w:hAnsi="宋体" w:cs="宋体"/>
          <w:color w:val="auto"/>
          <w:sz w:val="24"/>
        </w:rPr>
        <w:t>2</w:t>
      </w:r>
      <w:r>
        <w:rPr>
          <w:rFonts w:hint="eastAsia" w:ascii="宋体" w:hAnsi="宋体" w:cs="宋体"/>
          <w:color w:val="auto"/>
          <w:sz w:val="24"/>
        </w:rPr>
        <w:t>、单价合同的总价项目支付分解表的编制与审批：</w:t>
      </w:r>
      <w:r>
        <w:rPr>
          <w:rFonts w:hint="eastAsia" w:ascii="宋体" w:hAnsi="宋体" w:cs="宋体"/>
          <w:color w:val="auto"/>
          <w:sz w:val="24"/>
          <w:u w:val="single"/>
        </w:rPr>
        <w:t xml:space="preserve">    无   </w:t>
      </w:r>
      <w:r>
        <w:rPr>
          <w:rFonts w:hint="eastAsia" w:ascii="宋体" w:hAnsi="宋体" w:cs="宋体"/>
          <w:color w:val="auto"/>
          <w:sz w:val="24"/>
        </w:rPr>
        <w:t>。</w:t>
      </w:r>
    </w:p>
    <w:p w14:paraId="5271BF8B">
      <w:pPr>
        <w:spacing w:line="440" w:lineRule="exact"/>
        <w:ind w:firstLine="482" w:firstLineChars="200"/>
        <w:rPr>
          <w:rFonts w:ascii="宋体" w:hAnsi="宋体" w:cs="宋体"/>
          <w:b/>
          <w:bCs/>
          <w:color w:val="auto"/>
          <w:sz w:val="24"/>
        </w:rPr>
      </w:pPr>
      <w:bookmarkStart w:id="145" w:name="_Toc15396"/>
      <w:bookmarkStart w:id="146" w:name="_Toc20558"/>
      <w:bookmarkStart w:id="147" w:name="_Toc448911933"/>
      <w:bookmarkStart w:id="148" w:name="_Toc351203645"/>
      <w:bookmarkStart w:id="149" w:name="_Toc18313"/>
      <w:bookmarkStart w:id="150" w:name="_Toc3570"/>
      <w:bookmarkStart w:id="151" w:name="_Toc16481"/>
      <w:bookmarkStart w:id="152" w:name="_Toc28790"/>
      <w:bookmarkStart w:id="153" w:name="_Toc17014"/>
      <w:bookmarkStart w:id="154" w:name="_Toc24305"/>
      <w:bookmarkStart w:id="155" w:name="_Toc16784"/>
      <w:r>
        <w:rPr>
          <w:rFonts w:hint="eastAsia" w:ascii="宋体" w:hAnsi="宋体" w:cs="宋体"/>
          <w:b/>
          <w:bCs/>
          <w:color w:val="auto"/>
          <w:sz w:val="24"/>
        </w:rPr>
        <w:t>13.验收和工程试车</w:t>
      </w:r>
      <w:bookmarkEnd w:id="145"/>
      <w:bookmarkEnd w:id="146"/>
      <w:bookmarkEnd w:id="147"/>
      <w:bookmarkEnd w:id="148"/>
      <w:bookmarkEnd w:id="149"/>
      <w:bookmarkEnd w:id="150"/>
      <w:bookmarkEnd w:id="151"/>
      <w:bookmarkEnd w:id="152"/>
      <w:bookmarkEnd w:id="153"/>
      <w:bookmarkEnd w:id="154"/>
      <w:bookmarkEnd w:id="155"/>
    </w:p>
    <w:p w14:paraId="6FA1D72D">
      <w:pPr>
        <w:spacing w:line="440" w:lineRule="exact"/>
        <w:ind w:firstLine="480" w:firstLineChars="200"/>
        <w:rPr>
          <w:rFonts w:ascii="宋体" w:hAnsi="宋体" w:cs="宋体"/>
          <w:color w:val="auto"/>
          <w:sz w:val="24"/>
        </w:rPr>
      </w:pPr>
      <w:bookmarkStart w:id="156" w:name="_Toc32492"/>
      <w:bookmarkStart w:id="157" w:name="_Toc448911934"/>
      <w:r>
        <w:rPr>
          <w:rFonts w:hint="eastAsia" w:ascii="宋体" w:hAnsi="宋体" w:cs="宋体"/>
          <w:color w:val="auto"/>
          <w:sz w:val="24"/>
        </w:rPr>
        <w:t>13.1 分部分项工程验收</w:t>
      </w:r>
      <w:bookmarkEnd w:id="156"/>
      <w:bookmarkEnd w:id="157"/>
    </w:p>
    <w:p w14:paraId="46A319B3">
      <w:pPr>
        <w:spacing w:line="440" w:lineRule="exact"/>
        <w:ind w:firstLine="480" w:firstLineChars="200"/>
        <w:rPr>
          <w:rFonts w:ascii="宋体" w:hAnsi="宋体" w:cs="宋体"/>
          <w:color w:val="auto"/>
          <w:sz w:val="24"/>
        </w:rPr>
      </w:pPr>
      <w:r>
        <w:rPr>
          <w:rFonts w:hint="eastAsia" w:ascii="宋体" w:hAnsi="宋体" w:cs="宋体"/>
          <w:color w:val="auto"/>
          <w:sz w:val="24"/>
        </w:rPr>
        <w:t>13.1.1承包人完成任务后，申请监理人或发包人进行一次验收，监理人或发包人不能按时进行验收时，应提前</w:t>
      </w:r>
      <w:r>
        <w:rPr>
          <w:rFonts w:hint="eastAsia" w:ascii="宋体" w:hAnsi="宋体" w:cs="宋体"/>
          <w:color w:val="auto"/>
          <w:sz w:val="24"/>
          <w:u w:val="single"/>
        </w:rPr>
        <w:t xml:space="preserve"> 24  </w:t>
      </w:r>
      <w:r>
        <w:rPr>
          <w:rFonts w:hint="eastAsia" w:ascii="宋体" w:hAnsi="宋体" w:cs="宋体"/>
          <w:color w:val="auto"/>
          <w:sz w:val="24"/>
        </w:rPr>
        <w:t>小时提交书面延期要求。</w:t>
      </w:r>
    </w:p>
    <w:p w14:paraId="568E2B31">
      <w:pPr>
        <w:spacing w:line="440" w:lineRule="exact"/>
        <w:ind w:firstLine="480" w:firstLineChars="200"/>
        <w:rPr>
          <w:rFonts w:ascii="宋体" w:hAnsi="宋体" w:cs="宋体"/>
          <w:color w:val="auto"/>
          <w:sz w:val="24"/>
        </w:rPr>
      </w:pPr>
      <w:r>
        <w:rPr>
          <w:rFonts w:hint="eastAsia" w:ascii="宋体" w:hAnsi="宋体" w:cs="宋体"/>
          <w:color w:val="auto"/>
          <w:sz w:val="24"/>
        </w:rPr>
        <w:t>关于延期最长不得超过：</w:t>
      </w:r>
      <w:r>
        <w:rPr>
          <w:rFonts w:hint="eastAsia" w:ascii="宋体" w:hAnsi="宋体" w:cs="宋体"/>
          <w:color w:val="auto"/>
          <w:sz w:val="24"/>
          <w:u w:val="single"/>
        </w:rPr>
        <w:t xml:space="preserve"> 48 </w:t>
      </w:r>
      <w:r>
        <w:rPr>
          <w:rFonts w:hint="eastAsia" w:ascii="宋体" w:hAnsi="宋体" w:cs="宋体"/>
          <w:color w:val="auto"/>
          <w:sz w:val="24"/>
        </w:rPr>
        <w:t>小时。</w:t>
      </w:r>
    </w:p>
    <w:p w14:paraId="3D724BE8">
      <w:pPr>
        <w:spacing w:line="440" w:lineRule="exact"/>
        <w:ind w:firstLine="480" w:firstLineChars="200"/>
        <w:rPr>
          <w:rFonts w:ascii="宋体" w:hAnsi="宋体" w:cs="宋体"/>
          <w:color w:val="auto"/>
          <w:sz w:val="24"/>
        </w:rPr>
      </w:pPr>
      <w:bookmarkStart w:id="158" w:name="_Toc448911935"/>
      <w:bookmarkStart w:id="159" w:name="_Toc29706"/>
      <w:r>
        <w:rPr>
          <w:rFonts w:hint="eastAsia" w:ascii="宋体" w:hAnsi="宋体" w:cs="宋体"/>
          <w:color w:val="auto"/>
          <w:sz w:val="24"/>
        </w:rPr>
        <w:t>13.2 竣工验收</w:t>
      </w:r>
      <w:bookmarkEnd w:id="158"/>
      <w:bookmarkEnd w:id="159"/>
    </w:p>
    <w:p w14:paraId="703E7764">
      <w:pPr>
        <w:spacing w:line="440" w:lineRule="exact"/>
        <w:ind w:firstLine="480" w:firstLineChars="200"/>
        <w:rPr>
          <w:rFonts w:ascii="宋体" w:hAnsi="宋体" w:cs="宋体"/>
          <w:color w:val="auto"/>
          <w:sz w:val="24"/>
        </w:rPr>
      </w:pPr>
      <w:r>
        <w:rPr>
          <w:rFonts w:hint="eastAsia" w:ascii="宋体" w:hAnsi="宋体" w:cs="宋体"/>
          <w:color w:val="auto"/>
          <w:sz w:val="24"/>
        </w:rPr>
        <w:t>13.2.1竣工验收程序</w:t>
      </w:r>
    </w:p>
    <w:p w14:paraId="774E94B2">
      <w:pPr>
        <w:spacing w:line="440" w:lineRule="exact"/>
        <w:ind w:firstLine="480" w:firstLineChars="200"/>
        <w:rPr>
          <w:rFonts w:ascii="宋体" w:hAnsi="宋体" w:cs="宋体"/>
          <w:color w:val="auto"/>
          <w:sz w:val="24"/>
          <w:u w:val="single"/>
        </w:rPr>
      </w:pPr>
      <w:bookmarkStart w:id="160" w:name="auto_fouce_31"/>
      <w:r>
        <w:rPr>
          <w:rFonts w:hint="eastAsia" w:ascii="宋体" w:hAnsi="宋体" w:cs="宋体"/>
          <w:color w:val="auto"/>
          <w:sz w:val="24"/>
        </w:rPr>
        <w:t>关于竣工验收程序的约定：工程具备竣工验收条件后，承包人应当提前7日向发包人提交竣工验收申请及完整的符合要求的竣工资料</w:t>
      </w:r>
      <w:r>
        <w:rPr>
          <w:rFonts w:hint="eastAsia" w:ascii="宋体" w:hAnsi="宋体" w:cs="宋体"/>
          <w:color w:val="auto"/>
          <w:sz w:val="24"/>
          <w:u w:val="single"/>
        </w:rPr>
        <w:t>、竣工验收报告和工程竣工图，发包人收到完整资料后15日内组织竣工验收。</w:t>
      </w:r>
      <w:bookmarkEnd w:id="160"/>
    </w:p>
    <w:p w14:paraId="4F2AF9AC">
      <w:pPr>
        <w:spacing w:line="440" w:lineRule="exact"/>
        <w:ind w:firstLine="480" w:firstLineChars="200"/>
        <w:rPr>
          <w:rFonts w:ascii="宋体" w:hAnsi="宋体" w:cs="宋体"/>
          <w:color w:val="auto"/>
          <w:sz w:val="24"/>
        </w:rPr>
      </w:pPr>
      <w:r>
        <w:rPr>
          <w:rFonts w:hint="eastAsia" w:ascii="宋体" w:hAnsi="宋体" w:cs="宋体"/>
          <w:color w:val="auto"/>
          <w:sz w:val="24"/>
        </w:rPr>
        <w:t>竣工验收资料的份数：</w:t>
      </w:r>
      <w:r>
        <w:rPr>
          <w:rFonts w:hint="eastAsia" w:ascii="宋体" w:hAnsi="宋体" w:cs="宋体"/>
          <w:color w:val="auto"/>
          <w:sz w:val="24"/>
          <w:u w:val="single"/>
        </w:rPr>
        <w:t>五份</w:t>
      </w:r>
      <w:r>
        <w:rPr>
          <w:rFonts w:hint="eastAsia" w:ascii="宋体" w:hAnsi="宋体" w:cs="宋体"/>
          <w:color w:val="auto"/>
          <w:sz w:val="24"/>
        </w:rPr>
        <w:t>。</w:t>
      </w:r>
    </w:p>
    <w:p w14:paraId="5584E9B4">
      <w:pPr>
        <w:spacing w:line="440" w:lineRule="exact"/>
        <w:ind w:firstLine="480" w:firstLineChars="200"/>
        <w:rPr>
          <w:rFonts w:ascii="宋体" w:hAnsi="宋体" w:cs="宋体"/>
          <w:color w:val="auto"/>
          <w:sz w:val="24"/>
        </w:rPr>
      </w:pPr>
      <w:r>
        <w:rPr>
          <w:rFonts w:hint="eastAsia" w:ascii="宋体" w:hAnsi="宋体" w:cs="宋体"/>
          <w:color w:val="auto"/>
          <w:sz w:val="24"/>
        </w:rPr>
        <w:t>发包人不按照本项约定组织竣工验收、颁发工程验收证书的违约金的计算方法：</w:t>
      </w:r>
      <w:r>
        <w:rPr>
          <w:rFonts w:hint="eastAsia" w:ascii="宋体" w:hAnsi="宋体" w:cs="宋体"/>
          <w:color w:val="auto"/>
          <w:sz w:val="24"/>
          <w:u w:val="single"/>
        </w:rPr>
        <w:t>无</w:t>
      </w:r>
      <w:r>
        <w:rPr>
          <w:rFonts w:hint="eastAsia" w:ascii="宋体" w:hAnsi="宋体" w:cs="宋体"/>
          <w:color w:val="auto"/>
          <w:sz w:val="24"/>
        </w:rPr>
        <w:t>。</w:t>
      </w:r>
    </w:p>
    <w:p w14:paraId="1660A72D">
      <w:pPr>
        <w:spacing w:line="440" w:lineRule="exact"/>
        <w:ind w:firstLine="480" w:firstLineChars="200"/>
        <w:rPr>
          <w:rFonts w:ascii="宋体" w:hAnsi="宋体" w:cs="宋体"/>
          <w:color w:val="auto"/>
          <w:sz w:val="24"/>
        </w:rPr>
      </w:pPr>
      <w:r>
        <w:rPr>
          <w:rFonts w:hint="eastAsia" w:ascii="宋体" w:hAnsi="宋体" w:cs="宋体"/>
          <w:color w:val="auto"/>
          <w:sz w:val="24"/>
        </w:rPr>
        <w:t>13.2.2移交、接收全部与部分工程</w:t>
      </w:r>
    </w:p>
    <w:p w14:paraId="58995BF2">
      <w:pPr>
        <w:spacing w:line="440" w:lineRule="exact"/>
        <w:ind w:firstLine="480" w:firstLineChars="200"/>
        <w:rPr>
          <w:rFonts w:ascii="宋体" w:hAnsi="宋体" w:cs="宋体"/>
          <w:color w:val="auto"/>
          <w:sz w:val="24"/>
        </w:rPr>
      </w:pPr>
      <w:r>
        <w:rPr>
          <w:rFonts w:hint="eastAsia" w:ascii="宋体" w:hAnsi="宋体" w:cs="宋体"/>
          <w:color w:val="auto"/>
          <w:sz w:val="24"/>
        </w:rPr>
        <w:t>承包人向发包人移交工程的期限：</w:t>
      </w:r>
      <w:r>
        <w:rPr>
          <w:rFonts w:hint="eastAsia" w:ascii="宋体" w:hAnsi="宋体" w:cs="宋体"/>
          <w:color w:val="auto"/>
          <w:sz w:val="24"/>
          <w:u w:val="single"/>
        </w:rPr>
        <w:t>颁发工程接收证书后7日内</w:t>
      </w:r>
      <w:r>
        <w:rPr>
          <w:rFonts w:hint="eastAsia" w:ascii="宋体" w:hAnsi="宋体" w:cs="宋体"/>
          <w:color w:val="auto"/>
          <w:sz w:val="24"/>
        </w:rPr>
        <w:t>。</w:t>
      </w:r>
    </w:p>
    <w:p w14:paraId="30203DFC">
      <w:pPr>
        <w:spacing w:line="440" w:lineRule="exact"/>
        <w:ind w:firstLine="480" w:firstLineChars="200"/>
        <w:rPr>
          <w:rFonts w:ascii="宋体" w:hAnsi="宋体" w:cs="宋体"/>
          <w:color w:val="auto"/>
          <w:sz w:val="24"/>
        </w:rPr>
      </w:pPr>
      <w:r>
        <w:rPr>
          <w:rFonts w:hint="eastAsia" w:ascii="宋体" w:hAnsi="宋体" w:cs="宋体"/>
          <w:color w:val="auto"/>
          <w:sz w:val="24"/>
        </w:rPr>
        <w:t>发包人未按本合同约定接收全部或部分工程的，违约金的计算方法为：</w:t>
      </w:r>
      <w:r>
        <w:rPr>
          <w:rFonts w:hint="eastAsia" w:ascii="宋体" w:hAnsi="宋体" w:cs="宋体"/>
          <w:color w:val="auto"/>
          <w:sz w:val="24"/>
          <w:u w:val="single"/>
        </w:rPr>
        <w:t>无</w:t>
      </w:r>
      <w:r>
        <w:rPr>
          <w:rFonts w:hint="eastAsia" w:ascii="宋体" w:hAnsi="宋体" w:cs="宋体"/>
          <w:color w:val="auto"/>
          <w:sz w:val="24"/>
        </w:rPr>
        <w:t>。</w:t>
      </w:r>
    </w:p>
    <w:p w14:paraId="7D287B94">
      <w:pPr>
        <w:spacing w:line="440" w:lineRule="exact"/>
        <w:ind w:firstLine="480" w:firstLineChars="200"/>
        <w:rPr>
          <w:rFonts w:ascii="宋体" w:hAnsi="宋体" w:cs="宋体"/>
          <w:color w:val="auto"/>
          <w:sz w:val="24"/>
          <w:u w:val="single"/>
        </w:rPr>
      </w:pPr>
      <w:bookmarkStart w:id="161" w:name="auto_fouce_32"/>
      <w:r>
        <w:rPr>
          <w:rFonts w:hint="eastAsia" w:ascii="宋体" w:hAnsi="宋体" w:cs="宋体"/>
          <w:color w:val="auto"/>
          <w:sz w:val="24"/>
        </w:rPr>
        <w:t>承包人未按时移交工程的，每</w:t>
      </w:r>
      <w:r>
        <w:rPr>
          <w:rFonts w:hint="eastAsia" w:ascii="宋体" w:hAnsi="宋体" w:cs="宋体"/>
          <w:color w:val="auto"/>
          <w:sz w:val="24"/>
          <w:u w:val="single"/>
        </w:rPr>
        <w:t>逾期一日，应以合同暂计总金额为基数按日千分之一向发包人支付违约金，违约金最高限额为签约合同价格（扣暂列金、暂估价及甲供材）的30%。</w:t>
      </w:r>
      <w:bookmarkEnd w:id="161"/>
    </w:p>
    <w:p w14:paraId="2A749D4B">
      <w:pPr>
        <w:spacing w:line="440" w:lineRule="exact"/>
        <w:ind w:firstLine="480" w:firstLineChars="200"/>
        <w:rPr>
          <w:rFonts w:ascii="宋体" w:hAnsi="宋体" w:cs="宋体"/>
          <w:color w:val="auto"/>
          <w:sz w:val="24"/>
        </w:rPr>
      </w:pPr>
      <w:bookmarkStart w:id="162" w:name="_Toc448911936"/>
      <w:bookmarkStart w:id="163" w:name="_Toc30321"/>
      <w:r>
        <w:rPr>
          <w:rFonts w:hint="eastAsia" w:ascii="宋体" w:hAnsi="宋体" w:cs="宋体"/>
          <w:color w:val="auto"/>
          <w:sz w:val="24"/>
        </w:rPr>
        <w:t>13.3 工程试车</w:t>
      </w:r>
      <w:bookmarkEnd w:id="162"/>
      <w:bookmarkEnd w:id="163"/>
    </w:p>
    <w:p w14:paraId="79250972">
      <w:pPr>
        <w:spacing w:line="440" w:lineRule="exact"/>
        <w:ind w:firstLine="480" w:firstLineChars="200"/>
        <w:rPr>
          <w:rFonts w:ascii="宋体" w:hAnsi="宋体" w:cs="宋体"/>
          <w:color w:val="auto"/>
          <w:sz w:val="24"/>
        </w:rPr>
      </w:pPr>
      <w:r>
        <w:rPr>
          <w:rFonts w:hint="eastAsia" w:ascii="宋体" w:hAnsi="宋体" w:cs="宋体"/>
          <w:color w:val="auto"/>
          <w:sz w:val="24"/>
        </w:rPr>
        <w:t>13.3.1 试车程序</w:t>
      </w:r>
    </w:p>
    <w:p w14:paraId="6F366AC2">
      <w:pPr>
        <w:spacing w:line="440" w:lineRule="exact"/>
        <w:ind w:firstLine="480" w:firstLineChars="200"/>
        <w:rPr>
          <w:rFonts w:ascii="宋体" w:hAnsi="宋体" w:cs="宋体"/>
          <w:color w:val="auto"/>
          <w:sz w:val="24"/>
        </w:rPr>
      </w:pPr>
      <w:r>
        <w:rPr>
          <w:rFonts w:hint="eastAsia" w:ascii="宋体" w:hAnsi="宋体" w:cs="宋体"/>
          <w:color w:val="auto"/>
          <w:sz w:val="24"/>
        </w:rPr>
        <w:t>工程试车内容：</w:t>
      </w:r>
      <w:r>
        <w:rPr>
          <w:rFonts w:hint="eastAsia" w:ascii="宋体" w:hAnsi="宋体" w:cs="宋体"/>
          <w:color w:val="auto"/>
          <w:sz w:val="24"/>
          <w:u w:val="single"/>
        </w:rPr>
        <w:t xml:space="preserve">   无   </w:t>
      </w:r>
      <w:r>
        <w:rPr>
          <w:rFonts w:hint="eastAsia" w:ascii="宋体" w:hAnsi="宋体" w:cs="宋体"/>
          <w:color w:val="auto"/>
          <w:sz w:val="24"/>
        </w:rPr>
        <w:t>。</w:t>
      </w:r>
    </w:p>
    <w:p w14:paraId="7767C4D4">
      <w:pPr>
        <w:spacing w:line="440" w:lineRule="exact"/>
        <w:ind w:firstLine="480" w:firstLineChars="200"/>
        <w:rPr>
          <w:rFonts w:ascii="宋体" w:hAnsi="宋体" w:cs="宋体"/>
          <w:color w:val="auto"/>
          <w:sz w:val="24"/>
        </w:rPr>
      </w:pPr>
      <w:r>
        <w:rPr>
          <w:rFonts w:hint="eastAsia" w:ascii="宋体" w:hAnsi="宋体" w:cs="宋体"/>
          <w:color w:val="auto"/>
          <w:sz w:val="24"/>
        </w:rPr>
        <w:t>（1）单机无负荷试车费用由</w:t>
      </w:r>
      <w:r>
        <w:rPr>
          <w:rFonts w:hint="eastAsia" w:ascii="宋体" w:hAnsi="宋体" w:cs="宋体"/>
          <w:color w:val="auto"/>
          <w:sz w:val="24"/>
          <w:u w:val="single"/>
        </w:rPr>
        <w:t xml:space="preserve"> / </w:t>
      </w:r>
      <w:r>
        <w:rPr>
          <w:rFonts w:hint="eastAsia" w:ascii="宋体" w:hAnsi="宋体" w:cs="宋体"/>
          <w:color w:val="auto"/>
          <w:sz w:val="24"/>
        </w:rPr>
        <w:t>承担；</w:t>
      </w:r>
    </w:p>
    <w:p w14:paraId="779A7FE9">
      <w:pPr>
        <w:spacing w:line="440" w:lineRule="exact"/>
        <w:ind w:firstLine="480" w:firstLineChars="200"/>
        <w:rPr>
          <w:rFonts w:ascii="宋体" w:hAnsi="宋体" w:cs="宋体"/>
          <w:color w:val="auto"/>
          <w:sz w:val="24"/>
        </w:rPr>
      </w:pPr>
      <w:r>
        <w:rPr>
          <w:rFonts w:hint="eastAsia" w:ascii="宋体" w:hAnsi="宋体" w:cs="宋体"/>
          <w:color w:val="auto"/>
          <w:sz w:val="24"/>
        </w:rPr>
        <w:t>（2）无负荷联动试车费用由</w:t>
      </w:r>
      <w:r>
        <w:rPr>
          <w:rFonts w:hint="eastAsia" w:ascii="宋体" w:hAnsi="宋体" w:cs="宋体"/>
          <w:color w:val="auto"/>
          <w:sz w:val="24"/>
          <w:u w:val="single"/>
        </w:rPr>
        <w:t xml:space="preserve"> / </w:t>
      </w:r>
      <w:r>
        <w:rPr>
          <w:rFonts w:hint="eastAsia" w:ascii="宋体" w:hAnsi="宋体" w:cs="宋体"/>
          <w:color w:val="auto"/>
          <w:sz w:val="24"/>
        </w:rPr>
        <w:t>承担。</w:t>
      </w:r>
    </w:p>
    <w:p w14:paraId="189B7FD1">
      <w:pPr>
        <w:spacing w:line="440" w:lineRule="exact"/>
        <w:ind w:firstLine="480" w:firstLineChars="200"/>
        <w:rPr>
          <w:rFonts w:ascii="宋体" w:hAnsi="宋体" w:cs="宋体"/>
          <w:color w:val="auto"/>
          <w:sz w:val="24"/>
        </w:rPr>
      </w:pPr>
      <w:r>
        <w:rPr>
          <w:rFonts w:hint="eastAsia" w:ascii="宋体" w:hAnsi="宋体" w:cs="宋体"/>
          <w:color w:val="auto"/>
          <w:sz w:val="24"/>
        </w:rPr>
        <w:t>13.3.2 投料试车</w:t>
      </w:r>
    </w:p>
    <w:p w14:paraId="4FF93CCA">
      <w:pPr>
        <w:spacing w:line="440" w:lineRule="exact"/>
        <w:ind w:firstLine="480" w:firstLineChars="200"/>
        <w:rPr>
          <w:rFonts w:ascii="宋体" w:hAnsi="宋体" w:cs="宋体"/>
          <w:color w:val="auto"/>
          <w:sz w:val="24"/>
        </w:rPr>
      </w:pPr>
      <w:r>
        <w:rPr>
          <w:rFonts w:hint="eastAsia" w:ascii="宋体" w:hAnsi="宋体" w:cs="宋体"/>
          <w:color w:val="auto"/>
          <w:sz w:val="24"/>
        </w:rPr>
        <w:t>关于投料试车相关事项的约定：</w:t>
      </w:r>
      <w:r>
        <w:rPr>
          <w:rFonts w:hint="eastAsia" w:ascii="宋体" w:hAnsi="宋体" w:cs="宋体"/>
          <w:color w:val="auto"/>
          <w:sz w:val="24"/>
          <w:u w:val="single"/>
        </w:rPr>
        <w:t xml:space="preserve">   无   </w:t>
      </w:r>
      <w:r>
        <w:rPr>
          <w:rFonts w:hint="eastAsia" w:ascii="宋体" w:hAnsi="宋体" w:cs="宋体"/>
          <w:color w:val="auto"/>
          <w:sz w:val="24"/>
        </w:rPr>
        <w:t>。</w:t>
      </w:r>
    </w:p>
    <w:p w14:paraId="09297416">
      <w:pPr>
        <w:spacing w:line="440" w:lineRule="exact"/>
        <w:ind w:firstLine="480" w:firstLineChars="200"/>
        <w:rPr>
          <w:rFonts w:ascii="宋体" w:hAnsi="宋体" w:cs="宋体"/>
          <w:color w:val="auto"/>
          <w:sz w:val="24"/>
        </w:rPr>
      </w:pPr>
      <w:bookmarkStart w:id="164" w:name="_Toc448911937"/>
      <w:bookmarkStart w:id="165" w:name="_Toc23655"/>
      <w:r>
        <w:rPr>
          <w:rFonts w:hint="eastAsia" w:ascii="宋体" w:hAnsi="宋体" w:cs="宋体"/>
          <w:color w:val="auto"/>
          <w:sz w:val="24"/>
        </w:rPr>
        <w:t>13.</w:t>
      </w:r>
      <w:r>
        <w:rPr>
          <w:rFonts w:ascii="宋体" w:hAnsi="宋体" w:cs="宋体"/>
          <w:color w:val="auto"/>
          <w:sz w:val="24"/>
        </w:rPr>
        <w:t>4</w:t>
      </w:r>
      <w:r>
        <w:rPr>
          <w:rFonts w:hint="eastAsia" w:ascii="宋体" w:hAnsi="宋体" w:cs="宋体"/>
          <w:color w:val="auto"/>
          <w:sz w:val="24"/>
        </w:rPr>
        <w:t xml:space="preserve"> 竣工退场</w:t>
      </w:r>
      <w:bookmarkEnd w:id="164"/>
      <w:bookmarkEnd w:id="165"/>
    </w:p>
    <w:p w14:paraId="7B499107">
      <w:pPr>
        <w:spacing w:line="440" w:lineRule="exact"/>
        <w:ind w:firstLine="480" w:firstLineChars="200"/>
        <w:rPr>
          <w:rFonts w:ascii="宋体" w:hAnsi="宋体" w:cs="宋体"/>
          <w:color w:val="auto"/>
          <w:sz w:val="24"/>
        </w:rPr>
      </w:pPr>
      <w:r>
        <w:rPr>
          <w:rFonts w:hint="eastAsia" w:ascii="宋体" w:hAnsi="宋体" w:cs="宋体"/>
          <w:color w:val="auto"/>
          <w:sz w:val="24"/>
        </w:rPr>
        <w:t>13.</w:t>
      </w:r>
      <w:r>
        <w:rPr>
          <w:rFonts w:ascii="宋体" w:hAnsi="宋体" w:cs="宋体"/>
          <w:color w:val="auto"/>
          <w:sz w:val="24"/>
        </w:rPr>
        <w:t>4</w:t>
      </w:r>
      <w:r>
        <w:rPr>
          <w:rFonts w:hint="eastAsia" w:ascii="宋体" w:hAnsi="宋体" w:cs="宋体"/>
          <w:color w:val="auto"/>
          <w:sz w:val="24"/>
        </w:rPr>
        <w:t>.1 竣工退场</w:t>
      </w:r>
    </w:p>
    <w:p w14:paraId="6B940DA7">
      <w:pPr>
        <w:spacing w:line="440" w:lineRule="exact"/>
        <w:ind w:firstLine="480" w:firstLineChars="200"/>
        <w:rPr>
          <w:rFonts w:ascii="宋体" w:hAnsi="宋体" w:cs="宋体"/>
          <w:color w:val="auto"/>
          <w:sz w:val="24"/>
        </w:rPr>
      </w:pPr>
      <w:r>
        <w:rPr>
          <w:rFonts w:hint="eastAsia" w:ascii="宋体" w:hAnsi="宋体" w:cs="宋体"/>
          <w:color w:val="auto"/>
          <w:sz w:val="24"/>
        </w:rPr>
        <w:t>承包人完成竣工退场的期限：</w:t>
      </w:r>
      <w:r>
        <w:rPr>
          <w:rFonts w:hint="eastAsia" w:ascii="宋体" w:hAnsi="宋体" w:cs="宋体"/>
          <w:color w:val="auto"/>
          <w:sz w:val="24"/>
          <w:u w:val="single"/>
        </w:rPr>
        <w:t>颁发工程接收证书后10日内</w:t>
      </w:r>
      <w:r>
        <w:rPr>
          <w:rFonts w:hint="eastAsia" w:ascii="宋体" w:hAnsi="宋体" w:cs="宋体"/>
          <w:color w:val="auto"/>
          <w:sz w:val="24"/>
        </w:rPr>
        <w:t>。</w:t>
      </w:r>
    </w:p>
    <w:p w14:paraId="11F0068C">
      <w:pPr>
        <w:spacing w:line="440" w:lineRule="exact"/>
        <w:ind w:firstLine="482" w:firstLineChars="200"/>
        <w:rPr>
          <w:rFonts w:ascii="宋体" w:hAnsi="宋体" w:cs="宋体"/>
          <w:b/>
          <w:bCs/>
          <w:color w:val="auto"/>
          <w:sz w:val="24"/>
        </w:rPr>
      </w:pPr>
      <w:bookmarkStart w:id="166" w:name="_Toc13035"/>
      <w:bookmarkStart w:id="167" w:name="_Toc20266"/>
      <w:bookmarkStart w:id="168" w:name="_Toc17094"/>
      <w:bookmarkStart w:id="169" w:name="_Toc27572"/>
      <w:bookmarkStart w:id="170" w:name="_Toc15738"/>
      <w:bookmarkStart w:id="171" w:name="_Toc26810"/>
      <w:bookmarkStart w:id="172" w:name="_Toc22328"/>
      <w:bookmarkStart w:id="173" w:name="_Toc448911938"/>
      <w:bookmarkStart w:id="174" w:name="_Toc351203646"/>
      <w:bookmarkStart w:id="175" w:name="_Toc7494"/>
      <w:bookmarkStart w:id="176" w:name="_Toc18143"/>
      <w:bookmarkStart w:id="177" w:name="_Toc3576"/>
      <w:r>
        <w:rPr>
          <w:rFonts w:hint="eastAsia" w:ascii="宋体" w:hAnsi="宋体" w:cs="宋体"/>
          <w:b/>
          <w:bCs/>
          <w:color w:val="auto"/>
          <w:sz w:val="24"/>
        </w:rPr>
        <w:t>14.竣工结算</w:t>
      </w:r>
      <w:bookmarkEnd w:id="166"/>
      <w:bookmarkEnd w:id="167"/>
      <w:bookmarkEnd w:id="168"/>
      <w:bookmarkEnd w:id="169"/>
      <w:bookmarkEnd w:id="170"/>
      <w:bookmarkEnd w:id="171"/>
      <w:bookmarkEnd w:id="172"/>
      <w:bookmarkEnd w:id="173"/>
      <w:bookmarkEnd w:id="174"/>
      <w:bookmarkEnd w:id="175"/>
      <w:bookmarkEnd w:id="176"/>
      <w:bookmarkEnd w:id="177"/>
    </w:p>
    <w:p w14:paraId="2FEC35CA">
      <w:pPr>
        <w:spacing w:line="440" w:lineRule="exact"/>
        <w:ind w:firstLine="480" w:firstLineChars="200"/>
        <w:rPr>
          <w:rFonts w:ascii="宋体" w:hAnsi="宋体" w:cs="宋体"/>
          <w:color w:val="auto"/>
          <w:sz w:val="24"/>
        </w:rPr>
      </w:pPr>
      <w:r>
        <w:rPr>
          <w:rFonts w:hint="eastAsia" w:ascii="宋体" w:hAnsi="宋体" w:cs="宋体"/>
          <w:color w:val="auto"/>
          <w:sz w:val="24"/>
        </w:rPr>
        <w:t>14.1竣工付款申请</w:t>
      </w:r>
    </w:p>
    <w:p w14:paraId="12D6FC9D">
      <w:pPr>
        <w:spacing w:line="440" w:lineRule="exact"/>
        <w:ind w:firstLine="480" w:firstLineChars="200"/>
        <w:rPr>
          <w:rFonts w:ascii="宋体" w:hAnsi="宋体" w:cs="宋体"/>
          <w:color w:val="auto"/>
          <w:sz w:val="24"/>
          <w:u w:val="single"/>
        </w:rPr>
      </w:pPr>
      <w:bookmarkStart w:id="178" w:name="auto_fouce_33"/>
      <w:r>
        <w:rPr>
          <w:rFonts w:hint="eastAsia" w:ascii="宋体" w:hAnsi="宋体" w:cs="宋体"/>
          <w:color w:val="auto"/>
          <w:sz w:val="24"/>
        </w:rPr>
        <w:t>承包人提交完整竣工结算申请单及全套符合要求结算资料的期限：</w:t>
      </w:r>
      <w:r>
        <w:rPr>
          <w:rFonts w:hint="eastAsia" w:ascii="宋体" w:hAnsi="宋体" w:cs="宋体"/>
          <w:color w:val="auto"/>
          <w:sz w:val="24"/>
          <w:u w:val="single"/>
        </w:rPr>
        <w:t>本工程竣工验收合格后10日内。</w:t>
      </w:r>
      <w:bookmarkEnd w:id="178"/>
    </w:p>
    <w:p w14:paraId="1CA14745">
      <w:pPr>
        <w:spacing w:line="440" w:lineRule="exact"/>
        <w:ind w:firstLine="480" w:firstLineChars="200"/>
        <w:rPr>
          <w:rFonts w:ascii="宋体" w:hAnsi="宋体" w:cs="宋体"/>
          <w:color w:val="auto"/>
          <w:sz w:val="24"/>
        </w:rPr>
      </w:pPr>
      <w:r>
        <w:rPr>
          <w:rFonts w:hint="eastAsia" w:ascii="宋体" w:hAnsi="宋体" w:cs="宋体"/>
          <w:color w:val="auto"/>
          <w:sz w:val="24"/>
        </w:rPr>
        <w:t>竣工结算申请单应包括的内容：</w:t>
      </w:r>
      <w:r>
        <w:rPr>
          <w:rFonts w:hint="eastAsia" w:ascii="宋体" w:hAnsi="宋体" w:cs="宋体"/>
          <w:color w:val="auto"/>
          <w:sz w:val="24"/>
          <w:u w:val="single"/>
        </w:rPr>
        <w:t>除通用合同条款第14.1款约定的内容外，还应包括：工程结算审核结论书。</w:t>
      </w:r>
    </w:p>
    <w:p w14:paraId="744E5AA9">
      <w:pPr>
        <w:spacing w:line="440" w:lineRule="exact"/>
        <w:ind w:firstLine="480" w:firstLineChars="200"/>
        <w:rPr>
          <w:rFonts w:ascii="宋体" w:hAnsi="宋体" w:cs="宋体"/>
          <w:color w:val="auto"/>
          <w:sz w:val="24"/>
        </w:rPr>
      </w:pPr>
      <w:r>
        <w:rPr>
          <w:rFonts w:hint="eastAsia" w:ascii="宋体" w:hAnsi="宋体" w:cs="宋体"/>
          <w:color w:val="auto"/>
          <w:sz w:val="24"/>
        </w:rPr>
        <w:t>14.2 竣工结算审核</w:t>
      </w:r>
    </w:p>
    <w:p w14:paraId="14266DE9">
      <w:pPr>
        <w:spacing w:line="440" w:lineRule="exact"/>
        <w:ind w:firstLine="480" w:firstLineChars="200"/>
        <w:rPr>
          <w:rFonts w:ascii="宋体" w:hAnsi="宋体" w:cs="宋体"/>
          <w:color w:val="auto"/>
          <w:sz w:val="24"/>
        </w:rPr>
      </w:pPr>
      <w:r>
        <w:rPr>
          <w:rFonts w:hint="eastAsia" w:ascii="宋体" w:hAnsi="宋体" w:cs="宋体"/>
          <w:color w:val="auto"/>
          <w:sz w:val="24"/>
        </w:rPr>
        <w:t>（1）</w:t>
      </w:r>
      <w:bookmarkStart w:id="179" w:name="auto_fouce_34"/>
      <w:r>
        <w:rPr>
          <w:rFonts w:hint="eastAsia" w:ascii="宋体" w:hAnsi="宋体" w:cs="宋体"/>
          <w:color w:val="auto"/>
          <w:sz w:val="24"/>
        </w:rPr>
        <w:t>承包人在竣工验收后3个月内按发包人要求提交结算资料，每延迟一天提交结算资料，承包人向发包人支付1000元/天的违约金，上述违约金发包人有权从履约保证金或工程款中扣除。乙方提交的结算资料不完整或不符合甲方要求的，甲方有权退回乙方补正，补正期间不计入甲方结算审核期限，且视为乙方延迟提交结算资料，按本合同约定承担相应责任。逾期提交超过30日的，甲方有权直接依据已有的工程资料完成竣工结算审核，承包人不得就该结算结果提出任何异议。</w:t>
      </w:r>
      <w:bookmarkEnd w:id="179"/>
    </w:p>
    <w:p w14:paraId="0AC4BF22">
      <w:pPr>
        <w:spacing w:line="440" w:lineRule="exact"/>
        <w:ind w:firstLine="480" w:firstLineChars="200"/>
        <w:rPr>
          <w:rFonts w:ascii="宋体" w:hAnsi="宋体" w:cs="宋体"/>
          <w:color w:val="auto"/>
          <w:sz w:val="24"/>
        </w:rPr>
      </w:pPr>
      <w:r>
        <w:rPr>
          <w:rFonts w:hint="eastAsia" w:ascii="宋体" w:hAnsi="宋体" w:cs="宋体"/>
          <w:color w:val="auto"/>
          <w:sz w:val="24"/>
        </w:rPr>
        <w:t>（2）本工程最终竣工</w:t>
      </w:r>
      <w:r>
        <w:rPr>
          <w:rFonts w:hint="eastAsia" w:ascii="宋体" w:hAnsi="宋体" w:cs="宋体"/>
          <w:color w:val="auto"/>
          <w:sz w:val="24"/>
          <w:highlight w:val="none"/>
        </w:rPr>
        <w:t>结算需经财政投资评审中心或第三方造价咨询公司审定，承包人所编制的工程竣工资料经发包人审核后，承包人所遗漏的与工程造价有关的签</w:t>
      </w:r>
      <w:r>
        <w:rPr>
          <w:rFonts w:hint="eastAsia" w:ascii="宋体" w:hAnsi="宋体" w:cs="宋体"/>
          <w:color w:val="auto"/>
          <w:sz w:val="24"/>
        </w:rPr>
        <w:t>证不再作为结算审核依据，按自动放弃处理。</w:t>
      </w:r>
    </w:p>
    <w:p w14:paraId="55EF97CA">
      <w:pPr>
        <w:spacing w:line="440" w:lineRule="exact"/>
        <w:ind w:firstLine="480" w:firstLineChars="200"/>
        <w:jc w:val="left"/>
        <w:rPr>
          <w:color w:val="auto"/>
        </w:rPr>
      </w:pPr>
      <w:r>
        <w:rPr>
          <w:rFonts w:hint="eastAsia" w:ascii="宋体" w:hAnsi="宋体" w:cs="宋体"/>
          <w:color w:val="auto"/>
          <w:sz w:val="24"/>
        </w:rPr>
        <w:t>（3）</w:t>
      </w:r>
      <w:bookmarkStart w:id="180" w:name="auto_fouce_35"/>
      <w:r>
        <w:rPr>
          <w:rFonts w:hint="eastAsia" w:ascii="宋体" w:hAnsi="宋体" w:cs="宋体"/>
          <w:color w:val="auto"/>
          <w:sz w:val="24"/>
        </w:rPr>
        <w:t>如承包人报送的工程结算总价过高，造成该结算审减率超过6%以上的，则超出部分的审核费由承包人承担，费用由发包人从承包人工程结算款中扣除。审减率=（送审造价-审定造价）/送审造价×100%。审核收费标准按桂价协字〔2019〕15号6.1执行，具体费率表详见本合同附件。承包人对此收费标准已充分知晓并认可。</w:t>
      </w:r>
      <w:bookmarkEnd w:id="180"/>
    </w:p>
    <w:p w14:paraId="05D2F4AF">
      <w:pPr>
        <w:spacing w:line="440" w:lineRule="exact"/>
        <w:ind w:firstLine="480" w:firstLineChars="200"/>
        <w:jc w:val="left"/>
        <w:rPr>
          <w:rFonts w:ascii="宋体" w:hAnsi="宋体" w:cs="宋体"/>
          <w:color w:val="auto"/>
          <w:sz w:val="24"/>
        </w:rPr>
      </w:pPr>
      <w:r>
        <w:rPr>
          <w:rFonts w:hint="eastAsia" w:ascii="宋体" w:hAnsi="宋体" w:cs="宋体"/>
          <w:color w:val="auto"/>
          <w:sz w:val="24"/>
        </w:rPr>
        <w:t>发包人审批竣工付款申请单的期限：</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2466"/>
        <w:gridCol w:w="5820"/>
      </w:tblGrid>
      <w:tr w14:paraId="6DF7A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607E32D1">
            <w:pPr>
              <w:spacing w:line="440" w:lineRule="exact"/>
              <w:jc w:val="center"/>
              <w:rPr>
                <w:rFonts w:ascii="宋体" w:hAnsi="宋体" w:cs="宋体"/>
                <w:color w:val="auto"/>
                <w:sz w:val="24"/>
              </w:rPr>
            </w:pPr>
          </w:p>
        </w:tc>
        <w:tc>
          <w:tcPr>
            <w:tcW w:w="2466" w:type="dxa"/>
            <w:vAlign w:val="center"/>
          </w:tcPr>
          <w:p w14:paraId="4B3F050E">
            <w:pPr>
              <w:spacing w:line="440" w:lineRule="exact"/>
              <w:jc w:val="center"/>
              <w:rPr>
                <w:rFonts w:ascii="宋体" w:hAnsi="宋体" w:cs="宋体"/>
                <w:color w:val="auto"/>
                <w:sz w:val="24"/>
              </w:rPr>
            </w:pPr>
            <w:r>
              <w:rPr>
                <w:rFonts w:hint="eastAsia" w:ascii="宋体" w:hAnsi="宋体" w:cs="宋体"/>
                <w:color w:val="auto"/>
                <w:sz w:val="24"/>
              </w:rPr>
              <w:t>工程竣工结算报告金额</w:t>
            </w:r>
          </w:p>
        </w:tc>
        <w:tc>
          <w:tcPr>
            <w:tcW w:w="5820" w:type="dxa"/>
            <w:vAlign w:val="center"/>
          </w:tcPr>
          <w:p w14:paraId="63F78A62">
            <w:pPr>
              <w:spacing w:line="440" w:lineRule="exact"/>
              <w:jc w:val="center"/>
              <w:rPr>
                <w:rFonts w:ascii="宋体" w:hAnsi="宋体" w:cs="宋体"/>
                <w:color w:val="auto"/>
                <w:sz w:val="24"/>
              </w:rPr>
            </w:pPr>
            <w:r>
              <w:rPr>
                <w:rFonts w:hint="eastAsia" w:ascii="宋体" w:hAnsi="宋体" w:cs="宋体"/>
                <w:color w:val="auto"/>
                <w:sz w:val="24"/>
              </w:rPr>
              <w:t>发包人审查时间</w:t>
            </w:r>
          </w:p>
        </w:tc>
      </w:tr>
      <w:tr w14:paraId="728E7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6912A69F">
            <w:pPr>
              <w:spacing w:line="440" w:lineRule="exact"/>
              <w:jc w:val="center"/>
              <w:rPr>
                <w:rFonts w:ascii="宋体" w:hAnsi="宋体" w:cs="宋体"/>
                <w:color w:val="auto"/>
                <w:sz w:val="24"/>
              </w:rPr>
            </w:pPr>
            <w:r>
              <w:rPr>
                <w:rFonts w:hint="eastAsia" w:ascii="宋体" w:hAnsi="宋体" w:cs="宋体"/>
                <w:color w:val="auto"/>
                <w:sz w:val="24"/>
              </w:rPr>
              <w:t>1</w:t>
            </w:r>
          </w:p>
        </w:tc>
        <w:tc>
          <w:tcPr>
            <w:tcW w:w="2466" w:type="dxa"/>
            <w:vAlign w:val="center"/>
          </w:tcPr>
          <w:p w14:paraId="0B884E7C">
            <w:pPr>
              <w:spacing w:line="440" w:lineRule="exact"/>
              <w:jc w:val="center"/>
              <w:rPr>
                <w:rFonts w:ascii="宋体" w:hAnsi="宋体" w:cs="宋体"/>
                <w:color w:val="auto"/>
                <w:sz w:val="24"/>
              </w:rPr>
            </w:pPr>
            <w:r>
              <w:rPr>
                <w:rFonts w:hint="eastAsia" w:ascii="宋体" w:hAnsi="宋体" w:cs="宋体"/>
                <w:color w:val="auto"/>
                <w:sz w:val="24"/>
              </w:rPr>
              <w:t>500万元以下</w:t>
            </w:r>
          </w:p>
        </w:tc>
        <w:tc>
          <w:tcPr>
            <w:tcW w:w="5820" w:type="dxa"/>
            <w:vAlign w:val="center"/>
          </w:tcPr>
          <w:p w14:paraId="3D623CAD">
            <w:pPr>
              <w:spacing w:line="440" w:lineRule="exact"/>
              <w:jc w:val="center"/>
              <w:rPr>
                <w:rFonts w:ascii="宋体" w:hAnsi="宋体" w:cs="宋体"/>
                <w:color w:val="auto"/>
                <w:sz w:val="24"/>
              </w:rPr>
            </w:pPr>
            <w:r>
              <w:rPr>
                <w:rFonts w:hint="eastAsia" w:ascii="宋体" w:hAnsi="宋体" w:cs="宋体"/>
                <w:color w:val="auto"/>
                <w:sz w:val="24"/>
              </w:rPr>
              <w:t>从接到竣工结算报告和完整的竣工结算资料之日起20天</w:t>
            </w:r>
          </w:p>
        </w:tc>
      </w:tr>
      <w:tr w14:paraId="59E1D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3F119BBB">
            <w:pPr>
              <w:spacing w:line="440" w:lineRule="exact"/>
              <w:jc w:val="center"/>
              <w:rPr>
                <w:rFonts w:ascii="宋体" w:hAnsi="宋体" w:cs="宋体"/>
                <w:color w:val="auto"/>
                <w:sz w:val="24"/>
              </w:rPr>
            </w:pPr>
            <w:r>
              <w:rPr>
                <w:rFonts w:hint="eastAsia" w:ascii="宋体" w:hAnsi="宋体" w:cs="宋体"/>
                <w:color w:val="auto"/>
                <w:sz w:val="24"/>
              </w:rPr>
              <w:t>2</w:t>
            </w:r>
          </w:p>
        </w:tc>
        <w:tc>
          <w:tcPr>
            <w:tcW w:w="2466" w:type="dxa"/>
            <w:vAlign w:val="center"/>
          </w:tcPr>
          <w:p w14:paraId="7420BD3E">
            <w:pPr>
              <w:spacing w:line="440" w:lineRule="exact"/>
              <w:jc w:val="center"/>
              <w:rPr>
                <w:rFonts w:ascii="宋体" w:hAnsi="宋体" w:cs="宋体"/>
                <w:color w:val="auto"/>
                <w:sz w:val="24"/>
              </w:rPr>
            </w:pPr>
            <w:r>
              <w:rPr>
                <w:rFonts w:hint="eastAsia" w:ascii="宋体" w:hAnsi="宋体" w:cs="宋体"/>
                <w:color w:val="auto"/>
                <w:sz w:val="24"/>
              </w:rPr>
              <w:t>500万元-2000万元</w:t>
            </w:r>
          </w:p>
        </w:tc>
        <w:tc>
          <w:tcPr>
            <w:tcW w:w="5820" w:type="dxa"/>
            <w:vAlign w:val="center"/>
          </w:tcPr>
          <w:p w14:paraId="653AF9C7">
            <w:pPr>
              <w:spacing w:line="440" w:lineRule="exact"/>
              <w:jc w:val="center"/>
              <w:rPr>
                <w:rFonts w:ascii="宋体" w:hAnsi="宋体" w:cs="宋体"/>
                <w:color w:val="auto"/>
                <w:sz w:val="24"/>
              </w:rPr>
            </w:pPr>
            <w:r>
              <w:rPr>
                <w:rFonts w:hint="eastAsia" w:ascii="宋体" w:hAnsi="宋体" w:cs="宋体"/>
                <w:color w:val="auto"/>
                <w:sz w:val="24"/>
              </w:rPr>
              <w:t>从接到竣工结算报告和完整的竣工结算资料之日起30天</w:t>
            </w:r>
          </w:p>
        </w:tc>
      </w:tr>
      <w:tr w14:paraId="0723C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6F7AFD16">
            <w:pPr>
              <w:spacing w:line="440" w:lineRule="exact"/>
              <w:jc w:val="center"/>
              <w:rPr>
                <w:rFonts w:ascii="宋体" w:hAnsi="宋体" w:cs="宋体"/>
                <w:color w:val="auto"/>
                <w:sz w:val="24"/>
              </w:rPr>
            </w:pPr>
            <w:r>
              <w:rPr>
                <w:rFonts w:hint="eastAsia" w:ascii="宋体" w:hAnsi="宋体" w:cs="宋体"/>
                <w:color w:val="auto"/>
                <w:sz w:val="24"/>
              </w:rPr>
              <w:t>3</w:t>
            </w:r>
          </w:p>
        </w:tc>
        <w:tc>
          <w:tcPr>
            <w:tcW w:w="2466" w:type="dxa"/>
            <w:vAlign w:val="center"/>
          </w:tcPr>
          <w:p w14:paraId="00B9DD54">
            <w:pPr>
              <w:spacing w:line="440" w:lineRule="exact"/>
              <w:jc w:val="center"/>
              <w:rPr>
                <w:rFonts w:ascii="宋体" w:hAnsi="宋体" w:cs="宋体"/>
                <w:color w:val="auto"/>
                <w:sz w:val="24"/>
              </w:rPr>
            </w:pPr>
            <w:r>
              <w:rPr>
                <w:rFonts w:hint="eastAsia" w:ascii="宋体" w:hAnsi="宋体" w:cs="宋体"/>
                <w:color w:val="auto"/>
                <w:sz w:val="24"/>
              </w:rPr>
              <w:t>2000万元-5000万元</w:t>
            </w:r>
          </w:p>
        </w:tc>
        <w:tc>
          <w:tcPr>
            <w:tcW w:w="5820" w:type="dxa"/>
            <w:vAlign w:val="center"/>
          </w:tcPr>
          <w:p w14:paraId="5188BB9F">
            <w:pPr>
              <w:spacing w:line="440" w:lineRule="exact"/>
              <w:jc w:val="center"/>
              <w:rPr>
                <w:rFonts w:ascii="宋体" w:hAnsi="宋体" w:cs="宋体"/>
                <w:color w:val="auto"/>
                <w:sz w:val="24"/>
              </w:rPr>
            </w:pPr>
            <w:r>
              <w:rPr>
                <w:rFonts w:hint="eastAsia" w:ascii="宋体" w:hAnsi="宋体" w:cs="宋体"/>
                <w:color w:val="auto"/>
                <w:sz w:val="24"/>
              </w:rPr>
              <w:t>从接到竣工结算报告和完整的竣工结算资料之日起45天</w:t>
            </w:r>
          </w:p>
        </w:tc>
      </w:tr>
      <w:tr w14:paraId="1C558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7DA486C9">
            <w:pPr>
              <w:spacing w:line="440" w:lineRule="exact"/>
              <w:jc w:val="center"/>
              <w:rPr>
                <w:rFonts w:ascii="宋体" w:hAnsi="宋体" w:cs="宋体"/>
                <w:color w:val="auto"/>
                <w:sz w:val="24"/>
              </w:rPr>
            </w:pPr>
            <w:r>
              <w:rPr>
                <w:rFonts w:hint="eastAsia" w:ascii="宋体" w:hAnsi="宋体" w:cs="宋体"/>
                <w:color w:val="auto"/>
                <w:sz w:val="24"/>
              </w:rPr>
              <w:t>4</w:t>
            </w:r>
          </w:p>
        </w:tc>
        <w:tc>
          <w:tcPr>
            <w:tcW w:w="2466" w:type="dxa"/>
            <w:vAlign w:val="center"/>
          </w:tcPr>
          <w:p w14:paraId="775F23B3">
            <w:pPr>
              <w:spacing w:line="440" w:lineRule="exact"/>
              <w:jc w:val="center"/>
              <w:rPr>
                <w:rFonts w:ascii="宋体" w:hAnsi="宋体" w:cs="宋体"/>
                <w:color w:val="auto"/>
                <w:sz w:val="24"/>
              </w:rPr>
            </w:pPr>
            <w:r>
              <w:rPr>
                <w:rFonts w:hint="eastAsia" w:ascii="宋体" w:hAnsi="宋体" w:cs="宋体"/>
                <w:color w:val="auto"/>
                <w:sz w:val="24"/>
              </w:rPr>
              <w:t>5000万元以上</w:t>
            </w:r>
          </w:p>
        </w:tc>
        <w:tc>
          <w:tcPr>
            <w:tcW w:w="5820" w:type="dxa"/>
            <w:vAlign w:val="center"/>
          </w:tcPr>
          <w:p w14:paraId="4511B57E">
            <w:pPr>
              <w:spacing w:line="440" w:lineRule="exact"/>
              <w:jc w:val="center"/>
              <w:rPr>
                <w:rFonts w:ascii="宋体" w:hAnsi="宋体" w:cs="宋体"/>
                <w:color w:val="auto"/>
                <w:sz w:val="24"/>
              </w:rPr>
            </w:pPr>
            <w:r>
              <w:rPr>
                <w:rFonts w:hint="eastAsia" w:ascii="宋体" w:hAnsi="宋体" w:cs="宋体"/>
                <w:color w:val="auto"/>
                <w:sz w:val="24"/>
              </w:rPr>
              <w:t>从接到竣工结算报告和完整的竣工结算资料之日起60天</w:t>
            </w:r>
          </w:p>
        </w:tc>
      </w:tr>
      <w:tr w14:paraId="4A254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4C149E12">
            <w:pPr>
              <w:spacing w:line="440" w:lineRule="exact"/>
              <w:jc w:val="center"/>
              <w:rPr>
                <w:rFonts w:ascii="宋体" w:hAnsi="宋体" w:cs="宋体"/>
                <w:color w:val="auto"/>
                <w:sz w:val="24"/>
              </w:rPr>
            </w:pPr>
            <w:r>
              <w:rPr>
                <w:rFonts w:hint="eastAsia" w:ascii="宋体" w:hAnsi="宋体" w:cs="宋体"/>
                <w:color w:val="auto"/>
                <w:sz w:val="24"/>
              </w:rPr>
              <w:t>5</w:t>
            </w:r>
          </w:p>
        </w:tc>
        <w:tc>
          <w:tcPr>
            <w:tcW w:w="2466" w:type="dxa"/>
            <w:vAlign w:val="center"/>
          </w:tcPr>
          <w:p w14:paraId="6C2AC729">
            <w:pPr>
              <w:spacing w:line="440" w:lineRule="exact"/>
              <w:jc w:val="center"/>
              <w:rPr>
                <w:rFonts w:ascii="宋体" w:hAnsi="宋体" w:cs="宋体"/>
                <w:color w:val="auto"/>
                <w:sz w:val="24"/>
              </w:rPr>
            </w:pPr>
            <w:r>
              <w:rPr>
                <w:rFonts w:hint="eastAsia" w:ascii="宋体" w:hAnsi="宋体" w:cs="宋体"/>
                <w:color w:val="auto"/>
                <w:sz w:val="24"/>
              </w:rPr>
              <w:t>5000万元以上每增加0.5亿元（不足0.5亿元不增加）</w:t>
            </w:r>
          </w:p>
        </w:tc>
        <w:tc>
          <w:tcPr>
            <w:tcW w:w="5820" w:type="dxa"/>
            <w:vAlign w:val="center"/>
          </w:tcPr>
          <w:p w14:paraId="62BBC6B1">
            <w:pPr>
              <w:spacing w:line="440" w:lineRule="exact"/>
              <w:jc w:val="center"/>
              <w:rPr>
                <w:rFonts w:ascii="宋体" w:hAnsi="宋体" w:cs="宋体"/>
                <w:color w:val="auto"/>
                <w:sz w:val="24"/>
              </w:rPr>
            </w:pPr>
            <w:r>
              <w:rPr>
                <w:rFonts w:hint="eastAsia" w:ascii="宋体" w:hAnsi="宋体" w:cs="宋体"/>
                <w:color w:val="auto"/>
                <w:sz w:val="24"/>
              </w:rPr>
              <w:t>增加10天</w:t>
            </w:r>
          </w:p>
        </w:tc>
      </w:tr>
    </w:tbl>
    <w:p w14:paraId="3729D083">
      <w:pPr>
        <w:spacing w:line="440" w:lineRule="exact"/>
        <w:ind w:firstLine="480" w:firstLineChars="200"/>
        <w:rPr>
          <w:rFonts w:ascii="宋体" w:hAnsi="宋体" w:cs="宋体"/>
          <w:color w:val="auto"/>
          <w:sz w:val="24"/>
        </w:rPr>
      </w:pPr>
      <w:r>
        <w:rPr>
          <w:rFonts w:hint="eastAsia" w:ascii="宋体" w:hAnsi="宋体" w:cs="宋体"/>
          <w:color w:val="auto"/>
          <w:sz w:val="24"/>
        </w:rPr>
        <w:t>因承包人提供的结算资料不完整而需要补充或承包人不按时对账耽误时间时，审查时间应相应顺延。</w:t>
      </w:r>
    </w:p>
    <w:p w14:paraId="37B6086F">
      <w:pPr>
        <w:spacing w:line="440" w:lineRule="exact"/>
        <w:ind w:firstLine="480" w:firstLineChars="200"/>
        <w:rPr>
          <w:color w:val="auto"/>
          <w:u w:val="single"/>
        </w:rPr>
      </w:pPr>
      <w:r>
        <w:rPr>
          <w:rFonts w:hint="eastAsia" w:ascii="宋体" w:hAnsi="宋体" w:cs="宋体"/>
          <w:color w:val="auto"/>
          <w:sz w:val="24"/>
        </w:rPr>
        <w:t>支付结算款的期限：</w:t>
      </w:r>
      <w:r>
        <w:rPr>
          <w:rFonts w:hint="eastAsia" w:ascii="宋体" w:hAnsi="宋体" w:cs="宋体"/>
          <w:color w:val="auto"/>
          <w:sz w:val="24"/>
          <w:u w:val="single"/>
        </w:rPr>
        <w:t>结算经发包人及合同约定的财政或审计部门(如有)审定后，方可请款。承包人请款申请经发包人审核后，发包人自收到承包人工程质量保证金缴纳凭证和合格的增值税发票或者普通发票之日起10个工作日内支付至结算合同总价的100%（含已支付的）。</w:t>
      </w:r>
    </w:p>
    <w:p w14:paraId="7CEC981B">
      <w:pPr>
        <w:spacing w:line="440" w:lineRule="exact"/>
        <w:ind w:firstLine="480" w:firstLineChars="200"/>
        <w:rPr>
          <w:rFonts w:ascii="宋体" w:hAnsi="宋体" w:cs="宋体"/>
          <w:color w:val="auto"/>
          <w:sz w:val="24"/>
        </w:rPr>
      </w:pPr>
      <w:r>
        <w:rPr>
          <w:rFonts w:hint="eastAsia" w:ascii="宋体" w:hAnsi="宋体" w:cs="宋体"/>
          <w:color w:val="auto"/>
          <w:sz w:val="24"/>
        </w:rPr>
        <w:t>关于竣工付款证书异议部分复核的方式和程序：按本合同通用条款执行。</w:t>
      </w:r>
    </w:p>
    <w:p w14:paraId="4DB1E6E6">
      <w:pPr>
        <w:spacing w:line="440" w:lineRule="exact"/>
        <w:ind w:firstLine="480" w:firstLineChars="200"/>
        <w:rPr>
          <w:rFonts w:ascii="宋体" w:hAnsi="宋体" w:cs="宋体"/>
          <w:color w:val="auto"/>
          <w:sz w:val="24"/>
          <w:u w:val="single"/>
        </w:rPr>
      </w:pPr>
      <w:r>
        <w:rPr>
          <w:rFonts w:hint="eastAsia" w:ascii="宋体" w:hAnsi="宋体" w:cs="宋体"/>
          <w:color w:val="auto"/>
          <w:sz w:val="24"/>
          <w:u w:val="single"/>
        </w:rPr>
        <w:t>1、工程竣工验收报告经发包人认可后10日内，承包人向发包人递交竣工结算报告书及完整的结算资料（按施工分部分类）并经发包人确认。发包人在接到完整的结算资料之日起60个工作日内完成审核工作。承包人取得发包人审核意见后10个工作日内给予答复，超过答复时间视为同意审核结果。若对发包人审核意见有异议，需在10个工作日内与发</w:t>
      </w:r>
      <w:r>
        <w:rPr>
          <w:rFonts w:hint="eastAsia" w:ascii="宋体" w:hAnsi="宋体" w:cs="宋体"/>
          <w:color w:val="auto"/>
          <w:sz w:val="24"/>
          <w:highlight w:val="none"/>
          <w:u w:val="single"/>
        </w:rPr>
        <w:t>包人及</w:t>
      </w:r>
      <w:r>
        <w:rPr>
          <w:rFonts w:hint="eastAsia" w:ascii="宋体" w:hAnsi="宋体" w:cs="宋体"/>
          <w:color w:val="auto"/>
          <w:sz w:val="24"/>
          <w:u w:val="single"/>
        </w:rPr>
        <w:t>发包人委托单位沟通达成一致意见，若10天内达不成一致意见，承包人可先向当地住建局或双方认定的机构进行调解，若仍达不成一致意见，则承包人可向工程所在地人民法院起诉。在结算期间，承包人需无条件协助发包人办理相关手续，否则由此给发包人带来的损失由承包人承担。</w:t>
      </w:r>
    </w:p>
    <w:p w14:paraId="4A810A59">
      <w:pPr>
        <w:spacing w:line="440" w:lineRule="exact"/>
        <w:ind w:firstLine="480" w:firstLineChars="200"/>
        <w:rPr>
          <w:rFonts w:ascii="宋体" w:hAnsi="宋体" w:cs="宋体"/>
          <w:color w:val="auto"/>
          <w:sz w:val="24"/>
          <w:u w:val="single"/>
        </w:rPr>
      </w:pPr>
      <w:r>
        <w:rPr>
          <w:rFonts w:hint="eastAsia" w:ascii="宋体" w:hAnsi="宋体" w:cs="宋体"/>
          <w:color w:val="auto"/>
          <w:sz w:val="24"/>
          <w:u w:val="single"/>
        </w:rPr>
        <w:t>2、结算依据：双方约定按以下条款作为结算依据：</w:t>
      </w:r>
    </w:p>
    <w:p w14:paraId="11955B52">
      <w:pPr>
        <w:spacing w:line="440" w:lineRule="exact"/>
        <w:ind w:firstLine="480" w:firstLineChars="200"/>
        <w:rPr>
          <w:rFonts w:ascii="宋体" w:hAnsi="宋体" w:cs="宋体"/>
          <w:color w:val="auto"/>
          <w:sz w:val="24"/>
          <w:u w:val="single"/>
        </w:rPr>
      </w:pPr>
      <w:r>
        <w:rPr>
          <w:rFonts w:hint="eastAsia" w:ascii="宋体" w:hAnsi="宋体" w:cs="宋体"/>
          <w:color w:val="auto"/>
          <w:sz w:val="24"/>
          <w:u w:val="single"/>
        </w:rPr>
        <w:t>1）本合同价格及计价标准、设计变更、签证；</w:t>
      </w:r>
    </w:p>
    <w:p w14:paraId="0395A7C4">
      <w:pPr>
        <w:spacing w:line="440" w:lineRule="exact"/>
        <w:ind w:firstLine="480" w:firstLineChars="200"/>
        <w:rPr>
          <w:rFonts w:ascii="宋体" w:hAnsi="宋体" w:cs="宋体"/>
          <w:color w:val="auto"/>
          <w:sz w:val="24"/>
          <w:u w:val="single"/>
        </w:rPr>
      </w:pPr>
      <w:r>
        <w:rPr>
          <w:rFonts w:hint="eastAsia" w:ascii="宋体" w:hAnsi="宋体" w:cs="宋体"/>
          <w:color w:val="auto"/>
          <w:sz w:val="24"/>
          <w:u w:val="single"/>
        </w:rPr>
        <w:t>2）按竣工图纸核实已完工程量；</w:t>
      </w:r>
    </w:p>
    <w:p w14:paraId="20B3048A">
      <w:pPr>
        <w:spacing w:line="440" w:lineRule="exact"/>
        <w:ind w:firstLine="480" w:firstLineChars="200"/>
        <w:rPr>
          <w:rFonts w:ascii="宋体" w:hAnsi="宋体" w:cs="宋体"/>
          <w:color w:val="auto"/>
          <w:sz w:val="24"/>
          <w:u w:val="single"/>
        </w:rPr>
      </w:pPr>
      <w:r>
        <w:rPr>
          <w:rFonts w:hint="eastAsia" w:ascii="宋体" w:hAnsi="宋体" w:cs="宋体"/>
          <w:color w:val="auto"/>
          <w:sz w:val="24"/>
          <w:u w:val="single"/>
        </w:rPr>
        <w:t>3）结算发现清单定额与实际图纸不符的，按照图纸重新编制清单进行结算，单价乘以下浮系数（成交价/招标控制价）。</w:t>
      </w:r>
    </w:p>
    <w:p w14:paraId="0F17CD39">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u w:val="single"/>
        </w:rPr>
        <w:t>4）结算发现清单定额与实际施工不符的，按</w:t>
      </w:r>
      <w:r>
        <w:rPr>
          <w:rFonts w:hint="eastAsia" w:ascii="宋体" w:hAnsi="宋体" w:cs="宋体"/>
          <w:color w:val="auto"/>
          <w:sz w:val="24"/>
          <w:highlight w:val="none"/>
          <w:u w:val="single"/>
        </w:rPr>
        <w:t>照施工工序编制组价</w:t>
      </w:r>
      <w:r>
        <w:rPr>
          <w:rFonts w:hint="eastAsia" w:ascii="宋体" w:hAnsi="宋体" w:cs="宋体"/>
          <w:color w:val="auto"/>
          <w:sz w:val="24"/>
          <w:highlight w:val="none"/>
        </w:rPr>
        <w:t>，</w:t>
      </w:r>
      <w:r>
        <w:rPr>
          <w:rFonts w:hint="eastAsia" w:ascii="宋体" w:hAnsi="宋体" w:cs="宋体"/>
          <w:color w:val="auto"/>
          <w:sz w:val="24"/>
          <w:highlight w:val="none"/>
          <w:u w:val="single"/>
        </w:rPr>
        <w:t>与清单定额组价相比，按价格低的执行，单价乘以下浮系数（成交价/招标控制价）。</w:t>
      </w:r>
    </w:p>
    <w:p w14:paraId="2368C7A5">
      <w:pPr>
        <w:spacing w:line="440" w:lineRule="exact"/>
        <w:ind w:firstLine="480" w:firstLineChars="200"/>
        <w:rPr>
          <w:rFonts w:ascii="宋体" w:hAnsi="宋体" w:cs="宋体"/>
          <w:b/>
          <w:bCs/>
          <w:color w:val="auto"/>
          <w:sz w:val="24"/>
          <w:highlight w:val="none"/>
        </w:rPr>
      </w:pPr>
      <w:r>
        <w:rPr>
          <w:rFonts w:hint="eastAsia" w:ascii="宋体" w:hAnsi="宋体" w:cs="宋体"/>
          <w:color w:val="auto"/>
          <w:sz w:val="24"/>
          <w:highlight w:val="none"/>
          <w:u w:val="single"/>
        </w:rPr>
        <w:t>5）最终金额以发包人或发包人委托的第三方造价咨询公司或财政投资评审中心审核为准。</w:t>
      </w:r>
    </w:p>
    <w:p w14:paraId="33512F8B">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14.3最终结清</w:t>
      </w:r>
    </w:p>
    <w:p w14:paraId="007503F1">
      <w:pPr>
        <w:spacing w:line="440" w:lineRule="exact"/>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14.3.1 最终结清申请单</w:t>
      </w:r>
    </w:p>
    <w:p w14:paraId="201A78F5">
      <w:pPr>
        <w:spacing w:line="440" w:lineRule="exact"/>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承包人提交最终结清申请单的份数：</w:t>
      </w:r>
      <w:r>
        <w:rPr>
          <w:rFonts w:hint="eastAsia" w:ascii="宋体" w:hAnsi="宋体" w:cs="宋体"/>
          <w:color w:val="auto"/>
          <w:sz w:val="24"/>
          <w:highlight w:val="none"/>
          <w:u w:val="single"/>
        </w:rPr>
        <w:t>4份</w:t>
      </w:r>
      <w:r>
        <w:rPr>
          <w:rFonts w:hint="eastAsia" w:ascii="宋体" w:hAnsi="宋体" w:cs="宋体"/>
          <w:color w:val="auto"/>
          <w:sz w:val="24"/>
          <w:highlight w:val="none"/>
        </w:rPr>
        <w:t>。</w:t>
      </w:r>
    </w:p>
    <w:p w14:paraId="24CE2CA5">
      <w:pPr>
        <w:spacing w:line="440" w:lineRule="exact"/>
        <w:ind w:firstLine="480" w:firstLineChars="200"/>
        <w:jc w:val="left"/>
        <w:rPr>
          <w:rFonts w:ascii="宋体" w:hAnsi="宋体" w:cs="宋体"/>
          <w:color w:val="auto"/>
          <w:sz w:val="24"/>
          <w:highlight w:val="none"/>
        </w:rPr>
      </w:pPr>
      <w:r>
        <w:rPr>
          <w:rFonts w:hint="eastAsia" w:ascii="宋体" w:hAnsi="宋体" w:cs="宋体"/>
          <w:color w:val="auto"/>
          <w:kern w:val="0"/>
          <w:sz w:val="24"/>
          <w:highlight w:val="none"/>
        </w:rPr>
        <w:t>承包人提交最终结清申请单的期限：</w:t>
      </w:r>
      <w:r>
        <w:rPr>
          <w:rFonts w:hint="eastAsia" w:ascii="宋体" w:hAnsi="宋体" w:cs="宋体"/>
          <w:color w:val="auto"/>
          <w:sz w:val="24"/>
          <w:highlight w:val="none"/>
          <w:u w:val="single"/>
        </w:rPr>
        <w:t>执行通用条款</w:t>
      </w:r>
      <w:r>
        <w:rPr>
          <w:rFonts w:hint="eastAsia" w:ascii="宋体" w:hAnsi="宋体" w:cs="宋体"/>
          <w:color w:val="auto"/>
          <w:sz w:val="24"/>
          <w:highlight w:val="none"/>
        </w:rPr>
        <w:t>。</w:t>
      </w:r>
    </w:p>
    <w:p w14:paraId="4185C6BF">
      <w:pPr>
        <w:spacing w:line="44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14.3.2 最终结清证书和支付</w:t>
      </w:r>
    </w:p>
    <w:p w14:paraId="1AE77224">
      <w:pPr>
        <w:spacing w:line="44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（1）发包人完成最终结清申请单的审批并颁发最终结清证书的期限：</w:t>
      </w:r>
      <w:r>
        <w:rPr>
          <w:rFonts w:hint="eastAsia" w:ascii="宋体" w:hAnsi="宋体" w:cs="宋体"/>
          <w:color w:val="auto"/>
          <w:sz w:val="24"/>
          <w:highlight w:val="none"/>
          <w:u w:val="single"/>
        </w:rPr>
        <w:t>执行通用条款</w:t>
      </w:r>
      <w:r>
        <w:rPr>
          <w:rFonts w:hint="eastAsia" w:ascii="宋体" w:hAnsi="宋体" w:cs="宋体"/>
          <w:color w:val="auto"/>
          <w:sz w:val="24"/>
          <w:highlight w:val="none"/>
        </w:rPr>
        <w:t>。</w:t>
      </w:r>
    </w:p>
    <w:p w14:paraId="77C8394D">
      <w:pPr>
        <w:spacing w:line="44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（2）发包人完成支付的期限：</w:t>
      </w:r>
      <w:r>
        <w:rPr>
          <w:rFonts w:hint="eastAsia" w:ascii="宋体" w:hAnsi="宋体" w:cs="宋体"/>
          <w:color w:val="auto"/>
          <w:sz w:val="24"/>
          <w:highlight w:val="none"/>
          <w:u w:val="single"/>
        </w:rPr>
        <w:t>/</w:t>
      </w:r>
      <w:r>
        <w:rPr>
          <w:rFonts w:hint="eastAsia" w:ascii="宋体" w:hAnsi="宋体" w:cs="宋体"/>
          <w:color w:val="auto"/>
          <w:sz w:val="24"/>
          <w:highlight w:val="none"/>
        </w:rPr>
        <w:t>。</w:t>
      </w:r>
    </w:p>
    <w:p w14:paraId="0BA27484">
      <w:pPr>
        <w:spacing w:line="440" w:lineRule="exact"/>
        <w:ind w:firstLine="482" w:firstLineChars="200"/>
        <w:rPr>
          <w:rFonts w:ascii="宋体" w:hAnsi="宋体" w:cs="宋体"/>
          <w:b/>
          <w:bCs/>
          <w:color w:val="auto"/>
          <w:sz w:val="24"/>
        </w:rPr>
      </w:pPr>
      <w:bookmarkStart w:id="181" w:name="_Toc17089"/>
      <w:bookmarkStart w:id="182" w:name="_Toc13510"/>
      <w:bookmarkStart w:id="183" w:name="_Toc4549"/>
      <w:bookmarkStart w:id="184" w:name="_Toc351203647"/>
      <w:bookmarkStart w:id="185" w:name="_Toc4970"/>
      <w:bookmarkStart w:id="186" w:name="_Toc448911942"/>
      <w:bookmarkStart w:id="187" w:name="_Toc30494"/>
      <w:bookmarkStart w:id="188" w:name="_Toc12823"/>
      <w:bookmarkStart w:id="189" w:name="_Toc21452"/>
      <w:bookmarkStart w:id="190" w:name="_Toc5291"/>
      <w:bookmarkStart w:id="191" w:name="_Toc5982"/>
      <w:bookmarkStart w:id="192" w:name="_Toc681"/>
      <w:r>
        <w:rPr>
          <w:rFonts w:hint="eastAsia" w:ascii="宋体" w:hAnsi="宋体" w:cs="宋体"/>
          <w:b/>
          <w:bCs/>
          <w:color w:val="auto"/>
          <w:sz w:val="24"/>
        </w:rPr>
        <w:t>15.缺陷责任期与保修</w:t>
      </w:r>
      <w:bookmarkEnd w:id="181"/>
      <w:bookmarkEnd w:id="182"/>
      <w:bookmarkEnd w:id="183"/>
      <w:bookmarkEnd w:id="184"/>
      <w:bookmarkEnd w:id="185"/>
      <w:bookmarkEnd w:id="186"/>
      <w:bookmarkEnd w:id="187"/>
      <w:bookmarkEnd w:id="188"/>
      <w:bookmarkEnd w:id="189"/>
      <w:bookmarkEnd w:id="190"/>
      <w:bookmarkEnd w:id="191"/>
      <w:bookmarkEnd w:id="192"/>
    </w:p>
    <w:p w14:paraId="6B96AC6C">
      <w:pPr>
        <w:spacing w:line="440" w:lineRule="exact"/>
        <w:ind w:firstLine="480" w:firstLineChars="200"/>
        <w:rPr>
          <w:rFonts w:ascii="宋体" w:hAnsi="宋体" w:cs="宋体"/>
          <w:color w:val="auto"/>
          <w:sz w:val="24"/>
        </w:rPr>
      </w:pPr>
      <w:bookmarkStart w:id="193" w:name="_Toc448911943"/>
      <w:bookmarkStart w:id="194" w:name="_Toc25826"/>
      <w:r>
        <w:rPr>
          <w:rFonts w:hint="eastAsia" w:ascii="宋体" w:hAnsi="宋体" w:cs="宋体"/>
          <w:color w:val="auto"/>
          <w:sz w:val="24"/>
        </w:rPr>
        <w:t>15.</w:t>
      </w:r>
      <w:r>
        <w:rPr>
          <w:rFonts w:ascii="宋体" w:hAnsi="宋体" w:cs="宋体"/>
          <w:color w:val="auto"/>
          <w:sz w:val="24"/>
        </w:rPr>
        <w:t>1</w:t>
      </w:r>
      <w:r>
        <w:rPr>
          <w:rFonts w:hint="eastAsia" w:ascii="宋体" w:hAnsi="宋体" w:cs="宋体"/>
          <w:color w:val="auto"/>
          <w:sz w:val="24"/>
        </w:rPr>
        <w:t>缺陷责任期</w:t>
      </w:r>
      <w:bookmarkEnd w:id="193"/>
      <w:bookmarkEnd w:id="194"/>
    </w:p>
    <w:p w14:paraId="0584E563">
      <w:pPr>
        <w:spacing w:line="440" w:lineRule="exact"/>
        <w:ind w:firstLine="480" w:firstLineChars="200"/>
        <w:rPr>
          <w:rFonts w:ascii="宋体" w:hAnsi="宋体" w:cs="宋体"/>
          <w:color w:val="auto"/>
          <w:sz w:val="24"/>
        </w:rPr>
      </w:pPr>
      <w:r>
        <w:rPr>
          <w:rFonts w:hint="eastAsia" w:ascii="宋体" w:hAnsi="宋体" w:cs="宋体"/>
          <w:color w:val="auto"/>
          <w:sz w:val="24"/>
        </w:rPr>
        <w:t>缺陷责任期的具体期限：</w:t>
      </w:r>
      <w:r>
        <w:rPr>
          <w:rFonts w:hint="eastAsia" w:ascii="宋体" w:hAnsi="宋体" w:cs="宋体"/>
          <w:color w:val="auto"/>
          <w:sz w:val="24"/>
          <w:u w:val="single"/>
        </w:rPr>
        <w:t>自实际竣工验收合格日期起24个月</w:t>
      </w:r>
      <w:r>
        <w:rPr>
          <w:rFonts w:hint="eastAsia" w:ascii="宋体" w:hAnsi="宋体" w:cs="宋体"/>
          <w:color w:val="auto"/>
          <w:sz w:val="24"/>
        </w:rPr>
        <w:t>。</w:t>
      </w:r>
    </w:p>
    <w:p w14:paraId="783A791F">
      <w:pPr>
        <w:spacing w:line="440" w:lineRule="exact"/>
        <w:ind w:firstLine="480" w:firstLineChars="200"/>
        <w:rPr>
          <w:rFonts w:ascii="宋体" w:hAnsi="宋体" w:cs="宋体"/>
          <w:color w:val="auto"/>
          <w:sz w:val="24"/>
        </w:rPr>
      </w:pPr>
      <w:bookmarkStart w:id="195" w:name="_Toc448911944"/>
      <w:bookmarkStart w:id="196" w:name="_Toc20837"/>
      <w:r>
        <w:rPr>
          <w:rFonts w:hint="eastAsia" w:ascii="宋体" w:hAnsi="宋体" w:cs="宋体"/>
          <w:color w:val="auto"/>
          <w:sz w:val="24"/>
        </w:rPr>
        <w:t>15.</w:t>
      </w:r>
      <w:r>
        <w:rPr>
          <w:rFonts w:ascii="宋体" w:hAnsi="宋体" w:cs="宋体"/>
          <w:color w:val="auto"/>
          <w:sz w:val="24"/>
        </w:rPr>
        <w:t>2</w:t>
      </w:r>
      <w:r>
        <w:rPr>
          <w:rFonts w:hint="eastAsia" w:ascii="宋体" w:hAnsi="宋体" w:cs="宋体"/>
          <w:color w:val="auto"/>
          <w:sz w:val="24"/>
        </w:rPr>
        <w:t xml:space="preserve"> 质量保证金</w:t>
      </w:r>
      <w:bookmarkEnd w:id="195"/>
      <w:bookmarkEnd w:id="196"/>
    </w:p>
    <w:p w14:paraId="374AA916">
      <w:pPr>
        <w:spacing w:line="440" w:lineRule="exact"/>
        <w:ind w:firstLine="480" w:firstLineChars="200"/>
        <w:rPr>
          <w:rFonts w:ascii="宋体" w:hAnsi="宋体" w:cs="宋体"/>
          <w:color w:val="auto"/>
          <w:sz w:val="24"/>
        </w:rPr>
      </w:pPr>
      <w:r>
        <w:rPr>
          <w:rFonts w:hint="eastAsia" w:ascii="宋体" w:hAnsi="宋体" w:cs="宋体"/>
          <w:color w:val="auto"/>
          <w:sz w:val="24"/>
        </w:rPr>
        <w:t>关于是否扣留质量保证金的约定：</w:t>
      </w:r>
      <w:r>
        <w:rPr>
          <w:rFonts w:hint="eastAsia" w:ascii="宋体" w:hAnsi="宋体" w:cs="宋体"/>
          <w:color w:val="auto"/>
          <w:sz w:val="24"/>
          <w:u w:val="single"/>
        </w:rPr>
        <w:t>是</w:t>
      </w:r>
      <w:r>
        <w:rPr>
          <w:rFonts w:hint="eastAsia" w:ascii="宋体" w:hAnsi="宋体" w:cs="宋体"/>
          <w:color w:val="auto"/>
          <w:sz w:val="24"/>
        </w:rPr>
        <w:t>。</w:t>
      </w:r>
    </w:p>
    <w:p w14:paraId="78D2A153">
      <w:pPr>
        <w:spacing w:line="440" w:lineRule="exact"/>
        <w:ind w:firstLine="480" w:firstLineChars="200"/>
        <w:rPr>
          <w:rFonts w:ascii="宋体" w:hAnsi="宋体" w:cs="宋体"/>
          <w:color w:val="auto"/>
          <w:sz w:val="24"/>
        </w:rPr>
      </w:pPr>
      <w:r>
        <w:rPr>
          <w:rFonts w:hint="eastAsia" w:ascii="宋体" w:hAnsi="宋体" w:cs="宋体"/>
          <w:color w:val="auto"/>
          <w:sz w:val="24"/>
        </w:rPr>
        <w:t>15.</w:t>
      </w:r>
      <w:r>
        <w:rPr>
          <w:rFonts w:ascii="宋体" w:hAnsi="宋体" w:cs="宋体"/>
          <w:color w:val="auto"/>
          <w:sz w:val="24"/>
        </w:rPr>
        <w:t>2</w:t>
      </w:r>
      <w:r>
        <w:rPr>
          <w:rFonts w:hint="eastAsia" w:ascii="宋体" w:hAnsi="宋体" w:cs="宋体"/>
          <w:color w:val="auto"/>
          <w:sz w:val="24"/>
        </w:rPr>
        <w:t>.1 承包人提供质量保证金的方式</w:t>
      </w:r>
    </w:p>
    <w:p w14:paraId="29FC82F5">
      <w:pPr>
        <w:spacing w:line="440" w:lineRule="exact"/>
        <w:ind w:firstLine="480" w:firstLineChars="200"/>
        <w:rPr>
          <w:rFonts w:ascii="宋体" w:hAnsi="宋体" w:cs="宋体"/>
          <w:color w:val="auto"/>
          <w:sz w:val="24"/>
        </w:rPr>
      </w:pPr>
      <w:r>
        <w:rPr>
          <w:rFonts w:hint="eastAsia" w:ascii="宋体" w:hAnsi="宋体" w:cs="宋体"/>
          <w:color w:val="auto"/>
          <w:sz w:val="24"/>
        </w:rPr>
        <w:t>质量保证金采用以下第</w:t>
      </w:r>
      <w:r>
        <w:rPr>
          <w:rFonts w:hint="eastAsia" w:ascii="宋体" w:hAnsi="宋体" w:cs="宋体"/>
          <w:color w:val="auto"/>
          <w:sz w:val="24"/>
          <w:u w:val="single"/>
        </w:rPr>
        <w:t xml:space="preserve">  （3） </w:t>
      </w:r>
      <w:r>
        <w:rPr>
          <w:rFonts w:hint="eastAsia" w:ascii="宋体" w:hAnsi="宋体" w:cs="宋体"/>
          <w:color w:val="auto"/>
          <w:sz w:val="24"/>
        </w:rPr>
        <w:t>种方式：</w:t>
      </w:r>
    </w:p>
    <w:p w14:paraId="3B46B972">
      <w:pPr>
        <w:spacing w:line="440" w:lineRule="exact"/>
        <w:ind w:firstLine="480" w:firstLineChars="200"/>
        <w:rPr>
          <w:rFonts w:ascii="宋体" w:hAnsi="宋体" w:cs="宋体"/>
          <w:color w:val="auto"/>
          <w:sz w:val="24"/>
        </w:rPr>
      </w:pPr>
      <w:r>
        <w:rPr>
          <w:rFonts w:hint="eastAsia" w:ascii="宋体" w:hAnsi="宋体" w:cs="宋体"/>
          <w:color w:val="auto"/>
          <w:sz w:val="24"/>
        </w:rPr>
        <w:t>（1）质量保证金保函，保证金额为：</w:t>
      </w:r>
      <w:r>
        <w:rPr>
          <w:rFonts w:hint="eastAsia" w:ascii="宋体" w:hAnsi="宋体" w:cs="宋体"/>
          <w:color w:val="auto"/>
          <w:sz w:val="24"/>
          <w:u w:val="single"/>
        </w:rPr>
        <w:t xml:space="preserve">   /   </w:t>
      </w:r>
      <w:r>
        <w:rPr>
          <w:rFonts w:hint="eastAsia" w:ascii="宋体" w:hAnsi="宋体" w:cs="宋体"/>
          <w:color w:val="auto"/>
          <w:sz w:val="24"/>
        </w:rPr>
        <w:t>；</w:t>
      </w:r>
    </w:p>
    <w:p w14:paraId="73957A57">
      <w:pPr>
        <w:spacing w:line="440" w:lineRule="exact"/>
        <w:ind w:firstLine="480" w:firstLineChars="200"/>
        <w:rPr>
          <w:rFonts w:ascii="宋体" w:hAnsi="宋体" w:cs="宋体"/>
          <w:color w:val="auto"/>
          <w:sz w:val="24"/>
        </w:rPr>
      </w:pPr>
      <w:r>
        <w:rPr>
          <w:rFonts w:hint="eastAsia" w:ascii="宋体" w:hAnsi="宋体" w:cs="宋体"/>
          <w:color w:val="auto"/>
          <w:sz w:val="24"/>
        </w:rPr>
        <w:t xml:space="preserve">（2） </w:t>
      </w:r>
      <w:r>
        <w:rPr>
          <w:rFonts w:hint="eastAsia" w:ascii="宋体" w:hAnsi="宋体" w:cs="宋体"/>
          <w:color w:val="auto"/>
          <w:sz w:val="24"/>
          <w:u w:val="single"/>
        </w:rPr>
        <w:t xml:space="preserve">/ </w:t>
      </w:r>
      <w:r>
        <w:rPr>
          <w:rFonts w:hint="eastAsia" w:ascii="宋体" w:hAnsi="宋体" w:cs="宋体"/>
          <w:color w:val="auto"/>
          <w:sz w:val="24"/>
        </w:rPr>
        <w:t>%的工程款；</w:t>
      </w:r>
    </w:p>
    <w:p w14:paraId="1D260BFD">
      <w:pPr>
        <w:spacing w:line="440" w:lineRule="exact"/>
        <w:ind w:firstLine="480" w:firstLineChars="200"/>
        <w:rPr>
          <w:rFonts w:ascii="宋体" w:hAnsi="宋体" w:cs="宋体"/>
          <w:color w:val="auto"/>
          <w:sz w:val="24"/>
        </w:rPr>
      </w:pPr>
      <w:r>
        <w:rPr>
          <w:rFonts w:hint="eastAsia" w:ascii="宋体" w:hAnsi="宋体" w:cs="宋体"/>
          <w:color w:val="auto"/>
          <w:sz w:val="24"/>
        </w:rPr>
        <w:t>（3）其他方</w:t>
      </w:r>
      <w:r>
        <w:rPr>
          <w:rFonts w:hint="eastAsia" w:ascii="宋体" w:hAnsi="宋体" w:cs="宋体"/>
          <w:color w:val="auto"/>
          <w:sz w:val="24"/>
          <w:highlight w:val="none"/>
        </w:rPr>
        <w:t>式：工程结算审定后10日历天内，承包人须以银行转账方</w:t>
      </w:r>
      <w:r>
        <w:rPr>
          <w:rFonts w:hint="eastAsia" w:ascii="宋体" w:hAnsi="宋体" w:cs="宋体"/>
          <w:color w:val="auto"/>
          <w:sz w:val="24"/>
        </w:rPr>
        <w:t>式向发包人缴纳结算总价的3%作为质量保证金，待缺陷责任期满后7个工作日内一次性无息退还保证金给承包人。</w:t>
      </w:r>
    </w:p>
    <w:p w14:paraId="56DBD4CB">
      <w:pPr>
        <w:spacing w:line="440" w:lineRule="exact"/>
        <w:ind w:firstLine="480" w:firstLineChars="200"/>
        <w:rPr>
          <w:rFonts w:ascii="宋体" w:hAnsi="宋体" w:cs="宋体"/>
          <w:color w:val="auto"/>
          <w:sz w:val="24"/>
        </w:rPr>
      </w:pPr>
      <w:r>
        <w:rPr>
          <w:rFonts w:hint="eastAsia" w:ascii="宋体" w:hAnsi="宋体" w:cs="宋体"/>
          <w:color w:val="auto"/>
          <w:sz w:val="24"/>
        </w:rPr>
        <w:t>15.</w:t>
      </w:r>
      <w:r>
        <w:rPr>
          <w:rFonts w:ascii="宋体" w:hAnsi="宋体" w:cs="宋体"/>
          <w:color w:val="auto"/>
          <w:sz w:val="24"/>
        </w:rPr>
        <w:t>2</w:t>
      </w:r>
      <w:r>
        <w:rPr>
          <w:rFonts w:hint="eastAsia" w:ascii="宋体" w:hAnsi="宋体" w:cs="宋体"/>
          <w:color w:val="auto"/>
          <w:sz w:val="24"/>
        </w:rPr>
        <w:t>.2 质量保证金的扣留</w:t>
      </w:r>
    </w:p>
    <w:p w14:paraId="22171D03">
      <w:pPr>
        <w:spacing w:line="440" w:lineRule="exact"/>
        <w:ind w:firstLine="480" w:firstLineChars="200"/>
        <w:rPr>
          <w:rFonts w:ascii="宋体" w:hAnsi="宋体" w:cs="宋体"/>
          <w:color w:val="auto"/>
          <w:sz w:val="24"/>
        </w:rPr>
      </w:pPr>
      <w:r>
        <w:rPr>
          <w:rFonts w:hint="eastAsia" w:ascii="宋体" w:hAnsi="宋体" w:cs="宋体"/>
          <w:color w:val="auto"/>
          <w:sz w:val="24"/>
        </w:rPr>
        <w:t>质量保证金的扣留采取以下第2种方式：</w:t>
      </w:r>
    </w:p>
    <w:p w14:paraId="581BFD4C">
      <w:pPr>
        <w:spacing w:line="440" w:lineRule="exact"/>
        <w:ind w:firstLine="480" w:firstLineChars="200"/>
        <w:rPr>
          <w:rFonts w:ascii="宋体" w:hAnsi="宋体" w:cs="宋体"/>
          <w:color w:val="auto"/>
          <w:sz w:val="24"/>
        </w:rPr>
      </w:pPr>
      <w:r>
        <w:rPr>
          <w:rFonts w:hint="eastAsia" w:ascii="宋体" w:hAnsi="宋体" w:cs="宋体"/>
          <w:color w:val="auto"/>
          <w:sz w:val="24"/>
        </w:rPr>
        <w:t>（1）在支付工程进度款时逐次扣留，在此情形下，质量保证金的计算基数不包括预付款的支付、扣回以及价格调整的金额；</w:t>
      </w:r>
    </w:p>
    <w:p w14:paraId="7228EFA7">
      <w:pPr>
        <w:spacing w:line="440" w:lineRule="exact"/>
        <w:ind w:firstLine="480" w:firstLineChars="200"/>
        <w:rPr>
          <w:rFonts w:ascii="宋体" w:hAnsi="宋体" w:cs="宋体"/>
          <w:color w:val="auto"/>
          <w:sz w:val="24"/>
        </w:rPr>
      </w:pPr>
      <w:r>
        <w:rPr>
          <w:rFonts w:hint="eastAsia" w:ascii="宋体" w:hAnsi="宋体" w:cs="宋体"/>
          <w:color w:val="auto"/>
          <w:sz w:val="24"/>
        </w:rPr>
        <w:t>（2）工程结算审定后，</w:t>
      </w:r>
      <w:r>
        <w:rPr>
          <w:rFonts w:hint="eastAsia" w:ascii="宋体" w:hAnsi="宋体" w:cs="宋体"/>
          <w:color w:val="auto"/>
          <w:sz w:val="24"/>
          <w:u w:val="single"/>
        </w:rPr>
        <w:t>承包人以银行转账方式向发包人缴纳</w:t>
      </w:r>
      <w:r>
        <w:rPr>
          <w:rFonts w:hint="eastAsia" w:ascii="宋体" w:hAnsi="宋体" w:cs="宋体"/>
          <w:color w:val="auto"/>
          <w:sz w:val="24"/>
        </w:rPr>
        <w:t>工程结算审定价的3%作为质量保证金；</w:t>
      </w:r>
    </w:p>
    <w:p w14:paraId="6730F188">
      <w:pPr>
        <w:spacing w:line="440" w:lineRule="exact"/>
        <w:ind w:firstLine="480" w:firstLineChars="200"/>
        <w:rPr>
          <w:rFonts w:ascii="宋体" w:hAnsi="宋体" w:cs="宋体"/>
          <w:color w:val="auto"/>
          <w:sz w:val="24"/>
        </w:rPr>
      </w:pPr>
      <w:r>
        <w:rPr>
          <w:rFonts w:hint="eastAsia" w:ascii="宋体" w:hAnsi="宋体" w:cs="宋体"/>
          <w:color w:val="auto"/>
          <w:sz w:val="24"/>
        </w:rPr>
        <w:t>（3）其他扣留方式：</w:t>
      </w:r>
      <w:r>
        <w:rPr>
          <w:rFonts w:hint="eastAsia" w:ascii="宋体" w:hAnsi="宋体" w:cs="宋体"/>
          <w:color w:val="auto"/>
          <w:sz w:val="24"/>
          <w:u w:val="single"/>
        </w:rPr>
        <w:t xml:space="preserve">          /            。</w:t>
      </w:r>
    </w:p>
    <w:p w14:paraId="4314AA5F">
      <w:pPr>
        <w:spacing w:line="440" w:lineRule="exact"/>
        <w:ind w:firstLine="480" w:firstLineChars="200"/>
        <w:rPr>
          <w:rFonts w:ascii="宋体" w:hAnsi="宋体" w:cs="宋体"/>
          <w:color w:val="auto"/>
          <w:sz w:val="24"/>
        </w:rPr>
      </w:pPr>
      <w:r>
        <w:rPr>
          <w:rFonts w:hint="eastAsia" w:ascii="宋体" w:hAnsi="宋体" w:cs="宋体"/>
          <w:color w:val="auto"/>
          <w:sz w:val="24"/>
        </w:rPr>
        <w:t>关于质量保证金的补充约定：</w:t>
      </w:r>
      <w:r>
        <w:rPr>
          <w:rFonts w:hint="eastAsia" w:ascii="宋体" w:hAnsi="宋体" w:cs="宋体"/>
          <w:color w:val="auto"/>
          <w:sz w:val="24"/>
          <w:u w:val="single"/>
        </w:rPr>
        <w:t>/</w:t>
      </w:r>
      <w:r>
        <w:rPr>
          <w:rFonts w:hint="eastAsia" w:ascii="宋体" w:hAnsi="宋体" w:cs="宋体"/>
          <w:color w:val="auto"/>
          <w:sz w:val="24"/>
        </w:rPr>
        <w:t>。</w:t>
      </w:r>
    </w:p>
    <w:p w14:paraId="09827CAF">
      <w:pPr>
        <w:spacing w:line="440" w:lineRule="exact"/>
        <w:ind w:firstLine="480" w:firstLineChars="200"/>
        <w:rPr>
          <w:rFonts w:ascii="宋体" w:hAnsi="宋体" w:cs="宋体"/>
          <w:color w:val="auto"/>
          <w:sz w:val="24"/>
        </w:rPr>
      </w:pPr>
      <w:bookmarkStart w:id="197" w:name="_Toc7062"/>
      <w:bookmarkStart w:id="198" w:name="_Toc448911945"/>
      <w:r>
        <w:rPr>
          <w:rFonts w:hint="eastAsia" w:ascii="宋体" w:hAnsi="宋体" w:cs="宋体"/>
          <w:color w:val="auto"/>
          <w:sz w:val="24"/>
        </w:rPr>
        <w:t>15.</w:t>
      </w:r>
      <w:r>
        <w:rPr>
          <w:rFonts w:ascii="宋体" w:hAnsi="宋体" w:cs="宋体"/>
          <w:color w:val="auto"/>
          <w:sz w:val="24"/>
        </w:rPr>
        <w:t>3</w:t>
      </w:r>
      <w:r>
        <w:rPr>
          <w:rFonts w:hint="eastAsia" w:ascii="宋体" w:hAnsi="宋体" w:cs="宋体"/>
          <w:color w:val="auto"/>
          <w:sz w:val="24"/>
        </w:rPr>
        <w:t>保修</w:t>
      </w:r>
      <w:bookmarkEnd w:id="197"/>
      <w:bookmarkEnd w:id="198"/>
    </w:p>
    <w:p w14:paraId="03606282">
      <w:pPr>
        <w:spacing w:line="440" w:lineRule="exact"/>
        <w:ind w:firstLine="480" w:firstLineChars="200"/>
        <w:rPr>
          <w:rFonts w:ascii="宋体" w:hAnsi="宋体" w:cs="宋体"/>
          <w:color w:val="auto"/>
          <w:sz w:val="24"/>
        </w:rPr>
      </w:pPr>
      <w:r>
        <w:rPr>
          <w:rFonts w:hint="eastAsia" w:ascii="宋体" w:hAnsi="宋体" w:cs="宋体"/>
          <w:color w:val="auto"/>
          <w:sz w:val="24"/>
        </w:rPr>
        <w:t>15.</w:t>
      </w:r>
      <w:r>
        <w:rPr>
          <w:rFonts w:ascii="宋体" w:hAnsi="宋体" w:cs="宋体"/>
          <w:color w:val="auto"/>
          <w:sz w:val="24"/>
        </w:rPr>
        <w:t>3</w:t>
      </w:r>
      <w:r>
        <w:rPr>
          <w:rFonts w:hint="eastAsia" w:ascii="宋体" w:hAnsi="宋体" w:cs="宋体"/>
          <w:color w:val="auto"/>
          <w:sz w:val="24"/>
        </w:rPr>
        <w:t>.1 保修责任</w:t>
      </w:r>
    </w:p>
    <w:p w14:paraId="28D3631A">
      <w:pPr>
        <w:spacing w:line="440" w:lineRule="exact"/>
        <w:ind w:firstLine="480" w:firstLineChars="200"/>
        <w:rPr>
          <w:rFonts w:ascii="宋体" w:hAnsi="宋体" w:cs="宋体"/>
          <w:color w:val="auto"/>
          <w:sz w:val="24"/>
        </w:rPr>
      </w:pPr>
      <w:r>
        <w:rPr>
          <w:rFonts w:hint="eastAsia" w:ascii="宋体" w:hAnsi="宋体" w:cs="宋体"/>
          <w:color w:val="auto"/>
          <w:sz w:val="24"/>
        </w:rPr>
        <w:t>工程保修期为：</w:t>
      </w:r>
      <w:r>
        <w:rPr>
          <w:rFonts w:hint="eastAsia" w:ascii="宋体" w:hAnsi="宋体" w:cs="宋体"/>
          <w:color w:val="auto"/>
          <w:sz w:val="24"/>
          <w:u w:val="single"/>
        </w:rPr>
        <w:t>见本附件工程质量保修书</w:t>
      </w:r>
      <w:r>
        <w:rPr>
          <w:rFonts w:hint="eastAsia" w:ascii="宋体" w:hAnsi="宋体" w:cs="宋体"/>
          <w:color w:val="auto"/>
          <w:sz w:val="24"/>
        </w:rPr>
        <w:t>。</w:t>
      </w:r>
    </w:p>
    <w:p w14:paraId="75E1C102">
      <w:pPr>
        <w:spacing w:line="440" w:lineRule="exact"/>
        <w:ind w:firstLine="480" w:firstLineChars="200"/>
        <w:rPr>
          <w:rFonts w:ascii="宋体" w:hAnsi="宋体" w:cs="宋体"/>
          <w:color w:val="auto"/>
          <w:sz w:val="24"/>
        </w:rPr>
      </w:pPr>
      <w:r>
        <w:rPr>
          <w:rFonts w:hint="eastAsia" w:ascii="宋体" w:hAnsi="宋体" w:cs="宋体"/>
          <w:color w:val="auto"/>
          <w:sz w:val="24"/>
        </w:rPr>
        <w:t>15.</w:t>
      </w:r>
      <w:r>
        <w:rPr>
          <w:rFonts w:ascii="宋体" w:hAnsi="宋体" w:cs="宋体"/>
          <w:color w:val="auto"/>
          <w:sz w:val="24"/>
        </w:rPr>
        <w:t>3</w:t>
      </w:r>
      <w:r>
        <w:rPr>
          <w:rFonts w:hint="eastAsia" w:ascii="宋体" w:hAnsi="宋体" w:cs="宋体"/>
          <w:color w:val="auto"/>
          <w:sz w:val="24"/>
        </w:rPr>
        <w:t>.</w:t>
      </w:r>
      <w:r>
        <w:rPr>
          <w:rFonts w:ascii="宋体" w:hAnsi="宋体" w:cs="宋体"/>
          <w:color w:val="auto"/>
          <w:sz w:val="24"/>
        </w:rPr>
        <w:t>2</w:t>
      </w:r>
      <w:r>
        <w:rPr>
          <w:rFonts w:hint="eastAsia" w:ascii="宋体" w:hAnsi="宋体" w:cs="宋体"/>
          <w:color w:val="auto"/>
          <w:sz w:val="24"/>
        </w:rPr>
        <w:t xml:space="preserve"> 修复通知</w:t>
      </w:r>
    </w:p>
    <w:p w14:paraId="4CC20152">
      <w:pPr>
        <w:spacing w:line="440" w:lineRule="exact"/>
        <w:ind w:firstLine="480" w:firstLineChars="200"/>
        <w:rPr>
          <w:rFonts w:ascii="宋体" w:hAnsi="宋体" w:cs="宋体"/>
          <w:color w:val="auto"/>
          <w:sz w:val="24"/>
        </w:rPr>
      </w:pPr>
      <w:bookmarkStart w:id="199" w:name="auto_fouce_36"/>
      <w:r>
        <w:rPr>
          <w:rFonts w:hint="eastAsia" w:ascii="宋体" w:hAnsi="宋体" w:cs="宋体"/>
          <w:color w:val="auto"/>
          <w:sz w:val="24"/>
        </w:rPr>
        <w:t>承包人收到保修通知后，应当在24小时内到达工程现场处理保修事项；发生紧急抢修事故的</w:t>
      </w:r>
      <w:r>
        <w:rPr>
          <w:rFonts w:hint="eastAsia" w:ascii="宋体" w:hAnsi="宋体" w:cs="宋体"/>
          <w:color w:val="auto"/>
          <w:sz w:val="24"/>
          <w:u w:val="single"/>
        </w:rPr>
        <w:t>，承包人应当在接到通知后4小时内到达现场抢修</w:t>
      </w:r>
      <w:r>
        <w:rPr>
          <w:rFonts w:hint="eastAsia" w:ascii="宋体" w:hAnsi="宋体" w:cs="宋体"/>
          <w:color w:val="auto"/>
          <w:sz w:val="24"/>
        </w:rPr>
        <w:t>。</w:t>
      </w:r>
      <w:bookmarkEnd w:id="199"/>
    </w:p>
    <w:p w14:paraId="306601BA">
      <w:pPr>
        <w:spacing w:line="440" w:lineRule="exact"/>
        <w:ind w:firstLine="482" w:firstLineChars="200"/>
        <w:rPr>
          <w:rFonts w:ascii="宋体" w:hAnsi="宋体" w:cs="宋体"/>
          <w:b/>
          <w:bCs/>
          <w:color w:val="auto"/>
          <w:sz w:val="24"/>
        </w:rPr>
      </w:pPr>
      <w:bookmarkStart w:id="200" w:name="_Toc4218"/>
      <w:bookmarkStart w:id="201" w:name="_Toc5647"/>
      <w:bookmarkStart w:id="202" w:name="_Toc16507"/>
      <w:bookmarkStart w:id="203" w:name="_Toc448911946"/>
      <w:bookmarkStart w:id="204" w:name="_Toc28588"/>
      <w:bookmarkStart w:id="205" w:name="_Toc24681"/>
      <w:bookmarkStart w:id="206" w:name="_Toc8923"/>
      <w:bookmarkStart w:id="207" w:name="_Toc351203648"/>
      <w:bookmarkStart w:id="208" w:name="_Toc24491"/>
      <w:bookmarkStart w:id="209" w:name="_Toc27806"/>
      <w:bookmarkStart w:id="210" w:name="_Toc13445"/>
      <w:bookmarkStart w:id="211" w:name="_Toc20105"/>
      <w:r>
        <w:rPr>
          <w:rFonts w:hint="eastAsia" w:ascii="宋体" w:hAnsi="宋体" w:cs="宋体"/>
          <w:b/>
          <w:bCs/>
          <w:color w:val="auto"/>
          <w:sz w:val="24"/>
        </w:rPr>
        <w:t>16.违约</w:t>
      </w:r>
      <w:bookmarkEnd w:id="200"/>
      <w:bookmarkEnd w:id="201"/>
      <w:bookmarkEnd w:id="202"/>
      <w:bookmarkEnd w:id="203"/>
      <w:bookmarkEnd w:id="204"/>
      <w:bookmarkEnd w:id="205"/>
      <w:bookmarkEnd w:id="206"/>
      <w:bookmarkEnd w:id="207"/>
      <w:bookmarkEnd w:id="208"/>
      <w:bookmarkEnd w:id="209"/>
      <w:bookmarkEnd w:id="210"/>
      <w:bookmarkEnd w:id="211"/>
    </w:p>
    <w:p w14:paraId="0F1260A6">
      <w:pPr>
        <w:spacing w:line="440" w:lineRule="exact"/>
        <w:ind w:firstLine="480" w:firstLineChars="200"/>
        <w:rPr>
          <w:rFonts w:ascii="宋体" w:hAnsi="宋体" w:cs="宋体"/>
          <w:color w:val="auto"/>
          <w:sz w:val="24"/>
        </w:rPr>
      </w:pPr>
      <w:bookmarkStart w:id="212" w:name="_Toc448911947"/>
      <w:bookmarkStart w:id="213" w:name="_Toc20258"/>
      <w:r>
        <w:rPr>
          <w:rFonts w:hint="eastAsia" w:ascii="宋体" w:hAnsi="宋体" w:cs="宋体"/>
          <w:color w:val="auto"/>
          <w:sz w:val="24"/>
        </w:rPr>
        <w:t>16.1 发包人违约</w:t>
      </w:r>
      <w:bookmarkEnd w:id="212"/>
      <w:bookmarkEnd w:id="213"/>
    </w:p>
    <w:p w14:paraId="180E044D">
      <w:pPr>
        <w:spacing w:line="440" w:lineRule="exact"/>
        <w:ind w:firstLine="480" w:firstLineChars="200"/>
        <w:rPr>
          <w:rFonts w:ascii="宋体" w:hAnsi="宋体" w:cs="宋体"/>
          <w:color w:val="auto"/>
          <w:sz w:val="24"/>
        </w:rPr>
      </w:pPr>
      <w:r>
        <w:rPr>
          <w:rFonts w:hint="eastAsia" w:ascii="宋体" w:hAnsi="宋体" w:cs="宋体"/>
          <w:color w:val="auto"/>
          <w:sz w:val="24"/>
        </w:rPr>
        <w:t>16.1.1发包人违约的情形</w:t>
      </w:r>
    </w:p>
    <w:p w14:paraId="2CA05B89">
      <w:pPr>
        <w:spacing w:line="440" w:lineRule="exact"/>
        <w:ind w:firstLine="480" w:firstLineChars="200"/>
        <w:rPr>
          <w:rFonts w:ascii="宋体" w:hAnsi="宋体" w:cs="宋体"/>
          <w:color w:val="auto"/>
          <w:sz w:val="24"/>
        </w:rPr>
      </w:pPr>
      <w:r>
        <w:rPr>
          <w:rFonts w:hint="eastAsia" w:ascii="宋体" w:hAnsi="宋体" w:cs="宋体"/>
          <w:color w:val="auto"/>
          <w:sz w:val="24"/>
        </w:rPr>
        <w:t>发包人违约的其他情形：</w:t>
      </w:r>
      <w:r>
        <w:rPr>
          <w:rFonts w:hint="eastAsia" w:ascii="宋体" w:hAnsi="宋体" w:cs="宋体"/>
          <w:color w:val="auto"/>
          <w:sz w:val="24"/>
          <w:u w:val="single"/>
        </w:rPr>
        <w:t xml:space="preserve">   无  </w:t>
      </w:r>
      <w:r>
        <w:rPr>
          <w:rFonts w:hint="eastAsia" w:ascii="宋体" w:hAnsi="宋体" w:cs="宋体"/>
          <w:color w:val="auto"/>
          <w:sz w:val="24"/>
        </w:rPr>
        <w:t>。</w:t>
      </w:r>
    </w:p>
    <w:p w14:paraId="3B62299E">
      <w:pPr>
        <w:spacing w:line="440" w:lineRule="exact"/>
        <w:ind w:firstLine="480" w:firstLineChars="200"/>
        <w:rPr>
          <w:rFonts w:ascii="宋体" w:hAnsi="宋体" w:cs="宋体"/>
          <w:color w:val="auto"/>
          <w:sz w:val="24"/>
        </w:rPr>
      </w:pPr>
      <w:r>
        <w:rPr>
          <w:rFonts w:hint="eastAsia" w:ascii="宋体" w:hAnsi="宋体" w:cs="宋体"/>
          <w:color w:val="auto"/>
          <w:sz w:val="24"/>
        </w:rPr>
        <w:t>16.1.2 发包人违约的责任</w:t>
      </w:r>
    </w:p>
    <w:p w14:paraId="4773A628">
      <w:pPr>
        <w:spacing w:line="440" w:lineRule="exact"/>
        <w:ind w:firstLine="480" w:firstLineChars="200"/>
        <w:rPr>
          <w:rFonts w:ascii="宋体" w:hAnsi="宋体" w:cs="宋体"/>
          <w:color w:val="auto"/>
          <w:sz w:val="24"/>
        </w:rPr>
      </w:pPr>
      <w:r>
        <w:rPr>
          <w:rFonts w:hint="eastAsia" w:ascii="宋体" w:hAnsi="宋体" w:cs="宋体"/>
          <w:color w:val="auto"/>
          <w:sz w:val="24"/>
        </w:rPr>
        <w:t>发包人违约责任的承担方式和计算方法：</w:t>
      </w:r>
    </w:p>
    <w:p w14:paraId="0B95BC05">
      <w:pPr>
        <w:spacing w:line="440" w:lineRule="exact"/>
        <w:ind w:firstLine="480" w:firstLineChars="200"/>
        <w:rPr>
          <w:rFonts w:ascii="宋体" w:hAnsi="宋体" w:cs="宋体"/>
          <w:color w:val="auto"/>
          <w:sz w:val="24"/>
        </w:rPr>
      </w:pPr>
      <w:r>
        <w:rPr>
          <w:rFonts w:hint="eastAsia" w:ascii="宋体" w:hAnsi="宋体" w:cs="宋体"/>
          <w:color w:val="auto"/>
          <w:sz w:val="24"/>
        </w:rPr>
        <w:t>（1）因发包人原因未能在计划开工日期前7日内下达开工通知的违约责任：</w:t>
      </w:r>
      <w:r>
        <w:rPr>
          <w:rFonts w:ascii="宋体" w:hAnsi="宋体" w:cs="宋体"/>
          <w:color w:val="auto"/>
          <w:sz w:val="24"/>
          <w:u w:val="single"/>
        </w:rPr>
        <w:t xml:space="preserve">  /   </w:t>
      </w:r>
      <w:r>
        <w:rPr>
          <w:rFonts w:hint="eastAsia" w:ascii="宋体" w:hAnsi="宋体" w:cs="宋体"/>
          <w:color w:val="auto"/>
          <w:sz w:val="24"/>
        </w:rPr>
        <w:t>。</w:t>
      </w:r>
    </w:p>
    <w:p w14:paraId="422606E4">
      <w:pPr>
        <w:spacing w:line="440" w:lineRule="exact"/>
        <w:ind w:firstLine="480" w:firstLineChars="200"/>
        <w:rPr>
          <w:rFonts w:ascii="宋体" w:hAnsi="宋体" w:cs="宋体"/>
          <w:color w:val="auto"/>
          <w:sz w:val="24"/>
        </w:rPr>
      </w:pPr>
      <w:r>
        <w:rPr>
          <w:rFonts w:hint="eastAsia" w:ascii="宋体" w:hAnsi="宋体" w:cs="宋体"/>
          <w:color w:val="auto"/>
          <w:sz w:val="24"/>
        </w:rPr>
        <w:t>（2）因发包人原因未能按合同约定支付合同价款的违约责任：</w:t>
      </w:r>
      <w:r>
        <w:rPr>
          <w:rFonts w:hint="eastAsia" w:ascii="宋体" w:hAnsi="宋体" w:cs="宋体"/>
          <w:color w:val="auto"/>
          <w:sz w:val="24"/>
          <w:u w:val="single"/>
        </w:rPr>
        <w:t xml:space="preserve"> / </w:t>
      </w:r>
      <w:r>
        <w:rPr>
          <w:rFonts w:hint="eastAsia" w:ascii="宋体" w:hAnsi="宋体" w:cs="宋体"/>
          <w:color w:val="auto"/>
          <w:sz w:val="24"/>
        </w:rPr>
        <w:t>。</w:t>
      </w:r>
    </w:p>
    <w:p w14:paraId="27C169AA">
      <w:pPr>
        <w:spacing w:line="440" w:lineRule="exact"/>
        <w:ind w:firstLine="480" w:firstLineChars="200"/>
        <w:rPr>
          <w:rFonts w:ascii="宋体" w:hAnsi="宋体" w:cs="宋体"/>
          <w:color w:val="auto"/>
          <w:sz w:val="24"/>
        </w:rPr>
      </w:pPr>
      <w:r>
        <w:rPr>
          <w:rFonts w:hint="eastAsia" w:ascii="宋体" w:hAnsi="宋体" w:cs="宋体"/>
          <w:color w:val="auto"/>
          <w:sz w:val="24"/>
        </w:rPr>
        <w:t>（3）发包人违反第10.1款〔变更的范围〕第（2）项约定，自行实施被取消的工作或转由他人实施的违约责任：</w:t>
      </w:r>
      <w:r>
        <w:rPr>
          <w:rFonts w:hint="eastAsia" w:ascii="宋体" w:hAnsi="宋体" w:cs="宋体"/>
          <w:color w:val="auto"/>
          <w:sz w:val="24"/>
          <w:u w:val="single"/>
        </w:rPr>
        <w:t>无</w:t>
      </w:r>
      <w:r>
        <w:rPr>
          <w:rFonts w:hint="eastAsia" w:ascii="宋体" w:hAnsi="宋体" w:cs="宋体"/>
          <w:color w:val="auto"/>
          <w:sz w:val="24"/>
        </w:rPr>
        <w:t>。</w:t>
      </w:r>
    </w:p>
    <w:p w14:paraId="291878FA">
      <w:pPr>
        <w:spacing w:line="440" w:lineRule="exact"/>
        <w:ind w:firstLine="480" w:firstLineChars="200"/>
        <w:rPr>
          <w:rFonts w:ascii="宋体" w:hAnsi="宋体" w:cs="宋体"/>
          <w:color w:val="auto"/>
          <w:sz w:val="24"/>
        </w:rPr>
      </w:pPr>
      <w:r>
        <w:rPr>
          <w:rFonts w:hint="eastAsia" w:ascii="宋体" w:hAnsi="宋体" w:cs="宋体"/>
          <w:color w:val="auto"/>
          <w:sz w:val="24"/>
        </w:rPr>
        <w:t>（4）发包人提供的材料、工程设备的规格、数量或质量不符合合同约定，或因发包人原因导致交货日期延误或交货地点变更等情况的违约责任：</w:t>
      </w:r>
      <w:r>
        <w:rPr>
          <w:rFonts w:hint="eastAsia" w:ascii="宋体" w:hAnsi="宋体" w:cs="宋体"/>
          <w:color w:val="auto"/>
          <w:sz w:val="24"/>
          <w:u w:val="single"/>
        </w:rPr>
        <w:t>无。</w:t>
      </w:r>
    </w:p>
    <w:p w14:paraId="42A1AB6A">
      <w:pPr>
        <w:spacing w:line="440" w:lineRule="exact"/>
        <w:ind w:firstLine="480" w:firstLineChars="200"/>
        <w:rPr>
          <w:rFonts w:ascii="宋体" w:hAnsi="宋体" w:cs="宋体"/>
          <w:color w:val="auto"/>
          <w:sz w:val="24"/>
        </w:rPr>
      </w:pPr>
      <w:r>
        <w:rPr>
          <w:rFonts w:hint="eastAsia" w:ascii="宋体" w:hAnsi="宋体" w:cs="宋体"/>
          <w:color w:val="auto"/>
          <w:sz w:val="24"/>
        </w:rPr>
        <w:t>（5）因发包人违反合同约定造成暂停施工的违约责任：</w:t>
      </w:r>
      <w:r>
        <w:rPr>
          <w:rFonts w:hint="eastAsia" w:ascii="宋体" w:hAnsi="宋体" w:cs="宋体"/>
          <w:color w:val="auto"/>
          <w:sz w:val="24"/>
          <w:u w:val="single"/>
        </w:rPr>
        <w:t>无。</w:t>
      </w:r>
    </w:p>
    <w:p w14:paraId="793B2348">
      <w:pPr>
        <w:spacing w:line="440" w:lineRule="exact"/>
        <w:ind w:firstLine="480" w:firstLineChars="200"/>
        <w:rPr>
          <w:rFonts w:ascii="宋体" w:hAnsi="宋体" w:cs="宋体"/>
          <w:color w:val="auto"/>
          <w:sz w:val="24"/>
        </w:rPr>
      </w:pPr>
      <w:r>
        <w:rPr>
          <w:rFonts w:hint="eastAsia" w:ascii="宋体" w:hAnsi="宋体" w:cs="宋体"/>
          <w:color w:val="auto"/>
          <w:sz w:val="24"/>
        </w:rPr>
        <w:t>（6）其他：</w:t>
      </w:r>
      <w:r>
        <w:rPr>
          <w:rFonts w:hint="eastAsia" w:ascii="宋体" w:hAnsi="宋体" w:cs="宋体"/>
          <w:color w:val="auto"/>
          <w:sz w:val="24"/>
          <w:u w:val="single"/>
        </w:rPr>
        <w:t xml:space="preserve">  /   </w:t>
      </w:r>
      <w:r>
        <w:rPr>
          <w:rFonts w:hint="eastAsia" w:ascii="宋体" w:hAnsi="宋体" w:cs="宋体"/>
          <w:color w:val="auto"/>
          <w:sz w:val="24"/>
        </w:rPr>
        <w:t>。</w:t>
      </w:r>
    </w:p>
    <w:p w14:paraId="5B5B9B80">
      <w:pPr>
        <w:spacing w:line="440" w:lineRule="exact"/>
        <w:ind w:firstLine="480" w:firstLineChars="200"/>
        <w:rPr>
          <w:rFonts w:ascii="宋体" w:hAnsi="宋体" w:cs="宋体"/>
          <w:color w:val="auto"/>
          <w:sz w:val="24"/>
        </w:rPr>
      </w:pPr>
      <w:r>
        <w:rPr>
          <w:rFonts w:hint="eastAsia" w:ascii="宋体" w:hAnsi="宋体" w:cs="宋体"/>
          <w:color w:val="auto"/>
          <w:sz w:val="24"/>
        </w:rPr>
        <w:t>16.1.3 因发包人违约解除合同</w:t>
      </w:r>
    </w:p>
    <w:p w14:paraId="77E4BD24">
      <w:pPr>
        <w:spacing w:line="440" w:lineRule="exact"/>
        <w:ind w:firstLine="480" w:firstLineChars="200"/>
        <w:rPr>
          <w:rFonts w:ascii="宋体" w:hAnsi="宋体" w:cs="宋体"/>
          <w:color w:val="auto"/>
          <w:sz w:val="24"/>
        </w:rPr>
      </w:pPr>
      <w:r>
        <w:rPr>
          <w:rFonts w:hint="eastAsia" w:ascii="宋体" w:hAnsi="宋体" w:cs="宋体"/>
          <w:color w:val="auto"/>
          <w:sz w:val="24"/>
        </w:rPr>
        <w:t>根据16.1.1项〔发包人违约的情形〕，发包人的违约责任：无，承包人无单方面解除合同的权利。</w:t>
      </w:r>
    </w:p>
    <w:p w14:paraId="4CFA8106">
      <w:pPr>
        <w:spacing w:line="440" w:lineRule="exact"/>
        <w:ind w:firstLine="480" w:firstLineChars="200"/>
        <w:rPr>
          <w:rFonts w:ascii="宋体" w:hAnsi="宋体" w:cs="宋体"/>
          <w:color w:val="auto"/>
          <w:sz w:val="24"/>
        </w:rPr>
      </w:pPr>
      <w:r>
        <w:rPr>
          <w:rFonts w:hint="eastAsia" w:ascii="宋体" w:hAnsi="宋体" w:cs="宋体"/>
          <w:color w:val="auto"/>
          <w:sz w:val="24"/>
        </w:rPr>
        <w:t>16.2 承包人违约</w:t>
      </w:r>
    </w:p>
    <w:p w14:paraId="7DBF500A">
      <w:pPr>
        <w:spacing w:line="440" w:lineRule="exact"/>
        <w:ind w:firstLine="480" w:firstLineChars="200"/>
        <w:rPr>
          <w:rFonts w:ascii="宋体" w:hAnsi="宋体" w:cs="宋体"/>
          <w:color w:val="auto"/>
          <w:sz w:val="24"/>
        </w:rPr>
      </w:pPr>
      <w:r>
        <w:rPr>
          <w:rFonts w:hint="eastAsia" w:ascii="宋体" w:hAnsi="宋体" w:cs="宋体"/>
          <w:color w:val="auto"/>
          <w:sz w:val="24"/>
        </w:rPr>
        <w:t>16.2.1 承包人违约的情形</w:t>
      </w:r>
    </w:p>
    <w:p w14:paraId="7889A4E5">
      <w:pPr>
        <w:spacing w:line="440" w:lineRule="exact"/>
        <w:ind w:firstLine="480" w:firstLineChars="200"/>
        <w:rPr>
          <w:rFonts w:ascii="宋体" w:hAnsi="宋体" w:cs="宋体"/>
          <w:color w:val="auto"/>
          <w:sz w:val="24"/>
        </w:rPr>
      </w:pPr>
      <w:r>
        <w:rPr>
          <w:rFonts w:hint="eastAsia" w:ascii="宋体" w:hAnsi="宋体" w:cs="宋体"/>
          <w:color w:val="auto"/>
          <w:sz w:val="24"/>
        </w:rPr>
        <w:t>承包人违约的其他情形：</w:t>
      </w:r>
      <w:r>
        <w:rPr>
          <w:rFonts w:hint="eastAsia" w:ascii="宋体" w:hAnsi="宋体" w:cs="宋体"/>
          <w:color w:val="auto"/>
          <w:sz w:val="24"/>
          <w:u w:val="single"/>
        </w:rPr>
        <w:t>按通用条款执行</w:t>
      </w:r>
      <w:r>
        <w:rPr>
          <w:rFonts w:hint="eastAsia" w:ascii="宋体" w:hAnsi="宋体" w:cs="宋体"/>
          <w:color w:val="auto"/>
          <w:sz w:val="24"/>
        </w:rPr>
        <w:t>。</w:t>
      </w:r>
    </w:p>
    <w:p w14:paraId="1EE067CE">
      <w:pPr>
        <w:spacing w:line="440" w:lineRule="exact"/>
        <w:ind w:firstLine="480" w:firstLineChars="200"/>
        <w:rPr>
          <w:rFonts w:ascii="宋体" w:hAnsi="宋体" w:cs="宋体"/>
          <w:color w:val="auto"/>
          <w:sz w:val="24"/>
        </w:rPr>
      </w:pPr>
      <w:r>
        <w:rPr>
          <w:rFonts w:hint="eastAsia" w:ascii="宋体" w:hAnsi="宋体" w:cs="宋体"/>
          <w:color w:val="auto"/>
          <w:sz w:val="24"/>
        </w:rPr>
        <w:t>16.2.2承包人违约的责任</w:t>
      </w:r>
    </w:p>
    <w:p w14:paraId="270CF716">
      <w:pPr>
        <w:spacing w:line="440" w:lineRule="exact"/>
        <w:ind w:firstLine="480" w:firstLineChars="200"/>
        <w:rPr>
          <w:rFonts w:ascii="宋体" w:hAnsi="宋体" w:cs="宋体"/>
          <w:color w:val="auto"/>
          <w:sz w:val="24"/>
        </w:rPr>
      </w:pPr>
      <w:r>
        <w:rPr>
          <w:rFonts w:hint="eastAsia" w:ascii="宋体" w:hAnsi="宋体" w:cs="宋体"/>
          <w:color w:val="auto"/>
          <w:sz w:val="24"/>
        </w:rPr>
        <w:t>承包人违约责任的承担方式和计算方法：</w:t>
      </w:r>
    </w:p>
    <w:p w14:paraId="326766E8">
      <w:pPr>
        <w:spacing w:line="440" w:lineRule="exact"/>
        <w:ind w:firstLine="480" w:firstLineChars="200"/>
        <w:rPr>
          <w:rFonts w:ascii="宋体" w:hAnsi="宋体" w:cs="宋体"/>
          <w:color w:val="auto"/>
          <w:sz w:val="24"/>
        </w:rPr>
      </w:pPr>
      <w:r>
        <w:rPr>
          <w:rFonts w:hint="eastAsia" w:ascii="宋体" w:hAnsi="宋体" w:cs="宋体"/>
          <w:color w:val="auto"/>
          <w:sz w:val="24"/>
        </w:rPr>
        <w:t>（1）</w:t>
      </w:r>
      <w:bookmarkStart w:id="214" w:name="auto_fouce_37"/>
      <w:r>
        <w:rPr>
          <w:rFonts w:hint="eastAsia" w:ascii="宋体" w:hAnsi="宋体" w:cs="宋体"/>
          <w:color w:val="auto"/>
          <w:sz w:val="24"/>
        </w:rPr>
        <w:t>承包人未按本合同通用条款第16.2.1（2）、（3）项内容完成的，承包人须无条件返工处理，修复至工程质量要求并承担相关费用，并在发包人规定的时间内完成返工，否则发包人有权扣除该分项工程10%的工程款作为违约金。承包人未在发包人规定的时间内完成返工，逾期超过</w:t>
      </w:r>
      <w:r>
        <w:rPr>
          <w:rFonts w:ascii="宋体" w:hAnsi="宋体" w:cs="宋体"/>
          <w:color w:val="auto"/>
          <w:sz w:val="24"/>
        </w:rPr>
        <w:t>15</w:t>
      </w:r>
      <w:r>
        <w:rPr>
          <w:rFonts w:hint="eastAsia" w:ascii="宋体" w:hAnsi="宋体" w:cs="宋体"/>
          <w:color w:val="auto"/>
          <w:sz w:val="24"/>
        </w:rPr>
        <w:t>天的，发包人有权解除合同，发包人将扣除承包人全部履约保证金并要求承包人支付合同暂计总金额的30%作为违约金，并由承包人承担由此给发包人造成的全部损失。</w:t>
      </w:r>
      <w:bookmarkEnd w:id="214"/>
    </w:p>
    <w:p w14:paraId="7BDD2761">
      <w:pPr>
        <w:spacing w:line="440" w:lineRule="exact"/>
        <w:ind w:firstLine="480" w:firstLineChars="200"/>
        <w:rPr>
          <w:rFonts w:ascii="宋体" w:hAnsi="宋体" w:cs="宋体"/>
          <w:color w:val="auto"/>
          <w:sz w:val="24"/>
        </w:rPr>
      </w:pPr>
      <w:r>
        <w:rPr>
          <w:rFonts w:hint="eastAsia" w:ascii="宋体" w:hAnsi="宋体" w:cs="宋体"/>
          <w:color w:val="auto"/>
          <w:sz w:val="24"/>
        </w:rPr>
        <w:t>（2）承包人有本合同通用条款第16.2.1（6）条情形的，或经监理人检验认为修复质量不合格而承包人拒绝再进行修补的，发包人将扣除承包人全部质量保证金或履约保证金。承包人拒绝修补，逾期超过15天的，发包人有权解除合同，要求承包人支付签约合同总价的30%作为违约金，并由承包人承担由此给发包人造成的全部损失。</w:t>
      </w:r>
    </w:p>
    <w:p w14:paraId="5EC7FAB5">
      <w:pPr>
        <w:spacing w:line="440" w:lineRule="exact"/>
        <w:ind w:firstLine="480" w:firstLineChars="200"/>
        <w:rPr>
          <w:rFonts w:ascii="宋体" w:hAnsi="宋体" w:cs="宋体"/>
          <w:color w:val="auto"/>
          <w:sz w:val="24"/>
        </w:rPr>
      </w:pPr>
      <w:r>
        <w:rPr>
          <w:rFonts w:hint="eastAsia" w:ascii="宋体" w:hAnsi="宋体" w:cs="宋体"/>
          <w:color w:val="auto"/>
          <w:sz w:val="24"/>
        </w:rPr>
        <w:t>（3）承包人有本专用合同条款3.2、3.3条约定违约情形的，发包人有权扣除承包人的违约金。违约金金额为签约合同价的10%，扣除金额均从承包人的履约保证金及计量支付款内扣除。发包人预先下发含有</w:t>
      </w:r>
      <w:r>
        <w:rPr>
          <w:rFonts w:hint="eastAsia" w:ascii="宋体" w:hAnsi="宋体" w:cs="宋体"/>
          <w:color w:val="auto"/>
          <w:sz w:val="24"/>
          <w:u w:val="single"/>
        </w:rPr>
        <w:t>扣除违约金</w:t>
      </w:r>
      <w:r>
        <w:rPr>
          <w:rFonts w:hint="eastAsia" w:ascii="宋体" w:hAnsi="宋体" w:cs="宋体"/>
          <w:color w:val="auto"/>
          <w:sz w:val="24"/>
        </w:rPr>
        <w:t>意向的指令，如承包人不及时采取措施纠正，则在指令下达后十五天下发</w:t>
      </w:r>
      <w:r>
        <w:rPr>
          <w:rFonts w:hint="eastAsia" w:ascii="宋体" w:hAnsi="宋体" w:cs="宋体"/>
          <w:color w:val="auto"/>
          <w:sz w:val="24"/>
          <w:u w:val="single"/>
        </w:rPr>
        <w:t>扣除违约金</w:t>
      </w:r>
      <w:r>
        <w:rPr>
          <w:rFonts w:hint="eastAsia" w:ascii="宋体" w:hAnsi="宋体" w:cs="宋体"/>
          <w:color w:val="auto"/>
          <w:sz w:val="24"/>
        </w:rPr>
        <w:t>通知书（不再另行陈述扣除理由）。承包人履约保证金被</w:t>
      </w:r>
      <w:r>
        <w:rPr>
          <w:rFonts w:hint="eastAsia" w:ascii="宋体" w:hAnsi="宋体" w:cs="宋体"/>
          <w:color w:val="auto"/>
          <w:sz w:val="24"/>
          <w:u w:val="single"/>
        </w:rPr>
        <w:t>扣除违约金</w:t>
      </w:r>
      <w:r>
        <w:rPr>
          <w:rFonts w:hint="eastAsia" w:ascii="宋体" w:hAnsi="宋体" w:cs="宋体"/>
          <w:color w:val="auto"/>
          <w:sz w:val="24"/>
        </w:rPr>
        <w:t>后由发包人从最后一次计量支付时扣除相应金额补足履约保证金。承包人在合同期内，完成合同规定的全部工程，且质量合格，在本工程施工竣工验收后十五天内可申请返还全部或部分被</w:t>
      </w:r>
      <w:r>
        <w:rPr>
          <w:rFonts w:hint="eastAsia" w:ascii="宋体" w:hAnsi="宋体" w:cs="宋体"/>
          <w:color w:val="auto"/>
          <w:sz w:val="24"/>
          <w:u w:val="single"/>
        </w:rPr>
        <w:t>扣除的违约金</w:t>
      </w:r>
      <w:r>
        <w:rPr>
          <w:rFonts w:hint="eastAsia" w:ascii="宋体" w:hAnsi="宋体" w:cs="宋体"/>
          <w:color w:val="auto"/>
          <w:sz w:val="24"/>
        </w:rPr>
        <w:t>，返还金额由监理人（如有）审核，发包人批准。违约金金额返还时不包括银行利息。</w:t>
      </w:r>
    </w:p>
    <w:p w14:paraId="37B9D4FA">
      <w:pPr>
        <w:spacing w:line="440" w:lineRule="exact"/>
        <w:ind w:left="210" w:leftChars="100" w:firstLine="480" w:firstLineChars="200"/>
        <w:rPr>
          <w:rFonts w:ascii="宋体" w:hAnsi="宋体" w:cs="宋体"/>
          <w:color w:val="auto"/>
          <w:sz w:val="24"/>
        </w:rPr>
      </w:pPr>
      <w:r>
        <w:rPr>
          <w:rFonts w:hint="eastAsia" w:ascii="宋体" w:hAnsi="宋体" w:cs="宋体"/>
          <w:color w:val="auto"/>
          <w:sz w:val="24"/>
        </w:rPr>
        <w:t>（4）承包人提供的不合格材料或工程设备，监理人或发包人有权拒绝，并要求承包人立即进行更换。如承包人不及时采取措施纠正，则在指令下达后十五天下发扣款通知书，承包人须向发包人支付5000元/次违约金，并承担上述违约给发包人造成的一切损失。10个工作日内无法更换不合格材料的，发包人有权单方解除合同，并要求承包人赔偿发包人损失并承担其他相关法律责任。</w:t>
      </w:r>
    </w:p>
    <w:p w14:paraId="6B98EC23">
      <w:pPr>
        <w:pStyle w:val="3"/>
        <w:spacing w:line="440" w:lineRule="exact"/>
        <w:ind w:firstLine="480" w:firstLineChars="200"/>
        <w:rPr>
          <w:rFonts w:ascii="宋体" w:hAnsi="宋体" w:cs="宋体"/>
          <w:color w:val="auto"/>
          <w:sz w:val="24"/>
        </w:rPr>
      </w:pPr>
      <w:r>
        <w:rPr>
          <w:rFonts w:hint="eastAsia" w:ascii="宋体" w:hAnsi="宋体" w:cs="宋体"/>
          <w:color w:val="auto"/>
          <w:sz w:val="24"/>
        </w:rPr>
        <w:t>（5）因承包人原因造成工期延误，逾期竣工违约金的计算方法为：承包人不能按合同约定的时间竣工，承包人应承担违约责任。应向发包人支付误期违约金（签约合同价格（扣除暂列金、暂估价及甲供材）的1‰/日），误期时间从合同约定竣工日期起直到全部工程竣工验收各方签章日期之间的天数（扣除发包人批准顺延的工期）。发包人可从应向承包人支付的任何金额中扣除此项违约金或以其他方式收回此款，此违约金的支付并不能解除承包人应完成工程的责任或合同规定的其他责任。工期延误超过30天，发包人有权单方解除合同，并要求承包人向发包人支付签约合同总价的</w:t>
      </w:r>
      <w:r>
        <w:rPr>
          <w:rFonts w:ascii="宋体" w:hAnsi="宋体" w:cs="宋体"/>
          <w:color w:val="auto"/>
          <w:sz w:val="24"/>
        </w:rPr>
        <w:t>30</w:t>
      </w:r>
      <w:r>
        <w:rPr>
          <w:rFonts w:hint="eastAsia" w:ascii="宋体" w:hAnsi="宋体" w:cs="宋体"/>
          <w:color w:val="auto"/>
          <w:sz w:val="24"/>
        </w:rPr>
        <w:t>%作为违约金，同时承包人赔偿发包人全部损失并承担其他相关法律责任。</w:t>
      </w:r>
    </w:p>
    <w:p w14:paraId="3865C003">
      <w:pPr>
        <w:pStyle w:val="3"/>
        <w:spacing w:line="440" w:lineRule="exact"/>
        <w:ind w:firstLine="480" w:firstLineChars="200"/>
        <w:rPr>
          <w:rFonts w:ascii="宋体" w:hAnsi="宋体" w:cs="宋体"/>
          <w:color w:val="auto"/>
          <w:sz w:val="24"/>
        </w:rPr>
      </w:pPr>
      <w:r>
        <w:rPr>
          <w:rFonts w:hint="eastAsia" w:ascii="宋体" w:hAnsi="宋体" w:cs="宋体"/>
          <w:color w:val="auto"/>
          <w:sz w:val="24"/>
        </w:rPr>
        <w:t>（6）</w:t>
      </w:r>
      <w:bookmarkStart w:id="215" w:name="auto_fouce_38"/>
      <w:r>
        <w:rPr>
          <w:rFonts w:hint="eastAsia" w:ascii="宋体" w:hAnsi="宋体" w:cs="宋体"/>
          <w:color w:val="auto"/>
          <w:sz w:val="24"/>
        </w:rPr>
        <w:t>承包人存在转包、违法分包、工期延误超30天、工程质量不合格等违约责任。如出现以上情形的，发包人有权没收部分或全部履约保证金，履约保证金不足以赔偿损失的，由承包人另行赔偿，赔偿范围包括但不限于甲方为完成剩余工程所增加的费用、甲方遭受的损失等。</w:t>
      </w:r>
      <w:bookmarkEnd w:id="215"/>
    </w:p>
    <w:p w14:paraId="3BB5F92C">
      <w:pPr>
        <w:spacing w:line="440" w:lineRule="exact"/>
        <w:ind w:firstLine="480" w:firstLineChars="200"/>
        <w:rPr>
          <w:rFonts w:ascii="宋体" w:hAnsi="宋体" w:cs="宋体"/>
          <w:color w:val="auto"/>
          <w:sz w:val="24"/>
        </w:rPr>
      </w:pPr>
      <w:r>
        <w:rPr>
          <w:rFonts w:hint="eastAsia" w:ascii="宋体" w:hAnsi="宋体" w:cs="宋体"/>
          <w:color w:val="auto"/>
          <w:sz w:val="24"/>
        </w:rPr>
        <w:t>16.2.3 因承包人违约解除合同</w:t>
      </w:r>
    </w:p>
    <w:p w14:paraId="5E0CD25F">
      <w:pPr>
        <w:spacing w:line="440" w:lineRule="exact"/>
        <w:ind w:firstLine="480" w:firstLineChars="200"/>
        <w:rPr>
          <w:rFonts w:ascii="宋体" w:hAnsi="宋体" w:cs="宋体"/>
          <w:color w:val="auto"/>
          <w:sz w:val="24"/>
        </w:rPr>
      </w:pPr>
      <w:bookmarkStart w:id="216" w:name="auto_fouce_39"/>
      <w:r>
        <w:rPr>
          <w:rFonts w:hint="eastAsia" w:ascii="宋体" w:hAnsi="宋体" w:cs="宋体"/>
          <w:color w:val="auto"/>
          <w:sz w:val="24"/>
        </w:rPr>
        <w:t>关于承包人违约解除合同的特别约定：</w:t>
      </w:r>
      <w:r>
        <w:rPr>
          <w:rFonts w:hint="eastAsia" w:ascii="宋体" w:hAnsi="宋体" w:cs="宋体"/>
          <w:color w:val="auto"/>
          <w:sz w:val="24"/>
          <w:u w:val="single"/>
        </w:rPr>
        <w:t>承包人有违反以下情况之一的，发包人有权解除合同，扣除承包人全部履约保证金，同时承包人还应向发包人支付合同暂计总金额的20%作为违约金</w:t>
      </w:r>
      <w:r>
        <w:rPr>
          <w:rFonts w:hint="eastAsia" w:ascii="宋体" w:hAnsi="宋体" w:cs="宋体"/>
          <w:color w:val="auto"/>
          <w:sz w:val="24"/>
        </w:rPr>
        <w:t>。该违约金与本合同其他条款约定的违约金分别计算，甲方有权同时主张。</w:t>
      </w:r>
      <w:bookmarkEnd w:id="216"/>
    </w:p>
    <w:p w14:paraId="4C66A1E4">
      <w:pPr>
        <w:spacing w:line="440" w:lineRule="exact"/>
        <w:ind w:firstLine="480" w:firstLineChars="200"/>
        <w:rPr>
          <w:rFonts w:ascii="宋体" w:hAnsi="宋体" w:cs="宋体"/>
          <w:color w:val="auto"/>
          <w:sz w:val="24"/>
        </w:rPr>
      </w:pPr>
      <w:r>
        <w:rPr>
          <w:rFonts w:hint="eastAsia" w:ascii="宋体" w:hAnsi="宋体" w:cs="宋体"/>
          <w:color w:val="auto"/>
          <w:sz w:val="24"/>
        </w:rPr>
        <w:t>（1）承包人无正当理由不按开工通知的要求及时进场组织施工和不按签订协议书时商定的进度计划有效地开展施工准备，造成工期延误的；</w:t>
      </w:r>
    </w:p>
    <w:p w14:paraId="20F902B6">
      <w:pPr>
        <w:spacing w:line="440" w:lineRule="exact"/>
        <w:ind w:firstLine="480" w:firstLineChars="200"/>
        <w:rPr>
          <w:rFonts w:ascii="宋体" w:hAnsi="宋体" w:cs="宋体"/>
          <w:color w:val="auto"/>
          <w:sz w:val="24"/>
        </w:rPr>
      </w:pPr>
      <w:r>
        <w:rPr>
          <w:rFonts w:hint="eastAsia" w:ascii="宋体" w:hAnsi="宋体" w:cs="宋体"/>
          <w:color w:val="auto"/>
          <w:sz w:val="24"/>
        </w:rPr>
        <w:t>（2）承包人违反本合同通用条款第3.5条规定私自将合同或合同的任何部分或任何权利转让给其他人，或私自将工程或工程的一部分分包出去的；</w:t>
      </w:r>
    </w:p>
    <w:p w14:paraId="0E45455B">
      <w:pPr>
        <w:spacing w:line="440" w:lineRule="exact"/>
        <w:ind w:firstLine="480" w:firstLineChars="200"/>
        <w:rPr>
          <w:rFonts w:ascii="宋体" w:hAnsi="宋体" w:cs="宋体"/>
          <w:color w:val="auto"/>
          <w:sz w:val="24"/>
        </w:rPr>
      </w:pPr>
      <w:r>
        <w:rPr>
          <w:rFonts w:hint="eastAsia" w:ascii="宋体" w:hAnsi="宋体" w:cs="宋体"/>
          <w:color w:val="auto"/>
          <w:sz w:val="24"/>
        </w:rPr>
        <w:t>（3）未经监理人批准，承包人私自将已按响应文件承诺进入工地的工程设备、施工设备、临时工程或材料撤离工地的；</w:t>
      </w:r>
    </w:p>
    <w:p w14:paraId="6017B1BA">
      <w:pPr>
        <w:spacing w:line="440" w:lineRule="exact"/>
        <w:ind w:firstLine="480" w:firstLineChars="200"/>
        <w:rPr>
          <w:rFonts w:ascii="宋体" w:hAnsi="宋体" w:cs="宋体"/>
          <w:color w:val="auto"/>
          <w:sz w:val="24"/>
        </w:rPr>
      </w:pPr>
      <w:r>
        <w:rPr>
          <w:rFonts w:hint="eastAsia" w:ascii="宋体" w:hAnsi="宋体" w:cs="宋体"/>
          <w:color w:val="auto"/>
          <w:sz w:val="24"/>
        </w:rPr>
        <w:t>（4）由于承包人原因拒绝按合同进度计划及时完成合同规定的工程，而又未采取有效措施赶上进度，造成工期严重延误的；</w:t>
      </w:r>
    </w:p>
    <w:p w14:paraId="0A81FCD4">
      <w:pPr>
        <w:spacing w:line="440" w:lineRule="exact"/>
        <w:ind w:firstLine="480" w:firstLineChars="200"/>
        <w:rPr>
          <w:rFonts w:ascii="宋体" w:hAnsi="宋体" w:cs="宋体"/>
          <w:color w:val="auto"/>
          <w:sz w:val="24"/>
        </w:rPr>
      </w:pPr>
      <w:r>
        <w:rPr>
          <w:rFonts w:hint="eastAsia" w:ascii="宋体" w:hAnsi="宋体" w:cs="宋体"/>
          <w:color w:val="auto"/>
          <w:sz w:val="24"/>
        </w:rPr>
        <w:t>（5）承包人否认合同有效或拒绝履行合同规定的承包人义务，或由于法律、财务等原因导致承包人无法继续履行或实质上已停止履行合同的义务的；</w:t>
      </w:r>
    </w:p>
    <w:p w14:paraId="73C00D02">
      <w:pPr>
        <w:spacing w:line="440" w:lineRule="exact"/>
        <w:ind w:firstLine="480" w:firstLineChars="200"/>
        <w:rPr>
          <w:rFonts w:ascii="宋体" w:hAnsi="宋体" w:cs="宋体"/>
          <w:color w:val="auto"/>
          <w:sz w:val="24"/>
        </w:rPr>
      </w:pPr>
      <w:r>
        <w:rPr>
          <w:rFonts w:hint="eastAsia" w:ascii="宋体" w:hAnsi="宋体" w:cs="宋体"/>
          <w:color w:val="auto"/>
          <w:sz w:val="24"/>
        </w:rPr>
        <w:t>（6）合同签订之日起十五日内，承包人无法按合同规定及响应文件的承诺进场经监理工程师认可的全部人员和机械的；</w:t>
      </w:r>
    </w:p>
    <w:p w14:paraId="0E7F4B33">
      <w:pPr>
        <w:spacing w:line="440" w:lineRule="exact"/>
        <w:ind w:firstLine="480" w:firstLineChars="200"/>
        <w:rPr>
          <w:rFonts w:ascii="宋体" w:hAnsi="宋体" w:cs="宋体"/>
          <w:color w:val="auto"/>
          <w:sz w:val="24"/>
        </w:rPr>
      </w:pPr>
      <w:r>
        <w:rPr>
          <w:rFonts w:hint="eastAsia" w:ascii="宋体" w:hAnsi="宋体" w:cs="宋体"/>
          <w:color w:val="auto"/>
          <w:sz w:val="24"/>
        </w:rPr>
        <w:t>（7）承包人违反合同约定采购和使用不合格的材料和工程设备，不按发包人或监理人要求整改一次以上的。</w:t>
      </w:r>
    </w:p>
    <w:p w14:paraId="081458D2">
      <w:pPr>
        <w:spacing w:line="440" w:lineRule="exact"/>
        <w:ind w:firstLine="480" w:firstLineChars="200"/>
        <w:rPr>
          <w:rFonts w:ascii="宋体" w:hAnsi="宋体" w:cs="宋体"/>
          <w:color w:val="auto"/>
          <w:sz w:val="24"/>
        </w:rPr>
      </w:pPr>
      <w:r>
        <w:rPr>
          <w:rFonts w:hint="eastAsia" w:ascii="宋体" w:hAnsi="宋体" w:cs="宋体"/>
          <w:color w:val="auto"/>
          <w:sz w:val="24"/>
        </w:rPr>
        <w:t>发包人继续使用承包人在施工现场的材料、设备、临时工程、承包人文件和由承包人或以其名义编制的其他文件的费用承担方式：</w:t>
      </w:r>
      <w:r>
        <w:rPr>
          <w:rFonts w:hint="eastAsia" w:ascii="宋体" w:hAnsi="宋体" w:cs="宋体"/>
          <w:color w:val="auto"/>
          <w:sz w:val="24"/>
          <w:u w:val="single"/>
        </w:rPr>
        <w:t>双方另行协商</w:t>
      </w:r>
      <w:r>
        <w:rPr>
          <w:rFonts w:hint="eastAsia" w:ascii="宋体" w:hAnsi="宋体" w:cs="宋体"/>
          <w:color w:val="auto"/>
          <w:sz w:val="24"/>
        </w:rPr>
        <w:t>。</w:t>
      </w:r>
    </w:p>
    <w:p w14:paraId="76F92637">
      <w:pPr>
        <w:spacing w:line="440" w:lineRule="exact"/>
        <w:ind w:firstLine="482" w:firstLineChars="200"/>
        <w:rPr>
          <w:rFonts w:ascii="宋体" w:hAnsi="宋体" w:cs="宋体"/>
          <w:b/>
          <w:bCs/>
          <w:color w:val="auto"/>
          <w:sz w:val="24"/>
        </w:rPr>
      </w:pPr>
      <w:bookmarkStart w:id="217" w:name="_Toc15994"/>
      <w:bookmarkStart w:id="218" w:name="_Toc13967"/>
      <w:bookmarkStart w:id="219" w:name="_Toc22717"/>
      <w:bookmarkStart w:id="220" w:name="_Toc7320"/>
      <w:bookmarkStart w:id="221" w:name="_Toc4403"/>
      <w:bookmarkStart w:id="222" w:name="_Toc448911949"/>
      <w:bookmarkStart w:id="223" w:name="_Toc23564"/>
      <w:bookmarkStart w:id="224" w:name="_Toc12118"/>
      <w:bookmarkStart w:id="225" w:name="_Toc14475"/>
      <w:bookmarkStart w:id="226" w:name="_Toc351203649"/>
      <w:bookmarkStart w:id="227" w:name="_Toc5770"/>
      <w:r>
        <w:rPr>
          <w:rFonts w:hint="eastAsia" w:ascii="宋体" w:hAnsi="宋体" w:cs="宋体"/>
          <w:b/>
          <w:bCs/>
          <w:color w:val="auto"/>
          <w:sz w:val="24"/>
        </w:rPr>
        <w:t>17.不可抗力</w:t>
      </w:r>
      <w:bookmarkEnd w:id="217"/>
      <w:bookmarkEnd w:id="218"/>
      <w:bookmarkEnd w:id="219"/>
      <w:bookmarkEnd w:id="220"/>
      <w:bookmarkEnd w:id="221"/>
      <w:bookmarkEnd w:id="222"/>
      <w:bookmarkEnd w:id="223"/>
      <w:bookmarkEnd w:id="224"/>
      <w:bookmarkEnd w:id="225"/>
      <w:bookmarkEnd w:id="226"/>
      <w:bookmarkEnd w:id="227"/>
    </w:p>
    <w:p w14:paraId="258E38D5">
      <w:pPr>
        <w:spacing w:line="440" w:lineRule="exact"/>
        <w:ind w:firstLine="480" w:firstLineChars="200"/>
        <w:rPr>
          <w:rFonts w:ascii="宋体" w:hAnsi="宋体" w:cs="宋体"/>
          <w:color w:val="auto"/>
          <w:sz w:val="24"/>
        </w:rPr>
      </w:pPr>
      <w:bookmarkStart w:id="228" w:name="_Toc19391"/>
      <w:bookmarkStart w:id="229" w:name="_Toc448911950"/>
      <w:r>
        <w:rPr>
          <w:rFonts w:hint="eastAsia" w:ascii="宋体" w:hAnsi="宋体" w:cs="宋体"/>
          <w:color w:val="auto"/>
          <w:sz w:val="24"/>
        </w:rPr>
        <w:t>17.1 不可抗力的确认</w:t>
      </w:r>
      <w:bookmarkEnd w:id="228"/>
      <w:bookmarkEnd w:id="229"/>
    </w:p>
    <w:p w14:paraId="77C9AEE0">
      <w:pPr>
        <w:spacing w:line="440" w:lineRule="exact"/>
        <w:ind w:firstLine="480" w:firstLineChars="200"/>
        <w:rPr>
          <w:rFonts w:ascii="宋体" w:hAnsi="宋体" w:cs="宋体"/>
          <w:color w:val="auto"/>
          <w:sz w:val="24"/>
        </w:rPr>
      </w:pPr>
      <w:r>
        <w:rPr>
          <w:rFonts w:hint="eastAsia" w:ascii="宋体" w:hAnsi="宋体" w:cs="宋体"/>
          <w:color w:val="auto"/>
          <w:sz w:val="24"/>
        </w:rPr>
        <w:t>除通用合同条款约定的不可抗力事件之外，视为不可抗力的其他情形：</w:t>
      </w:r>
      <w:r>
        <w:rPr>
          <w:rFonts w:hint="eastAsia" w:ascii="宋体" w:hAnsi="宋体" w:cs="宋体"/>
          <w:color w:val="auto"/>
          <w:sz w:val="24"/>
          <w:u w:val="single"/>
        </w:rPr>
        <w:t xml:space="preserve">  无   </w:t>
      </w:r>
      <w:r>
        <w:rPr>
          <w:rFonts w:hint="eastAsia" w:ascii="宋体" w:hAnsi="宋体" w:cs="宋体"/>
          <w:color w:val="auto"/>
          <w:sz w:val="24"/>
        </w:rPr>
        <w:t>。</w:t>
      </w:r>
    </w:p>
    <w:p w14:paraId="3D321653">
      <w:pPr>
        <w:spacing w:line="440" w:lineRule="exact"/>
        <w:ind w:firstLine="480" w:firstLineChars="200"/>
        <w:rPr>
          <w:rFonts w:ascii="宋体" w:hAnsi="宋体" w:cs="宋体"/>
          <w:color w:val="auto"/>
          <w:sz w:val="24"/>
        </w:rPr>
      </w:pPr>
      <w:bookmarkStart w:id="230" w:name="_Toc448911951"/>
      <w:bookmarkStart w:id="231" w:name="_Toc22019"/>
      <w:r>
        <w:rPr>
          <w:rFonts w:hint="eastAsia" w:ascii="宋体" w:hAnsi="宋体" w:cs="宋体"/>
          <w:color w:val="auto"/>
          <w:sz w:val="24"/>
        </w:rPr>
        <w:t>17.2 因不可抗力解除合同</w:t>
      </w:r>
      <w:bookmarkEnd w:id="230"/>
      <w:bookmarkEnd w:id="231"/>
    </w:p>
    <w:p w14:paraId="59884BED">
      <w:pPr>
        <w:spacing w:line="440" w:lineRule="exact"/>
        <w:ind w:firstLine="480" w:firstLineChars="200"/>
        <w:rPr>
          <w:rFonts w:ascii="宋体" w:hAnsi="宋体" w:cs="宋体"/>
          <w:color w:val="auto"/>
          <w:sz w:val="24"/>
        </w:rPr>
      </w:pPr>
      <w:r>
        <w:rPr>
          <w:rFonts w:hint="eastAsia" w:ascii="宋体" w:hAnsi="宋体" w:cs="宋体"/>
          <w:color w:val="auto"/>
          <w:sz w:val="24"/>
        </w:rPr>
        <w:t>合同解除后，发包人应在商定或确定发包人应支付款项后 20 日内完成款项的支付。</w:t>
      </w:r>
    </w:p>
    <w:p w14:paraId="2189ACD3">
      <w:pPr>
        <w:spacing w:line="440" w:lineRule="exact"/>
        <w:ind w:firstLine="482" w:firstLineChars="200"/>
        <w:rPr>
          <w:rFonts w:ascii="宋体" w:hAnsi="宋体" w:cs="宋体"/>
          <w:b/>
          <w:bCs/>
          <w:color w:val="auto"/>
          <w:sz w:val="24"/>
        </w:rPr>
      </w:pPr>
      <w:bookmarkStart w:id="232" w:name="_Toc20134"/>
      <w:bookmarkStart w:id="233" w:name="_Toc351203650"/>
      <w:bookmarkStart w:id="234" w:name="_Toc19507"/>
      <w:bookmarkStart w:id="235" w:name="_Toc8834"/>
      <w:bookmarkStart w:id="236" w:name="_Toc448911952"/>
      <w:bookmarkStart w:id="237" w:name="_Toc21715"/>
      <w:bookmarkStart w:id="238" w:name="_Toc11009"/>
      <w:bookmarkStart w:id="239" w:name="_Toc11324"/>
      <w:bookmarkStart w:id="240" w:name="_Toc24915"/>
      <w:bookmarkStart w:id="241" w:name="_Toc32442"/>
      <w:bookmarkStart w:id="242" w:name="_Toc19850"/>
      <w:bookmarkStart w:id="243" w:name="_Toc2258"/>
      <w:r>
        <w:rPr>
          <w:rFonts w:hint="eastAsia" w:ascii="宋体" w:hAnsi="宋体" w:cs="宋体"/>
          <w:b/>
          <w:bCs/>
          <w:color w:val="auto"/>
          <w:sz w:val="24"/>
        </w:rPr>
        <w:t>18.保险</w:t>
      </w:r>
      <w:bookmarkEnd w:id="232"/>
      <w:bookmarkEnd w:id="233"/>
      <w:bookmarkEnd w:id="234"/>
      <w:bookmarkEnd w:id="235"/>
      <w:bookmarkEnd w:id="236"/>
      <w:bookmarkEnd w:id="237"/>
      <w:bookmarkEnd w:id="238"/>
      <w:bookmarkEnd w:id="239"/>
      <w:bookmarkEnd w:id="240"/>
      <w:bookmarkEnd w:id="241"/>
      <w:bookmarkEnd w:id="242"/>
      <w:bookmarkEnd w:id="243"/>
    </w:p>
    <w:p w14:paraId="4C3DA840">
      <w:pPr>
        <w:spacing w:line="440" w:lineRule="exact"/>
        <w:ind w:firstLine="480" w:firstLineChars="200"/>
        <w:rPr>
          <w:rFonts w:ascii="宋体" w:hAnsi="宋体" w:cs="宋体"/>
          <w:color w:val="auto"/>
          <w:sz w:val="24"/>
        </w:rPr>
      </w:pPr>
      <w:bookmarkStart w:id="244" w:name="_Toc448911953"/>
      <w:bookmarkStart w:id="245" w:name="_Toc26906"/>
      <w:r>
        <w:rPr>
          <w:rFonts w:hint="eastAsia" w:ascii="宋体" w:hAnsi="宋体" w:cs="宋体"/>
          <w:color w:val="auto"/>
          <w:sz w:val="24"/>
        </w:rPr>
        <w:t>18.1 工程保险</w:t>
      </w:r>
      <w:bookmarkEnd w:id="244"/>
      <w:bookmarkEnd w:id="245"/>
    </w:p>
    <w:p w14:paraId="523CA91A">
      <w:pPr>
        <w:pStyle w:val="18"/>
        <w:widowControl/>
        <w:spacing w:line="440" w:lineRule="exact"/>
        <w:ind w:firstLine="420"/>
        <w:jc w:val="left"/>
        <w:rPr>
          <w:rFonts w:ascii="宋体" w:hAnsi="宋体" w:cs="宋体"/>
          <w:color w:val="auto"/>
        </w:rPr>
      </w:pPr>
      <w:r>
        <w:rPr>
          <w:rFonts w:hint="eastAsia" w:ascii="宋体" w:hAnsi="宋体" w:cs="宋体"/>
          <w:color w:val="auto"/>
        </w:rPr>
        <w:t>关于工程保险的特别约定：</w:t>
      </w:r>
      <w:r>
        <w:rPr>
          <w:rFonts w:hint="eastAsia" w:ascii="宋体" w:hAnsi="宋体" w:cs="宋体"/>
          <w:color w:val="auto"/>
          <w:u w:val="single"/>
        </w:rPr>
        <w:t>由承包人自行承担</w:t>
      </w:r>
      <w:r>
        <w:rPr>
          <w:rFonts w:hint="eastAsia" w:ascii="宋体" w:hAnsi="宋体" w:cs="宋体"/>
          <w:color w:val="auto"/>
        </w:rPr>
        <w:t>。</w:t>
      </w:r>
    </w:p>
    <w:p w14:paraId="4561FB26">
      <w:pPr>
        <w:spacing w:line="440" w:lineRule="exact"/>
        <w:ind w:firstLine="480" w:firstLineChars="200"/>
        <w:rPr>
          <w:rFonts w:ascii="宋体" w:hAnsi="宋体" w:cs="宋体"/>
          <w:color w:val="auto"/>
          <w:sz w:val="24"/>
        </w:rPr>
      </w:pPr>
      <w:bookmarkStart w:id="246" w:name="_Toc448911954"/>
      <w:bookmarkStart w:id="247" w:name="_Toc6313"/>
      <w:r>
        <w:rPr>
          <w:rFonts w:hint="eastAsia" w:ascii="宋体" w:hAnsi="宋体" w:cs="宋体"/>
          <w:color w:val="auto"/>
          <w:sz w:val="24"/>
        </w:rPr>
        <w:t>18.</w:t>
      </w:r>
      <w:r>
        <w:rPr>
          <w:rFonts w:ascii="宋体" w:hAnsi="宋体" w:cs="宋体"/>
          <w:color w:val="auto"/>
          <w:sz w:val="24"/>
        </w:rPr>
        <w:t>2</w:t>
      </w:r>
      <w:r>
        <w:rPr>
          <w:rFonts w:hint="eastAsia" w:ascii="宋体" w:hAnsi="宋体" w:cs="宋体"/>
          <w:color w:val="auto"/>
          <w:sz w:val="24"/>
        </w:rPr>
        <w:t xml:space="preserve"> 其他保险</w:t>
      </w:r>
      <w:bookmarkEnd w:id="246"/>
      <w:bookmarkEnd w:id="247"/>
    </w:p>
    <w:p w14:paraId="7B049E9E">
      <w:pPr>
        <w:spacing w:line="440" w:lineRule="exact"/>
        <w:ind w:firstLine="480" w:firstLineChars="200"/>
        <w:rPr>
          <w:rFonts w:ascii="宋体" w:hAnsi="宋体" w:cs="宋体"/>
          <w:color w:val="auto"/>
          <w:sz w:val="24"/>
        </w:rPr>
      </w:pPr>
      <w:r>
        <w:rPr>
          <w:rFonts w:hint="eastAsia" w:ascii="宋体" w:hAnsi="宋体" w:cs="宋体"/>
          <w:color w:val="auto"/>
          <w:sz w:val="24"/>
        </w:rPr>
        <w:t>关于其他保险的约定：</w:t>
      </w:r>
      <w:r>
        <w:rPr>
          <w:rFonts w:hint="eastAsia" w:ascii="宋体" w:hAnsi="宋体" w:cs="宋体"/>
          <w:color w:val="auto"/>
          <w:sz w:val="24"/>
          <w:u w:val="single"/>
        </w:rPr>
        <w:t>承包人须根据相关规定办理意外伤害保险，费用自行承担。</w:t>
      </w:r>
    </w:p>
    <w:p w14:paraId="5F8AA068">
      <w:pPr>
        <w:spacing w:line="440" w:lineRule="exact"/>
        <w:ind w:firstLine="480" w:firstLineChars="200"/>
        <w:rPr>
          <w:rFonts w:ascii="宋体" w:hAnsi="宋体" w:cs="宋体"/>
          <w:color w:val="auto"/>
          <w:sz w:val="24"/>
        </w:rPr>
      </w:pPr>
      <w:bookmarkStart w:id="248" w:name="_Toc10529"/>
      <w:bookmarkStart w:id="249" w:name="_Toc448911955"/>
      <w:r>
        <w:rPr>
          <w:rFonts w:hint="eastAsia" w:ascii="宋体" w:hAnsi="宋体" w:cs="宋体"/>
          <w:color w:val="auto"/>
          <w:sz w:val="24"/>
        </w:rPr>
        <w:t>18.</w:t>
      </w:r>
      <w:r>
        <w:rPr>
          <w:rFonts w:ascii="宋体" w:hAnsi="宋体" w:cs="宋体"/>
          <w:color w:val="auto"/>
          <w:sz w:val="24"/>
        </w:rPr>
        <w:t>3</w:t>
      </w:r>
      <w:r>
        <w:rPr>
          <w:rFonts w:hint="eastAsia" w:ascii="宋体" w:hAnsi="宋体" w:cs="宋体"/>
          <w:color w:val="auto"/>
          <w:sz w:val="24"/>
        </w:rPr>
        <w:t xml:space="preserve"> 通知义务</w:t>
      </w:r>
      <w:bookmarkEnd w:id="248"/>
      <w:bookmarkEnd w:id="249"/>
    </w:p>
    <w:p w14:paraId="15B602C9">
      <w:pPr>
        <w:spacing w:line="440" w:lineRule="exact"/>
        <w:ind w:firstLine="480" w:firstLineChars="200"/>
        <w:rPr>
          <w:rFonts w:ascii="宋体" w:hAnsi="宋体" w:cs="宋体"/>
          <w:color w:val="auto"/>
          <w:sz w:val="24"/>
        </w:rPr>
      </w:pPr>
      <w:r>
        <w:rPr>
          <w:rFonts w:hint="eastAsia" w:ascii="宋体" w:hAnsi="宋体" w:cs="宋体"/>
          <w:color w:val="auto"/>
          <w:sz w:val="24"/>
        </w:rPr>
        <w:t>关于变更保险合同时的通知义务的约定：</w:t>
      </w:r>
      <w:r>
        <w:rPr>
          <w:rFonts w:hint="eastAsia" w:ascii="宋体" w:hAnsi="宋体" w:cs="宋体"/>
          <w:color w:val="auto"/>
          <w:sz w:val="24"/>
          <w:u w:val="single"/>
        </w:rPr>
        <w:t>无</w:t>
      </w:r>
      <w:r>
        <w:rPr>
          <w:rFonts w:hint="eastAsia" w:ascii="宋体" w:hAnsi="宋体" w:cs="宋体"/>
          <w:color w:val="auto"/>
          <w:sz w:val="24"/>
        </w:rPr>
        <w:t>。</w:t>
      </w:r>
    </w:p>
    <w:p w14:paraId="178E9A96">
      <w:pPr>
        <w:spacing w:line="440" w:lineRule="exact"/>
        <w:ind w:firstLine="482" w:firstLineChars="200"/>
        <w:rPr>
          <w:rFonts w:ascii="宋体" w:hAnsi="宋体" w:cs="宋体"/>
          <w:b/>
          <w:bCs/>
          <w:color w:val="auto"/>
          <w:sz w:val="24"/>
        </w:rPr>
      </w:pPr>
      <w:bookmarkStart w:id="250" w:name="_Toc17532"/>
      <w:bookmarkStart w:id="251" w:name="_Toc351203651"/>
      <w:bookmarkStart w:id="252" w:name="_Toc20302"/>
      <w:bookmarkStart w:id="253" w:name="_Toc28101"/>
      <w:bookmarkStart w:id="254" w:name="_Toc2363"/>
      <w:bookmarkStart w:id="255" w:name="_Toc31964"/>
      <w:bookmarkStart w:id="256" w:name="_Toc13274"/>
      <w:bookmarkStart w:id="257" w:name="_Toc27678"/>
      <w:bookmarkStart w:id="258" w:name="_Toc11200"/>
      <w:bookmarkStart w:id="259" w:name="_Toc2681"/>
      <w:bookmarkStart w:id="260" w:name="_Toc448911956"/>
      <w:bookmarkStart w:id="261" w:name="_Toc13536"/>
      <w:r>
        <w:rPr>
          <w:rFonts w:ascii="宋体" w:hAnsi="宋体" w:cs="宋体"/>
          <w:b/>
          <w:bCs/>
          <w:color w:val="auto"/>
          <w:sz w:val="24"/>
        </w:rPr>
        <w:t>19</w:t>
      </w:r>
      <w:r>
        <w:rPr>
          <w:rFonts w:hint="eastAsia" w:ascii="宋体" w:hAnsi="宋体" w:cs="宋体"/>
          <w:b/>
          <w:bCs/>
          <w:color w:val="auto"/>
          <w:sz w:val="24"/>
        </w:rPr>
        <w:t>.争议解决</w:t>
      </w:r>
      <w:bookmarkEnd w:id="250"/>
      <w:bookmarkEnd w:id="251"/>
      <w:bookmarkEnd w:id="252"/>
      <w:bookmarkEnd w:id="253"/>
      <w:bookmarkEnd w:id="254"/>
      <w:bookmarkEnd w:id="255"/>
      <w:bookmarkEnd w:id="256"/>
      <w:bookmarkEnd w:id="257"/>
      <w:bookmarkEnd w:id="258"/>
      <w:bookmarkEnd w:id="259"/>
      <w:bookmarkEnd w:id="260"/>
      <w:bookmarkEnd w:id="261"/>
    </w:p>
    <w:p w14:paraId="3E169944">
      <w:pPr>
        <w:spacing w:line="440" w:lineRule="exact"/>
        <w:ind w:firstLine="480" w:firstLineChars="200"/>
        <w:rPr>
          <w:rFonts w:ascii="宋体" w:hAnsi="宋体" w:cs="宋体"/>
          <w:color w:val="auto"/>
          <w:sz w:val="24"/>
        </w:rPr>
      </w:pPr>
      <w:bookmarkStart w:id="262" w:name="_Toc448911957"/>
      <w:bookmarkStart w:id="263" w:name="_Toc19863"/>
      <w:r>
        <w:rPr>
          <w:rFonts w:ascii="宋体" w:hAnsi="宋体" w:cs="宋体"/>
          <w:color w:val="auto"/>
          <w:sz w:val="24"/>
        </w:rPr>
        <w:t>19</w:t>
      </w:r>
      <w:r>
        <w:rPr>
          <w:rFonts w:hint="eastAsia" w:ascii="宋体" w:hAnsi="宋体" w:cs="宋体"/>
          <w:color w:val="auto"/>
          <w:sz w:val="24"/>
        </w:rPr>
        <w:t>.</w:t>
      </w:r>
      <w:r>
        <w:rPr>
          <w:rFonts w:ascii="宋体" w:hAnsi="宋体" w:cs="宋体"/>
          <w:color w:val="auto"/>
          <w:sz w:val="24"/>
        </w:rPr>
        <w:t>1</w:t>
      </w:r>
      <w:r>
        <w:rPr>
          <w:rFonts w:hint="eastAsia" w:ascii="宋体" w:hAnsi="宋体" w:cs="宋体"/>
          <w:color w:val="auto"/>
          <w:sz w:val="24"/>
        </w:rPr>
        <w:t xml:space="preserve"> 争议评审</w:t>
      </w:r>
      <w:bookmarkEnd w:id="262"/>
      <w:bookmarkEnd w:id="263"/>
    </w:p>
    <w:p w14:paraId="6165547F">
      <w:pPr>
        <w:spacing w:line="440" w:lineRule="exact"/>
        <w:ind w:firstLine="480" w:firstLineChars="200"/>
        <w:rPr>
          <w:rFonts w:ascii="宋体" w:hAnsi="宋体" w:cs="宋体"/>
          <w:color w:val="auto"/>
          <w:sz w:val="24"/>
        </w:rPr>
      </w:pPr>
      <w:r>
        <w:rPr>
          <w:rFonts w:hint="eastAsia" w:ascii="宋体" w:hAnsi="宋体" w:cs="宋体"/>
          <w:color w:val="auto"/>
          <w:sz w:val="24"/>
        </w:rPr>
        <w:t>合同当事人是否同意将工程争议提交争议评审小组决定：</w:t>
      </w:r>
      <w:r>
        <w:rPr>
          <w:rFonts w:hint="eastAsia" w:ascii="宋体" w:hAnsi="宋体" w:cs="宋体"/>
          <w:color w:val="auto"/>
          <w:sz w:val="24"/>
          <w:u w:val="single"/>
        </w:rPr>
        <w:t>不同意</w:t>
      </w:r>
      <w:r>
        <w:rPr>
          <w:rFonts w:hint="eastAsia" w:ascii="宋体" w:hAnsi="宋体" w:cs="宋体"/>
          <w:color w:val="auto"/>
          <w:sz w:val="24"/>
        </w:rPr>
        <w:t>。</w:t>
      </w:r>
    </w:p>
    <w:p w14:paraId="424B24A7">
      <w:pPr>
        <w:spacing w:line="440" w:lineRule="exact"/>
        <w:ind w:firstLine="480" w:firstLineChars="200"/>
        <w:rPr>
          <w:rFonts w:ascii="宋体" w:hAnsi="宋体" w:cs="宋体"/>
          <w:color w:val="auto"/>
          <w:sz w:val="24"/>
        </w:rPr>
      </w:pPr>
      <w:r>
        <w:rPr>
          <w:rFonts w:ascii="宋体" w:hAnsi="宋体" w:cs="宋体"/>
          <w:color w:val="auto"/>
          <w:sz w:val="24"/>
        </w:rPr>
        <w:t>19</w:t>
      </w:r>
      <w:r>
        <w:rPr>
          <w:rFonts w:hint="eastAsia" w:ascii="宋体" w:hAnsi="宋体" w:cs="宋体"/>
          <w:color w:val="auto"/>
          <w:sz w:val="24"/>
        </w:rPr>
        <w:t>.</w:t>
      </w:r>
      <w:r>
        <w:rPr>
          <w:rFonts w:ascii="宋体" w:hAnsi="宋体" w:cs="宋体"/>
          <w:color w:val="auto"/>
          <w:sz w:val="24"/>
        </w:rPr>
        <w:t>1</w:t>
      </w:r>
      <w:r>
        <w:rPr>
          <w:rFonts w:hint="eastAsia" w:ascii="宋体" w:hAnsi="宋体" w:cs="宋体"/>
          <w:color w:val="auto"/>
          <w:sz w:val="24"/>
        </w:rPr>
        <w:t>.1 争议评审小组的确定</w:t>
      </w:r>
    </w:p>
    <w:p w14:paraId="1144D5B6">
      <w:pPr>
        <w:spacing w:line="440" w:lineRule="exact"/>
        <w:ind w:firstLine="480" w:firstLineChars="200"/>
        <w:rPr>
          <w:rFonts w:ascii="宋体" w:hAnsi="宋体" w:cs="宋体"/>
          <w:color w:val="auto"/>
          <w:sz w:val="24"/>
        </w:rPr>
      </w:pPr>
      <w:r>
        <w:rPr>
          <w:rFonts w:hint="eastAsia" w:ascii="宋体" w:hAnsi="宋体" w:cs="宋体"/>
          <w:color w:val="auto"/>
          <w:sz w:val="24"/>
        </w:rPr>
        <w:t>争议评审小组成员的确定：</w:t>
      </w:r>
      <w:r>
        <w:rPr>
          <w:rFonts w:hint="eastAsia" w:ascii="宋体" w:hAnsi="宋体" w:cs="宋体"/>
          <w:color w:val="auto"/>
          <w:sz w:val="24"/>
          <w:u w:val="single"/>
        </w:rPr>
        <w:t xml:space="preserve">     /     </w:t>
      </w:r>
      <w:r>
        <w:rPr>
          <w:rFonts w:hint="eastAsia" w:ascii="宋体" w:hAnsi="宋体" w:cs="宋体"/>
          <w:color w:val="auto"/>
          <w:sz w:val="24"/>
        </w:rPr>
        <w:t>。</w:t>
      </w:r>
    </w:p>
    <w:p w14:paraId="1A480432">
      <w:pPr>
        <w:spacing w:line="440" w:lineRule="exact"/>
        <w:ind w:firstLine="480" w:firstLineChars="200"/>
        <w:rPr>
          <w:rFonts w:ascii="宋体" w:hAnsi="宋体" w:cs="宋体"/>
          <w:color w:val="auto"/>
          <w:sz w:val="24"/>
        </w:rPr>
      </w:pPr>
      <w:r>
        <w:rPr>
          <w:rFonts w:hint="eastAsia" w:ascii="宋体" w:hAnsi="宋体" w:cs="宋体"/>
          <w:color w:val="auto"/>
          <w:sz w:val="24"/>
        </w:rPr>
        <w:t>选定争议评审员的期限：</w:t>
      </w:r>
      <w:r>
        <w:rPr>
          <w:rFonts w:hint="eastAsia" w:ascii="宋体" w:hAnsi="宋体" w:cs="宋体"/>
          <w:color w:val="auto"/>
          <w:sz w:val="24"/>
          <w:u w:val="single"/>
        </w:rPr>
        <w:t xml:space="preserve">   /    </w:t>
      </w:r>
      <w:r>
        <w:rPr>
          <w:rFonts w:hint="eastAsia" w:ascii="宋体" w:hAnsi="宋体" w:cs="宋体"/>
          <w:color w:val="auto"/>
          <w:sz w:val="24"/>
        </w:rPr>
        <w:t>。</w:t>
      </w:r>
    </w:p>
    <w:p w14:paraId="2994C016">
      <w:pPr>
        <w:spacing w:line="440" w:lineRule="exact"/>
        <w:ind w:firstLine="480" w:firstLineChars="200"/>
        <w:rPr>
          <w:rFonts w:ascii="宋体" w:hAnsi="宋体" w:cs="宋体"/>
          <w:color w:val="auto"/>
          <w:sz w:val="24"/>
        </w:rPr>
      </w:pPr>
      <w:r>
        <w:rPr>
          <w:rFonts w:hint="eastAsia" w:ascii="宋体" w:hAnsi="宋体" w:cs="宋体"/>
          <w:color w:val="auto"/>
          <w:sz w:val="24"/>
        </w:rPr>
        <w:t>争议评审小组成员的报酬承担方式：</w:t>
      </w:r>
      <w:r>
        <w:rPr>
          <w:rFonts w:hint="eastAsia" w:ascii="宋体" w:hAnsi="宋体" w:cs="宋体"/>
          <w:color w:val="auto"/>
          <w:sz w:val="24"/>
          <w:u w:val="single"/>
        </w:rPr>
        <w:t xml:space="preserve">   /  </w:t>
      </w:r>
      <w:r>
        <w:rPr>
          <w:rFonts w:hint="eastAsia" w:ascii="宋体" w:hAnsi="宋体" w:cs="宋体"/>
          <w:color w:val="auto"/>
          <w:sz w:val="24"/>
        </w:rPr>
        <w:t>。</w:t>
      </w:r>
    </w:p>
    <w:p w14:paraId="491B5187">
      <w:pPr>
        <w:spacing w:line="440" w:lineRule="exact"/>
        <w:ind w:firstLine="480" w:firstLineChars="200"/>
        <w:rPr>
          <w:rFonts w:ascii="宋体" w:hAnsi="宋体" w:cs="宋体"/>
          <w:color w:val="auto"/>
          <w:sz w:val="24"/>
        </w:rPr>
      </w:pPr>
      <w:r>
        <w:rPr>
          <w:rFonts w:hint="eastAsia" w:ascii="宋体" w:hAnsi="宋体" w:cs="宋体"/>
          <w:color w:val="auto"/>
          <w:sz w:val="24"/>
        </w:rPr>
        <w:t>其他事项的约定：</w:t>
      </w:r>
      <w:r>
        <w:rPr>
          <w:rFonts w:hint="eastAsia" w:ascii="宋体" w:hAnsi="宋体" w:cs="宋体"/>
          <w:color w:val="auto"/>
          <w:sz w:val="24"/>
          <w:u w:val="single"/>
        </w:rPr>
        <w:t xml:space="preserve">   /  </w:t>
      </w:r>
      <w:r>
        <w:rPr>
          <w:rFonts w:hint="eastAsia" w:ascii="宋体" w:hAnsi="宋体" w:cs="宋体"/>
          <w:color w:val="auto"/>
          <w:sz w:val="24"/>
        </w:rPr>
        <w:t>。</w:t>
      </w:r>
    </w:p>
    <w:p w14:paraId="75B2D9F8">
      <w:pPr>
        <w:spacing w:line="440" w:lineRule="exact"/>
        <w:ind w:firstLine="480" w:firstLineChars="200"/>
        <w:rPr>
          <w:rFonts w:ascii="宋体" w:hAnsi="宋体" w:cs="宋体"/>
          <w:color w:val="auto"/>
          <w:sz w:val="24"/>
        </w:rPr>
      </w:pPr>
      <w:r>
        <w:rPr>
          <w:rFonts w:ascii="宋体" w:hAnsi="宋体" w:cs="宋体"/>
          <w:color w:val="auto"/>
          <w:sz w:val="24"/>
        </w:rPr>
        <w:t>19</w:t>
      </w:r>
      <w:r>
        <w:rPr>
          <w:rFonts w:hint="eastAsia" w:ascii="宋体" w:hAnsi="宋体" w:cs="宋体"/>
          <w:color w:val="auto"/>
          <w:sz w:val="24"/>
        </w:rPr>
        <w:t>.</w:t>
      </w:r>
      <w:r>
        <w:rPr>
          <w:rFonts w:ascii="宋体" w:hAnsi="宋体" w:cs="宋体"/>
          <w:color w:val="auto"/>
          <w:sz w:val="24"/>
        </w:rPr>
        <w:t>1</w:t>
      </w:r>
      <w:r>
        <w:rPr>
          <w:rFonts w:hint="eastAsia" w:ascii="宋体" w:hAnsi="宋体" w:cs="宋体"/>
          <w:color w:val="auto"/>
          <w:sz w:val="24"/>
        </w:rPr>
        <w:t>.2 争议评审小组的决定</w:t>
      </w:r>
    </w:p>
    <w:p w14:paraId="1F645C12">
      <w:pPr>
        <w:spacing w:line="440" w:lineRule="exact"/>
        <w:ind w:firstLine="480" w:firstLineChars="200"/>
        <w:rPr>
          <w:rFonts w:ascii="宋体" w:hAnsi="宋体" w:cs="宋体"/>
          <w:color w:val="auto"/>
          <w:sz w:val="24"/>
        </w:rPr>
      </w:pPr>
      <w:r>
        <w:rPr>
          <w:rFonts w:hint="eastAsia" w:ascii="宋体" w:hAnsi="宋体" w:cs="宋体"/>
          <w:color w:val="auto"/>
          <w:sz w:val="24"/>
        </w:rPr>
        <w:t>合同当事人关于本事项的约定：</w:t>
      </w:r>
      <w:r>
        <w:rPr>
          <w:rFonts w:hint="eastAsia" w:ascii="宋体" w:hAnsi="宋体" w:cs="宋体"/>
          <w:color w:val="auto"/>
          <w:sz w:val="24"/>
          <w:u w:val="single"/>
        </w:rPr>
        <w:t xml:space="preserve">  / </w:t>
      </w:r>
      <w:r>
        <w:rPr>
          <w:rFonts w:hint="eastAsia" w:ascii="宋体" w:hAnsi="宋体" w:cs="宋体"/>
          <w:color w:val="auto"/>
          <w:sz w:val="24"/>
        </w:rPr>
        <w:t>。</w:t>
      </w:r>
    </w:p>
    <w:p w14:paraId="280F56AD">
      <w:pPr>
        <w:spacing w:line="440" w:lineRule="exact"/>
        <w:ind w:firstLine="480" w:firstLineChars="200"/>
        <w:rPr>
          <w:rFonts w:ascii="宋体" w:hAnsi="宋体" w:cs="宋体"/>
          <w:color w:val="auto"/>
          <w:sz w:val="24"/>
        </w:rPr>
      </w:pPr>
      <w:bookmarkStart w:id="264" w:name="_Toc448911958"/>
      <w:bookmarkStart w:id="265" w:name="_Toc7283"/>
      <w:r>
        <w:rPr>
          <w:rFonts w:ascii="宋体" w:hAnsi="宋体" w:cs="宋体"/>
          <w:color w:val="auto"/>
          <w:sz w:val="24"/>
        </w:rPr>
        <w:t>19</w:t>
      </w:r>
      <w:r>
        <w:rPr>
          <w:rFonts w:hint="eastAsia" w:ascii="宋体" w:hAnsi="宋体" w:cs="宋体"/>
          <w:color w:val="auto"/>
          <w:sz w:val="24"/>
        </w:rPr>
        <w:t>.</w:t>
      </w:r>
      <w:r>
        <w:rPr>
          <w:rFonts w:ascii="宋体" w:hAnsi="宋体" w:cs="宋体"/>
          <w:color w:val="auto"/>
          <w:sz w:val="24"/>
        </w:rPr>
        <w:t>2</w:t>
      </w:r>
      <w:r>
        <w:rPr>
          <w:rFonts w:hint="eastAsia" w:ascii="宋体" w:hAnsi="宋体" w:cs="宋体"/>
          <w:color w:val="auto"/>
          <w:sz w:val="24"/>
        </w:rPr>
        <w:t>仲裁或诉讼</w:t>
      </w:r>
      <w:bookmarkEnd w:id="264"/>
      <w:bookmarkEnd w:id="265"/>
    </w:p>
    <w:p w14:paraId="3A2C3023">
      <w:pPr>
        <w:spacing w:line="440" w:lineRule="exact"/>
        <w:ind w:firstLine="480" w:firstLineChars="200"/>
        <w:rPr>
          <w:rFonts w:ascii="宋体" w:hAnsi="宋体" w:cs="宋体"/>
          <w:color w:val="auto"/>
          <w:sz w:val="24"/>
        </w:rPr>
      </w:pPr>
      <w:r>
        <w:rPr>
          <w:rFonts w:hint="eastAsia" w:ascii="宋体" w:hAnsi="宋体" w:cs="宋体"/>
          <w:color w:val="auto"/>
          <w:sz w:val="24"/>
        </w:rPr>
        <w:t>因合同及合同有关事项发生的争议，按下列第</w:t>
      </w:r>
      <w:r>
        <w:rPr>
          <w:rFonts w:hint="eastAsia" w:ascii="宋体" w:hAnsi="宋体" w:cs="宋体"/>
          <w:color w:val="auto"/>
          <w:sz w:val="24"/>
          <w:u w:val="single"/>
        </w:rPr>
        <w:t xml:space="preserve">  2  </w:t>
      </w:r>
      <w:r>
        <w:rPr>
          <w:rFonts w:hint="eastAsia" w:ascii="宋体" w:hAnsi="宋体" w:cs="宋体"/>
          <w:color w:val="auto"/>
          <w:sz w:val="24"/>
        </w:rPr>
        <w:t>种方式解决：</w:t>
      </w:r>
    </w:p>
    <w:p w14:paraId="43E7C6FA">
      <w:pPr>
        <w:spacing w:line="440" w:lineRule="exact"/>
        <w:ind w:firstLine="480" w:firstLineChars="200"/>
        <w:rPr>
          <w:rFonts w:ascii="宋体" w:hAnsi="宋体" w:cs="宋体"/>
          <w:color w:val="auto"/>
          <w:sz w:val="24"/>
        </w:rPr>
      </w:pPr>
      <w:r>
        <w:rPr>
          <w:rFonts w:hint="eastAsia" w:ascii="宋体" w:hAnsi="宋体" w:cs="宋体"/>
          <w:color w:val="auto"/>
          <w:sz w:val="24"/>
        </w:rPr>
        <w:t>（1）向仲裁委员会申请仲裁；</w:t>
      </w:r>
    </w:p>
    <w:p w14:paraId="1107F618">
      <w:pPr>
        <w:spacing w:line="440" w:lineRule="exact"/>
        <w:ind w:firstLine="480" w:firstLineChars="200"/>
        <w:rPr>
          <w:rFonts w:ascii="宋体" w:hAnsi="宋体" w:cs="宋体"/>
          <w:color w:val="auto"/>
          <w:sz w:val="24"/>
        </w:rPr>
      </w:pPr>
      <w:r>
        <w:rPr>
          <w:rFonts w:hint="eastAsia" w:ascii="宋体" w:hAnsi="宋体" w:cs="宋体"/>
          <w:color w:val="auto"/>
          <w:sz w:val="24"/>
        </w:rPr>
        <w:t>（2）向</w:t>
      </w:r>
      <w:r>
        <w:rPr>
          <w:rFonts w:hint="eastAsia" w:ascii="宋体" w:hAnsi="宋体" w:cs="宋体"/>
          <w:color w:val="auto"/>
          <w:sz w:val="24"/>
          <w:u w:val="single"/>
        </w:rPr>
        <w:t>工程所在地</w:t>
      </w:r>
      <w:r>
        <w:rPr>
          <w:rFonts w:hint="eastAsia" w:ascii="宋体" w:hAnsi="宋体" w:cs="宋体"/>
          <w:color w:val="auto"/>
          <w:sz w:val="24"/>
        </w:rPr>
        <w:t>人民法院起诉。</w:t>
      </w:r>
    </w:p>
    <w:p w14:paraId="71B24A08">
      <w:pPr>
        <w:spacing w:line="440" w:lineRule="exact"/>
        <w:ind w:firstLine="480" w:firstLineChars="200"/>
        <w:rPr>
          <w:rFonts w:ascii="宋体" w:hAnsi="宋体" w:cs="宋体"/>
          <w:color w:val="auto"/>
          <w:sz w:val="24"/>
        </w:rPr>
      </w:pPr>
    </w:p>
    <w:p w14:paraId="2ACA040D">
      <w:pPr>
        <w:widowControl/>
        <w:ind w:firstLine="482" w:firstLineChars="200"/>
        <w:jc w:val="left"/>
        <w:rPr>
          <w:rFonts w:ascii="宋体" w:hAnsi="宋体" w:cs="宋体"/>
          <w:b/>
          <w:bCs/>
          <w:color w:val="auto"/>
          <w:szCs w:val="21"/>
        </w:rPr>
      </w:pPr>
      <w:bookmarkStart w:id="266" w:name="_Toc351203652"/>
      <w:r>
        <w:rPr>
          <w:rFonts w:hint="eastAsia" w:ascii="宋体" w:hAnsi="宋体" w:cs="宋体"/>
          <w:b/>
          <w:bCs/>
          <w:color w:val="auto"/>
          <w:sz w:val="24"/>
        </w:rPr>
        <w:t>附件</w:t>
      </w:r>
      <w:bookmarkEnd w:id="266"/>
    </w:p>
    <w:p w14:paraId="06653828">
      <w:pPr>
        <w:ind w:firstLine="480" w:firstLineChars="200"/>
        <w:rPr>
          <w:rFonts w:hint="eastAsia" w:ascii="宋体" w:hAnsi="宋体" w:eastAsia="宋体" w:cs="宋体"/>
          <w:sz w:val="24"/>
          <w:szCs w:val="24"/>
        </w:rPr>
      </w:pPr>
      <w:r>
        <w:rPr>
          <w:rFonts w:hint="eastAsia" w:ascii="宋体" w:hAnsi="宋体" w:eastAsia="宋体" w:cs="宋体"/>
          <w:sz w:val="24"/>
          <w:szCs w:val="24"/>
        </w:rPr>
        <w:t>附件1：工程质量保修书</w:t>
      </w:r>
    </w:p>
    <w:p w14:paraId="4DA95F26">
      <w:pPr>
        <w:ind w:firstLine="480" w:firstLineChars="200"/>
        <w:rPr>
          <w:rFonts w:hint="eastAsia" w:ascii="宋体" w:hAnsi="宋体" w:eastAsia="宋体" w:cs="宋体"/>
          <w:sz w:val="24"/>
          <w:szCs w:val="24"/>
        </w:rPr>
      </w:pPr>
      <w:r>
        <w:rPr>
          <w:rFonts w:hint="eastAsia" w:ascii="宋体" w:hAnsi="宋体" w:eastAsia="宋体" w:cs="宋体"/>
          <w:sz w:val="24"/>
          <w:szCs w:val="24"/>
        </w:rPr>
        <w:t>附件2：承包人主要施工管理人员表</w:t>
      </w:r>
    </w:p>
    <w:p w14:paraId="5BB91D74">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附件3：农民工工资支付</w:t>
      </w:r>
      <w:r>
        <w:rPr>
          <w:rFonts w:hint="eastAsia" w:ascii="宋体" w:hAnsi="宋体" w:cs="宋体"/>
          <w:color w:val="auto"/>
          <w:sz w:val="24"/>
          <w:szCs w:val="24"/>
          <w:highlight w:val="none"/>
          <w:lang w:val="en-US" w:eastAsia="zh-CN"/>
        </w:rPr>
        <w:t>和审核</w:t>
      </w:r>
      <w:r>
        <w:rPr>
          <w:rFonts w:hint="eastAsia" w:ascii="宋体" w:hAnsi="宋体" w:eastAsia="宋体" w:cs="宋体"/>
          <w:sz w:val="24"/>
          <w:szCs w:val="24"/>
          <w:lang w:val="en-US" w:eastAsia="zh-CN"/>
        </w:rPr>
        <w:t>承诺书</w:t>
      </w:r>
    </w:p>
    <w:p w14:paraId="6E1F0AA1">
      <w:pPr>
        <w:ind w:firstLine="480" w:firstLineChars="200"/>
        <w:rPr>
          <w:rFonts w:hint="eastAsia" w:ascii="宋体" w:hAnsi="宋体" w:eastAsia="宋体" w:cs="宋体"/>
          <w:sz w:val="24"/>
          <w:szCs w:val="24"/>
        </w:rPr>
        <w:sectPr>
          <w:headerReference r:id="rId8" w:type="first"/>
          <w:footerReference r:id="rId10" w:type="first"/>
          <w:headerReference r:id="rId6" w:type="default"/>
          <w:footerReference r:id="rId9" w:type="default"/>
          <w:headerReference r:id="rId7" w:type="even"/>
          <w:pgSz w:w="11906" w:h="16838"/>
          <w:pgMar w:top="1134" w:right="1247" w:bottom="1134" w:left="1134" w:header="851" w:footer="992" w:gutter="0"/>
          <w:pgNumType w:fmt="decimal" w:start="1"/>
          <w:cols w:space="720" w:num="1"/>
          <w:docGrid w:linePitch="286" w:charSpace="0"/>
        </w:sectPr>
      </w:pPr>
      <w:r>
        <w:rPr>
          <w:rFonts w:hint="eastAsia" w:ascii="宋体" w:hAnsi="宋体" w:eastAsia="宋体" w:cs="宋体"/>
          <w:sz w:val="24"/>
          <w:szCs w:val="24"/>
        </w:rPr>
        <w:t>附件</w:t>
      </w:r>
      <w:r>
        <w:rPr>
          <w:rFonts w:hint="eastAsia" w:ascii="宋体" w:hAnsi="宋体" w:eastAsia="宋体" w:cs="宋体"/>
          <w:sz w:val="24"/>
          <w:szCs w:val="24"/>
          <w:lang w:val="en-US" w:eastAsia="zh-CN"/>
        </w:rPr>
        <w:t>4</w:t>
      </w:r>
      <w:r>
        <w:rPr>
          <w:rFonts w:hint="eastAsia" w:ascii="宋体" w:hAnsi="宋体" w:eastAsia="宋体" w:cs="宋体"/>
          <w:sz w:val="24"/>
          <w:szCs w:val="24"/>
        </w:rPr>
        <w:t>：工程量清单</w:t>
      </w:r>
    </w:p>
    <w:p w14:paraId="68CADC3D">
      <w:pPr>
        <w:ind w:firstLine="640" w:firstLineChars="200"/>
        <w:rPr>
          <w:rFonts w:ascii="宋体" w:hAnsi="宋体" w:cs="宋体"/>
          <w:color w:val="auto"/>
          <w:szCs w:val="21"/>
        </w:rPr>
      </w:pPr>
      <w:r>
        <w:rPr>
          <w:rFonts w:hint="eastAsia" w:ascii="黑体" w:hAnsi="黑体" w:eastAsia="黑体" w:cs="黑体"/>
          <w:color w:val="auto"/>
          <w:sz w:val="32"/>
          <w:szCs w:val="32"/>
        </w:rPr>
        <w:t>附件1：</w:t>
      </w:r>
    </w:p>
    <w:p w14:paraId="1EDF2B0F">
      <w:pPr>
        <w:spacing w:before="120" w:beforeLines="50" w:after="120" w:afterLines="50" w:line="440" w:lineRule="exact"/>
        <w:jc w:val="center"/>
        <w:rPr>
          <w:rFonts w:ascii="宋体" w:hAnsi="宋体" w:cs="宋体"/>
          <w:b/>
          <w:bCs/>
          <w:color w:val="auto"/>
          <w:sz w:val="36"/>
          <w:szCs w:val="36"/>
        </w:rPr>
      </w:pPr>
      <w:r>
        <w:rPr>
          <w:rFonts w:hint="eastAsia" w:ascii="宋体" w:hAnsi="宋体" w:cs="宋体"/>
          <w:b/>
          <w:bCs/>
          <w:color w:val="auto"/>
          <w:sz w:val="36"/>
          <w:szCs w:val="36"/>
        </w:rPr>
        <w:t>工程质量保修书</w:t>
      </w:r>
    </w:p>
    <w:p w14:paraId="24817687">
      <w:pPr>
        <w:spacing w:line="440" w:lineRule="exact"/>
        <w:ind w:firstLine="420" w:firstLineChars="200"/>
        <w:rPr>
          <w:rFonts w:ascii="宋体" w:hAnsi="宋体" w:cs="宋体"/>
          <w:color w:val="auto"/>
          <w:szCs w:val="21"/>
        </w:rPr>
      </w:pPr>
      <w:r>
        <w:rPr>
          <w:rFonts w:hint="eastAsia" w:ascii="宋体" w:hAnsi="宋体" w:cs="宋体"/>
          <w:color w:val="auto"/>
          <w:szCs w:val="21"/>
        </w:rPr>
        <w:t>发包人（全称）：</w:t>
      </w:r>
      <w:r>
        <w:rPr>
          <w:rFonts w:hint="eastAsia" w:ascii="宋体" w:hAnsi="宋体" w:cs="宋体"/>
          <w:color w:val="auto"/>
          <w:szCs w:val="21"/>
          <w:u w:val="single"/>
        </w:rPr>
        <w:t>广西财经学院</w:t>
      </w:r>
    </w:p>
    <w:p w14:paraId="11BF578A">
      <w:pPr>
        <w:spacing w:line="440" w:lineRule="exact"/>
        <w:ind w:firstLine="420" w:firstLineChars="200"/>
        <w:rPr>
          <w:rFonts w:hint="default" w:ascii="宋体" w:hAnsi="宋体" w:eastAsia="宋体" w:cs="宋体"/>
          <w:color w:val="auto"/>
          <w:szCs w:val="21"/>
          <w:u w:val="single"/>
          <w:lang w:val="en-US" w:eastAsia="zh-CN"/>
        </w:rPr>
      </w:pPr>
      <w:r>
        <w:rPr>
          <w:rFonts w:hint="eastAsia" w:ascii="宋体" w:hAnsi="宋体" w:cs="宋体"/>
          <w:color w:val="auto"/>
          <w:szCs w:val="21"/>
        </w:rPr>
        <w:t>承包人（全称）：</w:t>
      </w:r>
      <w:r>
        <w:rPr>
          <w:rFonts w:hint="eastAsia" w:ascii="宋体" w:hAnsi="宋体" w:cs="宋体"/>
          <w:color w:val="auto"/>
          <w:szCs w:val="21"/>
          <w:u w:val="single"/>
          <w:lang w:val="en-US" w:eastAsia="zh-CN"/>
        </w:rPr>
        <w:t xml:space="preserve">              </w:t>
      </w:r>
    </w:p>
    <w:p w14:paraId="783A0557">
      <w:pPr>
        <w:spacing w:line="440" w:lineRule="exact"/>
        <w:ind w:firstLine="420" w:firstLineChars="200"/>
        <w:rPr>
          <w:rFonts w:ascii="宋体" w:hAnsi="宋体" w:cs="宋体"/>
          <w:color w:val="auto"/>
          <w:szCs w:val="21"/>
        </w:rPr>
      </w:pPr>
      <w:r>
        <w:rPr>
          <w:rFonts w:hint="eastAsia" w:ascii="宋体" w:hAnsi="宋体" w:cs="宋体"/>
          <w:color w:val="auto"/>
          <w:szCs w:val="21"/>
        </w:rPr>
        <w:t>发包人和承包人根据《中华人民共和国建筑法》和《建设工程质量管理条例》，经协商一致</w:t>
      </w:r>
      <w:r>
        <w:rPr>
          <w:rFonts w:hint="eastAsia" w:ascii="宋体" w:hAnsi="宋体" w:cs="宋体"/>
          <w:color w:val="auto"/>
          <w:szCs w:val="21"/>
          <w:highlight w:val="none"/>
        </w:rPr>
        <w:t>就</w:t>
      </w:r>
      <w:r>
        <w:rPr>
          <w:rFonts w:hint="eastAsia" w:ascii="宋体" w:hAnsi="宋体" w:cs="宋体"/>
          <w:color w:val="auto"/>
          <w:szCs w:val="21"/>
          <w:u w:val="single"/>
        </w:rPr>
        <w:t>2026年武鸣校区1-19#、2-16#、2-18#地块新建围挡工程施工项目</w:t>
      </w:r>
      <w:r>
        <w:rPr>
          <w:rFonts w:hint="eastAsia" w:ascii="宋体" w:hAnsi="宋体" w:cs="宋体"/>
          <w:color w:val="auto"/>
          <w:szCs w:val="21"/>
        </w:rPr>
        <w:t>签订工程质量保修书。</w:t>
      </w:r>
    </w:p>
    <w:p w14:paraId="07B77928">
      <w:pPr>
        <w:spacing w:line="440" w:lineRule="exact"/>
        <w:ind w:firstLine="420" w:firstLineChars="200"/>
        <w:rPr>
          <w:rFonts w:ascii="宋体" w:hAnsi="宋体" w:cs="宋体"/>
          <w:color w:val="auto"/>
          <w:szCs w:val="21"/>
        </w:rPr>
      </w:pPr>
      <w:r>
        <w:rPr>
          <w:rFonts w:hint="eastAsia" w:ascii="宋体" w:hAnsi="宋体" w:cs="宋体"/>
          <w:color w:val="auto"/>
          <w:szCs w:val="21"/>
        </w:rPr>
        <w:t>一、工程质量保修范围和内容</w:t>
      </w:r>
    </w:p>
    <w:p w14:paraId="23B3B177">
      <w:pPr>
        <w:spacing w:line="360" w:lineRule="auto"/>
        <w:ind w:firstLine="420" w:firstLineChars="200"/>
        <w:rPr>
          <w:rFonts w:ascii="宋体" w:hAnsi="宋体" w:cs="宋体"/>
          <w:color w:val="auto"/>
          <w:szCs w:val="21"/>
        </w:rPr>
      </w:pPr>
      <w:r>
        <w:rPr>
          <w:rFonts w:hint="eastAsia" w:ascii="宋体" w:hAnsi="宋体" w:cs="宋体"/>
          <w:color w:val="auto"/>
          <w:szCs w:val="21"/>
        </w:rPr>
        <w:t>承包人在质量保修期内，按照有关法律规定和合同约定，承担工程质量保修责任。</w:t>
      </w:r>
    </w:p>
    <w:p w14:paraId="19099AED">
      <w:pPr>
        <w:spacing w:line="360" w:lineRule="auto"/>
        <w:ind w:firstLine="420"/>
        <w:rPr>
          <w:rFonts w:ascii="宋体" w:hAnsi="宋体" w:cs="宋体"/>
          <w:color w:val="auto"/>
          <w:szCs w:val="21"/>
          <w:u w:val="single"/>
        </w:rPr>
      </w:pPr>
      <w:bookmarkStart w:id="267" w:name="tip_risk_bookmark_40"/>
      <w:r>
        <w:rPr>
          <w:rFonts w:hint="eastAsia" w:ascii="宋体" w:hAnsi="宋体" w:cs="宋体"/>
          <w:color w:val="auto"/>
          <w:szCs w:val="21"/>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rFonts w:hint="eastAsia" w:ascii="宋体" w:hAnsi="宋体" w:cs="宋体"/>
          <w:color w:val="auto"/>
          <w:szCs w:val="21"/>
          <w:u w:val="single"/>
        </w:rPr>
        <w:t xml:space="preserve">        /</w:t>
      </w:r>
      <w:bookmarkEnd w:id="267"/>
      <w:r>
        <w:rPr>
          <w:rFonts w:hint="eastAsia" w:ascii="宋体" w:hAnsi="宋体" w:cs="宋体"/>
          <w:color w:val="auto"/>
          <w:szCs w:val="21"/>
          <w:u w:val="single"/>
        </w:rPr>
        <w:t xml:space="preserve">      </w:t>
      </w:r>
    </w:p>
    <w:p w14:paraId="122B321E">
      <w:pPr>
        <w:spacing w:line="360" w:lineRule="auto"/>
        <w:ind w:firstLine="420"/>
        <w:rPr>
          <w:rFonts w:ascii="宋体" w:hAnsi="宋体" w:cs="宋体"/>
          <w:color w:val="auto"/>
          <w:szCs w:val="21"/>
        </w:rPr>
      </w:pPr>
      <w:r>
        <w:rPr>
          <w:rFonts w:hint="eastAsia" w:ascii="宋体" w:hAnsi="宋体" w:cs="宋体"/>
          <w:color w:val="auto"/>
          <w:szCs w:val="21"/>
        </w:rPr>
        <w:t>二、质量保修期</w:t>
      </w:r>
    </w:p>
    <w:p w14:paraId="00BA81B6">
      <w:pPr>
        <w:spacing w:line="360" w:lineRule="auto"/>
        <w:ind w:firstLine="420"/>
        <w:rPr>
          <w:rFonts w:ascii="宋体" w:hAnsi="宋体" w:cs="宋体"/>
          <w:color w:val="auto"/>
          <w:szCs w:val="21"/>
        </w:rPr>
      </w:pPr>
      <w:r>
        <w:rPr>
          <w:rFonts w:hint="eastAsia" w:ascii="宋体" w:hAnsi="宋体" w:cs="宋体"/>
          <w:color w:val="auto"/>
          <w:szCs w:val="21"/>
        </w:rPr>
        <w:t>根据《建设工程质量管理条例》及有关规定，工程的质量保修期如下：</w:t>
      </w:r>
    </w:p>
    <w:p w14:paraId="269F919E">
      <w:pPr>
        <w:spacing w:line="360" w:lineRule="auto"/>
        <w:ind w:firstLine="420"/>
        <w:rPr>
          <w:rFonts w:ascii="宋体" w:hAnsi="宋体" w:cs="宋体"/>
          <w:color w:val="auto"/>
          <w:szCs w:val="21"/>
        </w:rPr>
      </w:pPr>
      <w:r>
        <w:rPr>
          <w:rFonts w:hint="eastAsia" w:ascii="宋体" w:hAnsi="宋体" w:cs="宋体"/>
          <w:color w:val="auto"/>
          <w:szCs w:val="21"/>
        </w:rPr>
        <w:t>1．地基基础工程和主体结构工程为设计文件规定的工程合理使用年限；</w:t>
      </w:r>
    </w:p>
    <w:p w14:paraId="471B15C6">
      <w:pPr>
        <w:spacing w:line="360" w:lineRule="auto"/>
        <w:ind w:firstLine="420"/>
        <w:rPr>
          <w:rFonts w:ascii="宋体" w:hAnsi="宋体" w:cs="宋体"/>
          <w:color w:val="auto"/>
          <w:szCs w:val="21"/>
        </w:rPr>
      </w:pPr>
      <w:r>
        <w:rPr>
          <w:rFonts w:hint="eastAsia" w:ascii="宋体" w:hAnsi="宋体" w:cs="宋体"/>
          <w:color w:val="auto"/>
          <w:szCs w:val="21"/>
        </w:rPr>
        <w:t>2．屋面防水工程、有防水要求的卫生间、房间和外墙面的防渗漏为</w:t>
      </w:r>
      <w:r>
        <w:rPr>
          <w:rFonts w:hint="eastAsia" w:ascii="宋体" w:hAnsi="宋体" w:cs="宋体"/>
          <w:color w:val="auto"/>
          <w:szCs w:val="21"/>
          <w:u w:val="single"/>
        </w:rPr>
        <w:t>5</w:t>
      </w:r>
      <w:r>
        <w:rPr>
          <w:rFonts w:hint="eastAsia" w:ascii="宋体" w:hAnsi="宋体" w:cs="宋体"/>
          <w:color w:val="auto"/>
          <w:szCs w:val="21"/>
        </w:rPr>
        <w:t>年；</w:t>
      </w:r>
    </w:p>
    <w:p w14:paraId="4B0E34AF">
      <w:pPr>
        <w:spacing w:line="360" w:lineRule="auto"/>
        <w:ind w:firstLine="420"/>
        <w:rPr>
          <w:rFonts w:ascii="宋体" w:hAnsi="宋体" w:cs="宋体"/>
          <w:color w:val="auto"/>
          <w:szCs w:val="21"/>
        </w:rPr>
      </w:pPr>
      <w:r>
        <w:rPr>
          <w:rFonts w:hint="eastAsia" w:ascii="宋体" w:hAnsi="宋体" w:cs="宋体"/>
          <w:color w:val="auto"/>
          <w:szCs w:val="21"/>
        </w:rPr>
        <w:t>3．装修工程为</w:t>
      </w:r>
      <w:r>
        <w:rPr>
          <w:rFonts w:hint="eastAsia" w:ascii="宋体" w:hAnsi="宋体" w:cs="宋体"/>
          <w:color w:val="auto"/>
          <w:szCs w:val="21"/>
          <w:u w:val="single"/>
        </w:rPr>
        <w:t>2</w:t>
      </w:r>
      <w:r>
        <w:rPr>
          <w:rFonts w:hint="eastAsia" w:ascii="宋体" w:hAnsi="宋体" w:cs="宋体"/>
          <w:color w:val="auto"/>
          <w:szCs w:val="21"/>
        </w:rPr>
        <w:t>年；</w:t>
      </w:r>
    </w:p>
    <w:p w14:paraId="67033E3B">
      <w:pPr>
        <w:spacing w:line="360" w:lineRule="auto"/>
        <w:ind w:firstLine="420"/>
        <w:rPr>
          <w:rFonts w:ascii="宋体" w:hAnsi="宋体" w:cs="宋体"/>
          <w:color w:val="auto"/>
          <w:szCs w:val="21"/>
        </w:rPr>
      </w:pPr>
      <w:r>
        <w:rPr>
          <w:rFonts w:hint="eastAsia" w:ascii="宋体" w:hAnsi="宋体" w:cs="宋体"/>
          <w:color w:val="auto"/>
          <w:szCs w:val="21"/>
        </w:rPr>
        <w:t>4．电气管线、给排水管道、设备安装工程为</w:t>
      </w:r>
      <w:r>
        <w:rPr>
          <w:rFonts w:hint="eastAsia" w:ascii="宋体" w:hAnsi="宋体" w:cs="宋体"/>
          <w:color w:val="auto"/>
          <w:szCs w:val="21"/>
          <w:u w:val="single"/>
        </w:rPr>
        <w:t>2</w:t>
      </w:r>
      <w:r>
        <w:rPr>
          <w:rFonts w:hint="eastAsia" w:ascii="宋体" w:hAnsi="宋体" w:cs="宋体"/>
          <w:color w:val="auto"/>
          <w:szCs w:val="21"/>
        </w:rPr>
        <w:t>年；</w:t>
      </w:r>
    </w:p>
    <w:p w14:paraId="129803D6">
      <w:pPr>
        <w:spacing w:line="360" w:lineRule="auto"/>
        <w:ind w:firstLine="420"/>
        <w:rPr>
          <w:rFonts w:ascii="宋体" w:hAnsi="宋体" w:cs="宋体"/>
          <w:color w:val="auto"/>
          <w:szCs w:val="21"/>
        </w:rPr>
      </w:pPr>
      <w:r>
        <w:rPr>
          <w:rFonts w:hint="eastAsia" w:ascii="宋体" w:hAnsi="宋体" w:cs="宋体"/>
          <w:color w:val="auto"/>
          <w:szCs w:val="21"/>
        </w:rPr>
        <w:t>5．供热与供冷系统为</w:t>
      </w:r>
      <w:r>
        <w:rPr>
          <w:rFonts w:hint="eastAsia" w:ascii="宋体" w:hAnsi="宋体" w:cs="宋体"/>
          <w:color w:val="auto"/>
          <w:szCs w:val="21"/>
          <w:u w:val="single"/>
        </w:rPr>
        <w:t>2</w:t>
      </w:r>
      <w:r>
        <w:rPr>
          <w:rFonts w:hint="eastAsia" w:ascii="宋体" w:hAnsi="宋体" w:cs="宋体"/>
          <w:color w:val="auto"/>
          <w:szCs w:val="21"/>
        </w:rPr>
        <w:t>个采暖期、供冷期；</w:t>
      </w:r>
    </w:p>
    <w:p w14:paraId="71460838">
      <w:pPr>
        <w:spacing w:line="360" w:lineRule="auto"/>
        <w:ind w:firstLine="420"/>
        <w:rPr>
          <w:rFonts w:ascii="宋体" w:hAnsi="宋体" w:cs="宋体"/>
          <w:color w:val="auto"/>
          <w:szCs w:val="21"/>
        </w:rPr>
      </w:pPr>
      <w:r>
        <w:rPr>
          <w:rFonts w:hint="eastAsia" w:ascii="宋体" w:hAnsi="宋体" w:cs="宋体"/>
          <w:color w:val="auto"/>
          <w:szCs w:val="21"/>
        </w:rPr>
        <w:t>6．住宅小区内的给排水设施、道路等配套工程为</w:t>
      </w:r>
      <w:r>
        <w:rPr>
          <w:rFonts w:hint="eastAsia" w:ascii="宋体" w:hAnsi="宋体" w:cs="宋体"/>
          <w:color w:val="auto"/>
          <w:szCs w:val="21"/>
          <w:u w:val="single"/>
        </w:rPr>
        <w:t>2</w:t>
      </w:r>
      <w:r>
        <w:rPr>
          <w:rFonts w:hint="eastAsia" w:ascii="宋体" w:hAnsi="宋体" w:cs="宋体"/>
          <w:color w:val="auto"/>
          <w:szCs w:val="21"/>
        </w:rPr>
        <w:t>年；</w:t>
      </w:r>
    </w:p>
    <w:p w14:paraId="0BC67B53">
      <w:pPr>
        <w:spacing w:line="360" w:lineRule="auto"/>
        <w:ind w:firstLine="420"/>
        <w:rPr>
          <w:rFonts w:ascii="宋体" w:hAnsi="宋体" w:cs="宋体"/>
          <w:color w:val="auto"/>
          <w:szCs w:val="21"/>
        </w:rPr>
      </w:pPr>
      <w:r>
        <w:rPr>
          <w:rFonts w:hint="eastAsia" w:ascii="宋体" w:hAnsi="宋体" w:cs="宋体"/>
          <w:color w:val="auto"/>
          <w:szCs w:val="21"/>
        </w:rPr>
        <w:t>7．其他项目保修期限约定如下：</w:t>
      </w:r>
      <w:r>
        <w:rPr>
          <w:rFonts w:hint="eastAsia" w:ascii="宋体" w:hAnsi="宋体" w:cs="宋体"/>
          <w:color w:val="auto"/>
          <w:szCs w:val="21"/>
          <w:u w:val="single"/>
        </w:rPr>
        <w:t>/</w:t>
      </w:r>
      <w:r>
        <w:rPr>
          <w:rFonts w:hint="eastAsia" w:ascii="宋体" w:hAnsi="宋体" w:cs="宋体"/>
          <w:color w:val="auto"/>
          <w:szCs w:val="21"/>
        </w:rPr>
        <w:t>。</w:t>
      </w:r>
    </w:p>
    <w:p w14:paraId="5339DA2E">
      <w:pPr>
        <w:spacing w:line="360" w:lineRule="auto"/>
        <w:ind w:firstLine="420"/>
        <w:rPr>
          <w:rFonts w:ascii="宋体" w:hAnsi="宋体" w:cs="宋体"/>
          <w:color w:val="auto"/>
          <w:szCs w:val="21"/>
        </w:rPr>
      </w:pPr>
      <w:r>
        <w:rPr>
          <w:rFonts w:hint="eastAsia" w:ascii="宋体" w:hAnsi="宋体" w:cs="宋体"/>
          <w:color w:val="auto"/>
          <w:szCs w:val="21"/>
        </w:rPr>
        <w:t>质量保修期自工程竣工验收合格之日起计算。</w:t>
      </w:r>
    </w:p>
    <w:p w14:paraId="442C777C">
      <w:pPr>
        <w:spacing w:line="360" w:lineRule="auto"/>
        <w:ind w:firstLine="420"/>
        <w:rPr>
          <w:rFonts w:ascii="宋体" w:hAnsi="宋体" w:cs="宋体"/>
          <w:color w:val="auto"/>
          <w:szCs w:val="21"/>
        </w:rPr>
      </w:pPr>
      <w:r>
        <w:rPr>
          <w:rFonts w:hint="eastAsia" w:ascii="宋体" w:hAnsi="宋体" w:cs="宋体"/>
          <w:color w:val="auto"/>
          <w:szCs w:val="21"/>
        </w:rPr>
        <w:t>三、缺陷责任期</w:t>
      </w:r>
    </w:p>
    <w:p w14:paraId="754B9F1B">
      <w:pPr>
        <w:spacing w:line="360" w:lineRule="auto"/>
        <w:ind w:firstLine="420"/>
        <w:rPr>
          <w:rFonts w:ascii="宋体" w:hAnsi="宋体" w:cs="宋体"/>
          <w:color w:val="auto"/>
          <w:szCs w:val="21"/>
        </w:rPr>
      </w:pPr>
      <w:r>
        <w:rPr>
          <w:rFonts w:hint="eastAsia" w:ascii="宋体" w:hAnsi="宋体" w:cs="宋体"/>
          <w:color w:val="auto"/>
          <w:szCs w:val="21"/>
        </w:rPr>
        <w:t>工程缺陷责任期为</w:t>
      </w:r>
      <w:r>
        <w:rPr>
          <w:rFonts w:hint="eastAsia" w:ascii="宋体" w:hAnsi="宋体" w:cs="宋体"/>
          <w:color w:val="auto"/>
          <w:szCs w:val="21"/>
          <w:u w:val="single"/>
        </w:rPr>
        <w:t>24</w:t>
      </w:r>
      <w:r>
        <w:rPr>
          <w:rFonts w:hint="eastAsia" w:ascii="宋体" w:hAnsi="宋体" w:cs="宋体"/>
          <w:color w:val="auto"/>
          <w:szCs w:val="21"/>
        </w:rPr>
        <w:t>个月（最长不超过24个月），缺陷责任期自工程竣工验收合格之日起计算。单位工程先于全部工程进行验收，单位工程缺陷责任期自单位工程验收合格之日起算。</w:t>
      </w:r>
    </w:p>
    <w:p w14:paraId="1014E6FE">
      <w:pPr>
        <w:spacing w:line="360" w:lineRule="auto"/>
        <w:ind w:firstLine="420"/>
        <w:rPr>
          <w:rFonts w:ascii="宋体" w:hAnsi="宋体" w:cs="宋体"/>
          <w:color w:val="auto"/>
          <w:szCs w:val="21"/>
        </w:rPr>
      </w:pPr>
      <w:r>
        <w:rPr>
          <w:rFonts w:hint="eastAsia" w:ascii="宋体" w:hAnsi="宋体" w:cs="宋体"/>
          <w:color w:val="auto"/>
          <w:szCs w:val="21"/>
        </w:rPr>
        <w:t>缺陷责任期满之日起7个工作日内一次性无息退还保证金给承包人。</w:t>
      </w:r>
    </w:p>
    <w:p w14:paraId="1E3A7FC3">
      <w:pPr>
        <w:spacing w:line="360" w:lineRule="auto"/>
        <w:ind w:firstLine="420"/>
        <w:rPr>
          <w:rFonts w:ascii="宋体" w:hAnsi="宋体" w:cs="宋体"/>
          <w:color w:val="auto"/>
          <w:szCs w:val="21"/>
        </w:rPr>
      </w:pPr>
      <w:r>
        <w:rPr>
          <w:rFonts w:hint="eastAsia" w:ascii="宋体" w:hAnsi="宋体" w:cs="宋体"/>
          <w:color w:val="auto"/>
          <w:szCs w:val="21"/>
        </w:rPr>
        <w:t>四、质量保修责任</w:t>
      </w:r>
    </w:p>
    <w:p w14:paraId="4FC64742">
      <w:pPr>
        <w:spacing w:line="360" w:lineRule="auto"/>
        <w:ind w:left="105" w:leftChars="50" w:firstLine="430" w:firstLineChars="205"/>
        <w:rPr>
          <w:rFonts w:ascii="宋体" w:hAnsi="宋体" w:cs="宋体"/>
          <w:color w:val="auto"/>
          <w:szCs w:val="21"/>
        </w:rPr>
      </w:pPr>
      <w:r>
        <w:rPr>
          <w:rFonts w:hint="eastAsia" w:ascii="宋体" w:hAnsi="宋体" w:cs="宋体"/>
          <w:color w:val="auto"/>
          <w:szCs w:val="21"/>
        </w:rPr>
        <w:t>1．</w:t>
      </w:r>
      <w:bookmarkStart w:id="268" w:name="auto_fouce_41"/>
      <w:r>
        <w:rPr>
          <w:rFonts w:hint="eastAsia" w:ascii="宋体" w:hAnsi="宋体" w:cs="宋体"/>
          <w:color w:val="auto"/>
          <w:szCs w:val="21"/>
        </w:rPr>
        <w:t>属于保修范围、内容的项目，承包人应当在接到保修通知之日起</w:t>
      </w:r>
      <w:r>
        <w:rPr>
          <w:rFonts w:hint="eastAsia" w:ascii="宋体" w:hAnsi="宋体" w:cs="宋体"/>
          <w:color w:val="auto"/>
          <w:szCs w:val="21"/>
          <w:u w:val="single"/>
        </w:rPr>
        <w:t>1</w:t>
      </w:r>
      <w:r>
        <w:rPr>
          <w:rFonts w:hint="eastAsia" w:ascii="宋体" w:hAnsi="宋体" w:cs="宋体"/>
          <w:color w:val="auto"/>
          <w:szCs w:val="21"/>
        </w:rPr>
        <w:t>天内派人保修。承包人不在约定期限内派人保修的，发包人可以委托他人修理，修理费用从质量保证金内扣除，质量保证金不足以覆盖修理费用及相关损失的，甲方有权就不足部分向承包人追偿。</w:t>
      </w:r>
      <w:bookmarkEnd w:id="268"/>
    </w:p>
    <w:p w14:paraId="0F83C5DE">
      <w:pPr>
        <w:spacing w:line="360" w:lineRule="auto"/>
        <w:ind w:firstLine="420"/>
        <w:rPr>
          <w:rFonts w:ascii="宋体" w:hAnsi="宋体" w:cs="宋体"/>
          <w:color w:val="auto"/>
          <w:szCs w:val="21"/>
        </w:rPr>
      </w:pPr>
      <w:r>
        <w:rPr>
          <w:rFonts w:hint="eastAsia" w:ascii="宋体" w:hAnsi="宋体" w:cs="宋体"/>
          <w:color w:val="auto"/>
          <w:szCs w:val="21"/>
        </w:rPr>
        <w:t>2．发生紧急事故需抢修的，承包人在接到事故通知后，应当立即到达事故现场抢修。</w:t>
      </w:r>
    </w:p>
    <w:p w14:paraId="0CF4BAAA">
      <w:pPr>
        <w:spacing w:line="360" w:lineRule="auto"/>
        <w:ind w:firstLine="420"/>
        <w:rPr>
          <w:rFonts w:ascii="宋体" w:hAnsi="宋体" w:cs="宋体"/>
          <w:color w:val="auto"/>
          <w:szCs w:val="21"/>
        </w:rPr>
      </w:pPr>
      <w:r>
        <w:rPr>
          <w:rFonts w:hint="eastAsia" w:ascii="宋体" w:hAnsi="宋体" w:cs="宋体"/>
          <w:color w:val="auto"/>
          <w:szCs w:val="21"/>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1F383C8F">
      <w:pPr>
        <w:spacing w:line="360" w:lineRule="auto"/>
        <w:ind w:firstLine="420"/>
        <w:rPr>
          <w:rFonts w:ascii="宋体" w:hAnsi="宋体" w:cs="宋体"/>
          <w:color w:val="auto"/>
          <w:szCs w:val="21"/>
        </w:rPr>
      </w:pPr>
      <w:r>
        <w:rPr>
          <w:rFonts w:hint="eastAsia" w:ascii="宋体" w:hAnsi="宋体" w:cs="宋体"/>
          <w:color w:val="auto"/>
          <w:szCs w:val="21"/>
        </w:rPr>
        <w:t>4．质量保修完成后，由发包人组织验收。</w:t>
      </w:r>
    </w:p>
    <w:p w14:paraId="5A3494C2">
      <w:pPr>
        <w:spacing w:line="360" w:lineRule="auto"/>
        <w:ind w:firstLine="420"/>
        <w:rPr>
          <w:rFonts w:ascii="宋体" w:hAnsi="宋体" w:cs="宋体"/>
          <w:color w:val="auto"/>
          <w:szCs w:val="21"/>
        </w:rPr>
      </w:pPr>
      <w:r>
        <w:rPr>
          <w:rFonts w:hint="eastAsia" w:ascii="宋体" w:hAnsi="宋体" w:cs="宋体"/>
          <w:color w:val="auto"/>
          <w:szCs w:val="21"/>
        </w:rPr>
        <w:t>五、保修费用</w:t>
      </w:r>
    </w:p>
    <w:p w14:paraId="57D563FD">
      <w:pPr>
        <w:tabs>
          <w:tab w:val="left" w:pos="7380"/>
        </w:tabs>
        <w:spacing w:line="360" w:lineRule="auto"/>
        <w:ind w:firstLine="420"/>
        <w:rPr>
          <w:rFonts w:ascii="宋体" w:hAnsi="宋体" w:cs="宋体"/>
          <w:color w:val="auto"/>
          <w:szCs w:val="21"/>
        </w:rPr>
      </w:pPr>
      <w:r>
        <w:rPr>
          <w:rFonts w:hint="eastAsia" w:ascii="宋体" w:hAnsi="宋体" w:cs="宋体"/>
          <w:color w:val="auto"/>
          <w:szCs w:val="21"/>
        </w:rPr>
        <w:t>保修费用由造成质量缺陷的责任方承担。</w:t>
      </w:r>
    </w:p>
    <w:p w14:paraId="01C7CC4F">
      <w:pPr>
        <w:spacing w:line="360" w:lineRule="auto"/>
        <w:ind w:firstLine="420"/>
        <w:rPr>
          <w:rFonts w:ascii="宋体" w:hAnsi="宋体" w:cs="宋体"/>
          <w:color w:val="auto"/>
          <w:szCs w:val="21"/>
        </w:rPr>
      </w:pPr>
      <w:r>
        <w:rPr>
          <w:rFonts w:hint="eastAsia" w:ascii="宋体" w:hAnsi="宋体" w:cs="宋体"/>
          <w:color w:val="auto"/>
          <w:szCs w:val="21"/>
        </w:rPr>
        <w:t>六、双方约定的其他工程质量保修事项：</w:t>
      </w:r>
      <w:r>
        <w:rPr>
          <w:rFonts w:hint="eastAsia" w:ascii="宋体" w:hAnsi="宋体" w:cs="宋体"/>
          <w:color w:val="auto"/>
          <w:szCs w:val="21"/>
          <w:u w:val="single"/>
        </w:rPr>
        <w:t>无</w:t>
      </w:r>
      <w:r>
        <w:rPr>
          <w:rFonts w:hint="eastAsia" w:ascii="宋体" w:hAnsi="宋体" w:cs="宋体"/>
          <w:color w:val="auto"/>
          <w:szCs w:val="21"/>
        </w:rPr>
        <w:t>。</w:t>
      </w:r>
    </w:p>
    <w:p w14:paraId="1479D92C">
      <w:pPr>
        <w:spacing w:line="360" w:lineRule="auto"/>
        <w:ind w:firstLine="399" w:firstLineChars="190"/>
        <w:rPr>
          <w:rFonts w:ascii="宋体" w:hAnsi="宋体" w:cs="宋体"/>
          <w:color w:val="auto"/>
          <w:szCs w:val="21"/>
        </w:rPr>
      </w:pPr>
      <w:r>
        <w:rPr>
          <w:rFonts w:hint="eastAsia" w:ascii="宋体" w:hAnsi="宋体" w:cs="宋体"/>
          <w:color w:val="auto"/>
          <w:szCs w:val="21"/>
        </w:rPr>
        <w:t>工程质量保修书由发包人、承包人在工程竣工验收前共同签署，作为施工合同附件，其有效期限至保修期满。</w:t>
      </w:r>
    </w:p>
    <w:tbl>
      <w:tblPr>
        <w:tblStyle w:val="11"/>
        <w:tblW w:w="9741" w:type="dxa"/>
        <w:jc w:val="center"/>
        <w:tblLayout w:type="autofit"/>
        <w:tblCellMar>
          <w:top w:w="0" w:type="dxa"/>
          <w:left w:w="108" w:type="dxa"/>
          <w:bottom w:w="0" w:type="dxa"/>
          <w:right w:w="108" w:type="dxa"/>
        </w:tblCellMar>
      </w:tblPr>
      <w:tblGrid>
        <w:gridCol w:w="4537"/>
        <w:gridCol w:w="5204"/>
      </w:tblGrid>
      <w:tr w14:paraId="3108352F">
        <w:tblPrEx>
          <w:tblCellMar>
            <w:top w:w="0" w:type="dxa"/>
            <w:left w:w="108" w:type="dxa"/>
            <w:bottom w:w="0" w:type="dxa"/>
            <w:right w:w="108" w:type="dxa"/>
          </w:tblCellMar>
        </w:tblPrEx>
        <w:trPr>
          <w:jc w:val="center"/>
        </w:trPr>
        <w:tc>
          <w:tcPr>
            <w:tcW w:w="4537" w:type="dxa"/>
          </w:tcPr>
          <w:p w14:paraId="15BEE749">
            <w:pPr>
              <w:snapToGrid w:val="0"/>
              <w:spacing w:line="360" w:lineRule="auto"/>
              <w:rPr>
                <w:rFonts w:ascii="宋体" w:hAnsi="宋体" w:cs="宋体"/>
                <w:color w:val="auto"/>
                <w:szCs w:val="21"/>
              </w:rPr>
            </w:pPr>
            <w:r>
              <w:rPr>
                <w:rFonts w:hint="eastAsia" w:ascii="宋体" w:hAnsi="宋体" w:cs="宋体"/>
                <w:color w:val="auto"/>
                <w:szCs w:val="21"/>
              </w:rPr>
              <w:t>发包人（公章）：广西财经学院</w:t>
            </w:r>
          </w:p>
        </w:tc>
        <w:tc>
          <w:tcPr>
            <w:tcW w:w="5204" w:type="dxa"/>
          </w:tcPr>
          <w:p w14:paraId="525F0A33">
            <w:pPr>
              <w:spacing w:line="360" w:lineRule="auto"/>
              <w:rPr>
                <w:rFonts w:hint="eastAsia" w:ascii="宋体" w:hAnsi="宋体" w:eastAsia="宋体" w:cs="宋体"/>
                <w:color w:val="auto"/>
                <w:szCs w:val="21"/>
                <w:highlight w:val="yellow"/>
                <w:lang w:eastAsia="zh-CN"/>
              </w:rPr>
            </w:pPr>
            <w:r>
              <w:rPr>
                <w:rFonts w:ascii="宋体" w:hAnsi="宋体" w:cs="宋体"/>
                <w:color w:val="auto"/>
                <w:highlight w:val="yellow"/>
              </w:rPr>
              <w:t>承包人（公章）：</w:t>
            </w:r>
            <w:r>
              <w:rPr>
                <w:rFonts w:hint="eastAsia" w:ascii="宋体" w:hAnsi="宋体" w:cs="宋体"/>
                <w:color w:val="auto"/>
                <w:highlight w:val="yellow"/>
                <w:lang w:val="en-US" w:eastAsia="zh-CN"/>
              </w:rPr>
              <w:t xml:space="preserve"> </w:t>
            </w:r>
          </w:p>
        </w:tc>
      </w:tr>
      <w:tr w14:paraId="7EC9F3C2">
        <w:tblPrEx>
          <w:tblCellMar>
            <w:top w:w="0" w:type="dxa"/>
            <w:left w:w="108" w:type="dxa"/>
            <w:bottom w:w="0" w:type="dxa"/>
            <w:right w:w="108" w:type="dxa"/>
          </w:tblCellMar>
        </w:tblPrEx>
        <w:trPr>
          <w:jc w:val="center"/>
        </w:trPr>
        <w:tc>
          <w:tcPr>
            <w:tcW w:w="4537" w:type="dxa"/>
          </w:tcPr>
          <w:p w14:paraId="10796FA3">
            <w:pPr>
              <w:snapToGrid w:val="0"/>
              <w:spacing w:line="360" w:lineRule="auto"/>
              <w:rPr>
                <w:rFonts w:ascii="宋体" w:hAnsi="宋体" w:cs="宋体"/>
                <w:color w:val="auto"/>
                <w:szCs w:val="21"/>
              </w:rPr>
            </w:pPr>
            <w:r>
              <w:rPr>
                <w:rFonts w:hint="eastAsia" w:ascii="宋体" w:hAnsi="宋体" w:cs="宋体"/>
                <w:color w:val="auto"/>
                <w:szCs w:val="21"/>
              </w:rPr>
              <w:t>地  址：广西南宁市西乡塘区明秀西路100号</w:t>
            </w:r>
          </w:p>
        </w:tc>
        <w:tc>
          <w:tcPr>
            <w:tcW w:w="5204" w:type="dxa"/>
          </w:tcPr>
          <w:p w14:paraId="0F19276F">
            <w:pPr>
              <w:spacing w:line="360" w:lineRule="auto"/>
              <w:ind w:left="630" w:hanging="630" w:hangingChars="300"/>
              <w:rPr>
                <w:rFonts w:hint="eastAsia" w:ascii="宋体" w:hAnsi="宋体" w:eastAsia="宋体" w:cs="宋体"/>
                <w:color w:val="auto"/>
                <w:szCs w:val="21"/>
                <w:highlight w:val="yellow"/>
                <w:lang w:eastAsia="zh-CN"/>
              </w:rPr>
            </w:pPr>
            <w:r>
              <w:rPr>
                <w:rFonts w:ascii="宋体" w:hAnsi="宋体" w:cs="宋体"/>
                <w:color w:val="auto"/>
                <w:highlight w:val="yellow"/>
              </w:rPr>
              <w:t>地 址：</w:t>
            </w:r>
            <w:r>
              <w:rPr>
                <w:rFonts w:hint="eastAsia" w:ascii="宋体" w:hAnsi="宋体" w:cs="宋体"/>
                <w:color w:val="auto"/>
                <w:highlight w:val="yellow"/>
                <w:lang w:val="en-US" w:eastAsia="zh-CN"/>
              </w:rPr>
              <w:t xml:space="preserve"> </w:t>
            </w:r>
          </w:p>
        </w:tc>
      </w:tr>
      <w:tr w14:paraId="51E699C7">
        <w:tblPrEx>
          <w:tblCellMar>
            <w:top w:w="0" w:type="dxa"/>
            <w:left w:w="108" w:type="dxa"/>
            <w:bottom w:w="0" w:type="dxa"/>
            <w:right w:w="108" w:type="dxa"/>
          </w:tblCellMar>
        </w:tblPrEx>
        <w:trPr>
          <w:jc w:val="center"/>
        </w:trPr>
        <w:tc>
          <w:tcPr>
            <w:tcW w:w="4537" w:type="dxa"/>
          </w:tcPr>
          <w:p w14:paraId="48C00C70">
            <w:pPr>
              <w:snapToGrid w:val="0"/>
              <w:spacing w:line="360" w:lineRule="auto"/>
              <w:rPr>
                <w:rFonts w:ascii="宋体" w:hAnsi="宋体" w:cs="宋体"/>
                <w:color w:val="auto"/>
                <w:szCs w:val="21"/>
              </w:rPr>
            </w:pPr>
            <w:bookmarkStart w:id="269" w:name="tip_risk_bookmark_42"/>
            <w:r>
              <w:rPr>
                <w:rFonts w:hint="eastAsia" w:ascii="宋体" w:hAnsi="宋体" w:cs="宋体"/>
                <w:color w:val="auto"/>
                <w:szCs w:val="21"/>
              </w:rPr>
              <w:t>法定代表人（签字）：</w:t>
            </w:r>
          </w:p>
        </w:tc>
        <w:tc>
          <w:tcPr>
            <w:tcW w:w="5204" w:type="dxa"/>
          </w:tcPr>
          <w:p w14:paraId="387BE57E">
            <w:pPr>
              <w:spacing w:line="360" w:lineRule="auto"/>
              <w:rPr>
                <w:rFonts w:ascii="宋体" w:hAnsi="宋体" w:cs="宋体"/>
                <w:color w:val="auto"/>
                <w:highlight w:val="yellow"/>
              </w:rPr>
            </w:pPr>
            <w:r>
              <w:rPr>
                <w:rFonts w:ascii="宋体" w:hAnsi="宋体" w:cs="宋体"/>
                <w:color w:val="auto"/>
                <w:highlight w:val="yellow"/>
              </w:rPr>
              <w:t>法定代表人（签字）：</w:t>
            </w:r>
          </w:p>
          <w:p w14:paraId="7D57A5A9">
            <w:pPr>
              <w:spacing w:line="360" w:lineRule="auto"/>
              <w:rPr>
                <w:rFonts w:ascii="宋体" w:hAnsi="宋体" w:cs="宋体"/>
                <w:color w:val="auto"/>
                <w:szCs w:val="21"/>
                <w:highlight w:val="yellow"/>
              </w:rPr>
            </w:pPr>
          </w:p>
        </w:tc>
      </w:tr>
      <w:tr w14:paraId="5E2DF4FD">
        <w:tblPrEx>
          <w:tblCellMar>
            <w:top w:w="0" w:type="dxa"/>
            <w:left w:w="108" w:type="dxa"/>
            <w:bottom w:w="0" w:type="dxa"/>
            <w:right w:w="108" w:type="dxa"/>
          </w:tblCellMar>
        </w:tblPrEx>
        <w:trPr>
          <w:jc w:val="center"/>
        </w:trPr>
        <w:tc>
          <w:tcPr>
            <w:tcW w:w="4537" w:type="dxa"/>
          </w:tcPr>
          <w:p w14:paraId="4080548A">
            <w:pPr>
              <w:snapToGrid w:val="0"/>
              <w:spacing w:line="360" w:lineRule="auto"/>
              <w:rPr>
                <w:rFonts w:ascii="宋体" w:hAnsi="宋体" w:cs="宋体"/>
                <w:color w:val="auto"/>
                <w:szCs w:val="21"/>
              </w:rPr>
            </w:pPr>
            <w:r>
              <w:rPr>
                <w:rFonts w:hint="eastAsia" w:ascii="宋体" w:hAnsi="宋体" w:cs="宋体"/>
                <w:color w:val="auto"/>
                <w:szCs w:val="21"/>
              </w:rPr>
              <w:t>委托代理人（签字）：</w:t>
            </w:r>
          </w:p>
        </w:tc>
        <w:tc>
          <w:tcPr>
            <w:tcW w:w="5204" w:type="dxa"/>
          </w:tcPr>
          <w:p w14:paraId="33A5F0A9">
            <w:pPr>
              <w:spacing w:line="360" w:lineRule="auto"/>
              <w:rPr>
                <w:rFonts w:ascii="宋体" w:hAnsi="宋体" w:cs="宋体"/>
                <w:color w:val="auto"/>
                <w:highlight w:val="yellow"/>
              </w:rPr>
            </w:pPr>
            <w:r>
              <w:rPr>
                <w:rFonts w:ascii="宋体" w:hAnsi="宋体" w:cs="宋体"/>
                <w:color w:val="auto"/>
                <w:highlight w:val="yellow"/>
              </w:rPr>
              <w:t>委托代理人（签字）：</w:t>
            </w:r>
          </w:p>
          <w:p w14:paraId="3282A011">
            <w:pPr>
              <w:spacing w:line="360" w:lineRule="auto"/>
              <w:rPr>
                <w:rFonts w:ascii="宋体" w:hAnsi="宋体" w:cs="宋体"/>
                <w:color w:val="auto"/>
                <w:szCs w:val="21"/>
                <w:highlight w:val="yellow"/>
              </w:rPr>
            </w:pPr>
          </w:p>
        </w:tc>
      </w:tr>
      <w:bookmarkEnd w:id="269"/>
      <w:tr w14:paraId="60801F63">
        <w:tblPrEx>
          <w:tblCellMar>
            <w:top w:w="0" w:type="dxa"/>
            <w:left w:w="108" w:type="dxa"/>
            <w:bottom w:w="0" w:type="dxa"/>
            <w:right w:w="108" w:type="dxa"/>
          </w:tblCellMar>
        </w:tblPrEx>
        <w:trPr>
          <w:jc w:val="center"/>
        </w:trPr>
        <w:tc>
          <w:tcPr>
            <w:tcW w:w="4537" w:type="dxa"/>
          </w:tcPr>
          <w:p w14:paraId="75D42210">
            <w:pPr>
              <w:snapToGrid w:val="0"/>
              <w:spacing w:line="360" w:lineRule="auto"/>
              <w:rPr>
                <w:rFonts w:ascii="宋体" w:hAnsi="宋体" w:cs="宋体"/>
                <w:color w:val="auto"/>
                <w:szCs w:val="21"/>
              </w:rPr>
            </w:pPr>
            <w:r>
              <w:rPr>
                <w:rFonts w:hint="eastAsia" w:ascii="宋体" w:hAnsi="宋体" w:cs="宋体"/>
                <w:color w:val="auto"/>
                <w:szCs w:val="21"/>
              </w:rPr>
              <w:t>电  话：0771-3821062</w:t>
            </w:r>
          </w:p>
        </w:tc>
        <w:tc>
          <w:tcPr>
            <w:tcW w:w="5204" w:type="dxa"/>
          </w:tcPr>
          <w:p w14:paraId="2E0CEA54">
            <w:pPr>
              <w:spacing w:line="360" w:lineRule="auto"/>
              <w:rPr>
                <w:rFonts w:hint="eastAsia" w:ascii="宋体" w:hAnsi="宋体" w:eastAsia="宋体" w:cs="宋体"/>
                <w:color w:val="auto"/>
                <w:szCs w:val="21"/>
                <w:highlight w:val="yellow"/>
                <w:lang w:eastAsia="zh-CN"/>
              </w:rPr>
            </w:pPr>
            <w:r>
              <w:rPr>
                <w:rFonts w:ascii="宋体" w:hAnsi="宋体" w:cs="宋体"/>
                <w:color w:val="auto"/>
                <w:highlight w:val="yellow"/>
              </w:rPr>
              <w:t>电 话：</w:t>
            </w:r>
            <w:r>
              <w:rPr>
                <w:rFonts w:hint="eastAsia" w:ascii="宋体" w:hAnsi="宋体" w:cs="宋体"/>
                <w:color w:val="auto"/>
                <w:highlight w:val="yellow"/>
                <w:lang w:val="en-US" w:eastAsia="zh-CN"/>
              </w:rPr>
              <w:t xml:space="preserve"> </w:t>
            </w:r>
          </w:p>
        </w:tc>
      </w:tr>
      <w:tr w14:paraId="5A9E3467">
        <w:tblPrEx>
          <w:tblCellMar>
            <w:top w:w="0" w:type="dxa"/>
            <w:left w:w="108" w:type="dxa"/>
            <w:bottom w:w="0" w:type="dxa"/>
            <w:right w:w="108" w:type="dxa"/>
          </w:tblCellMar>
        </w:tblPrEx>
        <w:trPr>
          <w:jc w:val="center"/>
        </w:trPr>
        <w:tc>
          <w:tcPr>
            <w:tcW w:w="4537" w:type="dxa"/>
          </w:tcPr>
          <w:p w14:paraId="03C709C4">
            <w:pPr>
              <w:snapToGrid w:val="0"/>
              <w:spacing w:line="360" w:lineRule="auto"/>
              <w:rPr>
                <w:rFonts w:ascii="宋体" w:hAnsi="宋体" w:cs="宋体"/>
                <w:color w:val="auto"/>
                <w:szCs w:val="21"/>
              </w:rPr>
            </w:pPr>
            <w:r>
              <w:rPr>
                <w:rFonts w:hint="eastAsia" w:ascii="宋体" w:hAnsi="宋体" w:cs="宋体"/>
                <w:color w:val="auto"/>
                <w:szCs w:val="21"/>
              </w:rPr>
              <w:t>传  真：/</w:t>
            </w:r>
          </w:p>
        </w:tc>
        <w:tc>
          <w:tcPr>
            <w:tcW w:w="5204" w:type="dxa"/>
          </w:tcPr>
          <w:p w14:paraId="716D1874">
            <w:pPr>
              <w:spacing w:line="360" w:lineRule="auto"/>
              <w:rPr>
                <w:rFonts w:hint="eastAsia" w:ascii="宋体" w:hAnsi="宋体" w:eastAsia="宋体" w:cs="宋体"/>
                <w:color w:val="auto"/>
                <w:szCs w:val="21"/>
                <w:highlight w:val="yellow"/>
                <w:lang w:eastAsia="zh-CN"/>
              </w:rPr>
            </w:pPr>
            <w:r>
              <w:rPr>
                <w:rFonts w:ascii="宋体" w:hAnsi="宋体" w:cs="宋体"/>
                <w:color w:val="auto"/>
                <w:highlight w:val="yellow"/>
              </w:rPr>
              <w:t>传 真：</w:t>
            </w:r>
            <w:r>
              <w:rPr>
                <w:rFonts w:hint="eastAsia" w:ascii="宋体" w:hAnsi="宋体" w:cs="宋体"/>
                <w:color w:val="auto"/>
                <w:szCs w:val="21"/>
                <w:highlight w:val="yellow"/>
                <w:lang w:val="en-US" w:eastAsia="zh-CN"/>
              </w:rPr>
              <w:t xml:space="preserve"> </w:t>
            </w:r>
          </w:p>
        </w:tc>
      </w:tr>
      <w:tr w14:paraId="5AAA7D6A">
        <w:tblPrEx>
          <w:tblCellMar>
            <w:top w:w="0" w:type="dxa"/>
            <w:left w:w="108" w:type="dxa"/>
            <w:bottom w:w="0" w:type="dxa"/>
            <w:right w:w="108" w:type="dxa"/>
          </w:tblCellMar>
        </w:tblPrEx>
        <w:trPr>
          <w:jc w:val="center"/>
        </w:trPr>
        <w:tc>
          <w:tcPr>
            <w:tcW w:w="4537" w:type="dxa"/>
          </w:tcPr>
          <w:p w14:paraId="1E4F7AF9">
            <w:pPr>
              <w:snapToGrid w:val="0"/>
              <w:spacing w:line="360" w:lineRule="auto"/>
              <w:rPr>
                <w:rFonts w:ascii="宋体" w:hAnsi="宋体" w:cs="宋体"/>
                <w:color w:val="auto"/>
                <w:szCs w:val="21"/>
              </w:rPr>
            </w:pPr>
            <w:r>
              <w:rPr>
                <w:rFonts w:hint="eastAsia" w:ascii="宋体" w:hAnsi="宋体" w:cs="宋体"/>
                <w:color w:val="auto"/>
                <w:szCs w:val="21"/>
              </w:rPr>
              <w:t>开户银行：中国银行南宁明秀西路支行</w:t>
            </w:r>
          </w:p>
        </w:tc>
        <w:tc>
          <w:tcPr>
            <w:tcW w:w="5204" w:type="dxa"/>
          </w:tcPr>
          <w:p w14:paraId="1C08F06D">
            <w:pPr>
              <w:spacing w:line="360" w:lineRule="auto"/>
              <w:ind w:left="1050" w:hanging="1050" w:hangingChars="500"/>
              <w:rPr>
                <w:rFonts w:ascii="宋体" w:hAnsi="宋体" w:cs="宋体"/>
                <w:color w:val="auto"/>
                <w:szCs w:val="21"/>
                <w:highlight w:val="yellow"/>
              </w:rPr>
            </w:pPr>
            <w:r>
              <w:rPr>
                <w:rFonts w:ascii="宋体" w:hAnsi="宋体" w:cs="宋体"/>
                <w:color w:val="auto"/>
                <w:highlight w:val="yellow"/>
              </w:rPr>
              <w:t>开户银行：</w:t>
            </w:r>
            <w:r>
              <w:rPr>
                <w:rFonts w:hint="eastAsia" w:ascii="宋体" w:hAnsi="宋体" w:cs="宋体"/>
                <w:color w:val="auto"/>
                <w:szCs w:val="21"/>
                <w:highlight w:val="yellow"/>
              </w:rPr>
              <w:t xml:space="preserve"> </w:t>
            </w:r>
          </w:p>
        </w:tc>
      </w:tr>
      <w:tr w14:paraId="25DF70C7">
        <w:tblPrEx>
          <w:tblCellMar>
            <w:top w:w="0" w:type="dxa"/>
            <w:left w:w="108" w:type="dxa"/>
            <w:bottom w:w="0" w:type="dxa"/>
            <w:right w:w="108" w:type="dxa"/>
          </w:tblCellMar>
        </w:tblPrEx>
        <w:trPr>
          <w:jc w:val="center"/>
        </w:trPr>
        <w:tc>
          <w:tcPr>
            <w:tcW w:w="4537" w:type="dxa"/>
          </w:tcPr>
          <w:p w14:paraId="774E0990">
            <w:pPr>
              <w:snapToGrid w:val="0"/>
              <w:spacing w:line="360" w:lineRule="auto"/>
              <w:rPr>
                <w:rFonts w:ascii="宋体" w:hAnsi="宋体" w:cs="宋体"/>
                <w:color w:val="auto"/>
                <w:szCs w:val="21"/>
              </w:rPr>
            </w:pPr>
            <w:r>
              <w:rPr>
                <w:rFonts w:hint="eastAsia" w:ascii="宋体" w:hAnsi="宋体" w:cs="宋体"/>
                <w:color w:val="auto"/>
                <w:szCs w:val="21"/>
              </w:rPr>
              <w:t>账  号：611957485481</w:t>
            </w:r>
          </w:p>
        </w:tc>
        <w:tc>
          <w:tcPr>
            <w:tcW w:w="5204" w:type="dxa"/>
          </w:tcPr>
          <w:p w14:paraId="164E8137">
            <w:pPr>
              <w:spacing w:line="360" w:lineRule="auto"/>
              <w:rPr>
                <w:rFonts w:hint="eastAsia" w:ascii="宋体" w:hAnsi="宋体" w:eastAsia="宋体" w:cs="宋体"/>
                <w:color w:val="auto"/>
                <w:szCs w:val="21"/>
                <w:highlight w:val="yellow"/>
                <w:lang w:eastAsia="zh-CN"/>
              </w:rPr>
            </w:pPr>
            <w:r>
              <w:rPr>
                <w:rFonts w:ascii="宋体" w:hAnsi="宋体" w:cs="宋体"/>
                <w:color w:val="auto"/>
                <w:highlight w:val="yellow"/>
              </w:rPr>
              <w:t>账 号：</w:t>
            </w:r>
            <w:r>
              <w:rPr>
                <w:rFonts w:hint="eastAsia" w:ascii="宋体" w:hAnsi="宋体" w:cs="宋体"/>
                <w:color w:val="auto"/>
                <w:highlight w:val="yellow"/>
                <w:lang w:val="en-US" w:eastAsia="zh-CN"/>
              </w:rPr>
              <w:t xml:space="preserve"> </w:t>
            </w:r>
          </w:p>
        </w:tc>
      </w:tr>
      <w:tr w14:paraId="0DFAAFF3">
        <w:tblPrEx>
          <w:tblCellMar>
            <w:top w:w="0" w:type="dxa"/>
            <w:left w:w="108" w:type="dxa"/>
            <w:bottom w:w="0" w:type="dxa"/>
            <w:right w:w="108" w:type="dxa"/>
          </w:tblCellMar>
        </w:tblPrEx>
        <w:trPr>
          <w:jc w:val="center"/>
        </w:trPr>
        <w:tc>
          <w:tcPr>
            <w:tcW w:w="4537" w:type="dxa"/>
          </w:tcPr>
          <w:p w14:paraId="17F29270">
            <w:pPr>
              <w:snapToGrid w:val="0"/>
              <w:spacing w:line="360" w:lineRule="auto"/>
              <w:rPr>
                <w:rFonts w:ascii="宋体" w:hAnsi="宋体" w:cs="宋体"/>
                <w:color w:val="auto"/>
                <w:szCs w:val="21"/>
              </w:rPr>
            </w:pPr>
            <w:r>
              <w:rPr>
                <w:rFonts w:hint="eastAsia" w:ascii="宋体" w:hAnsi="宋体" w:cs="宋体"/>
                <w:color w:val="auto"/>
                <w:szCs w:val="21"/>
              </w:rPr>
              <w:t>邮政编码：530007</w:t>
            </w:r>
          </w:p>
        </w:tc>
        <w:tc>
          <w:tcPr>
            <w:tcW w:w="5204" w:type="dxa"/>
          </w:tcPr>
          <w:p w14:paraId="352106FF">
            <w:pPr>
              <w:spacing w:line="360" w:lineRule="auto"/>
              <w:rPr>
                <w:rFonts w:hint="eastAsia" w:ascii="宋体" w:hAnsi="宋体" w:eastAsia="宋体" w:cs="宋体"/>
                <w:color w:val="auto"/>
                <w:szCs w:val="21"/>
                <w:lang w:eastAsia="zh-CN"/>
              </w:rPr>
            </w:pPr>
            <w:r>
              <w:rPr>
                <w:rFonts w:ascii="宋体" w:hAnsi="宋体" w:cs="宋体"/>
                <w:color w:val="auto"/>
                <w:highlight w:val="yellow"/>
              </w:rPr>
              <w:t>邮政编码：</w:t>
            </w:r>
            <w:r>
              <w:rPr>
                <w:rFonts w:hint="eastAsia" w:ascii="宋体" w:hAnsi="宋体" w:cs="宋体"/>
                <w:color w:val="auto"/>
                <w:highlight w:val="yellow"/>
                <w:lang w:val="en-US" w:eastAsia="zh-CN"/>
              </w:rPr>
              <w:t xml:space="preserve"> </w:t>
            </w:r>
          </w:p>
        </w:tc>
      </w:tr>
    </w:tbl>
    <w:p w14:paraId="016DB3FC">
      <w:pPr>
        <w:spacing w:line="360" w:lineRule="auto"/>
        <w:ind w:firstLine="420"/>
        <w:rPr>
          <w:rFonts w:ascii="宋体" w:hAnsi="宋体" w:cs="宋体"/>
          <w:color w:val="auto"/>
          <w:szCs w:val="21"/>
        </w:rPr>
      </w:pPr>
    </w:p>
    <w:p w14:paraId="298F5EC4">
      <w:pPr>
        <w:spacing w:before="120" w:beforeLines="50" w:after="120" w:afterLines="50" w:line="440" w:lineRule="exact"/>
        <w:jc w:val="center"/>
        <w:rPr>
          <w:rFonts w:ascii="宋体" w:hAnsi="宋体" w:cs="宋体"/>
          <w:color w:val="auto"/>
          <w:szCs w:val="21"/>
        </w:rPr>
      </w:pPr>
    </w:p>
    <w:p w14:paraId="47DBAE6A">
      <w:pPr>
        <w:widowControl/>
        <w:jc w:val="left"/>
        <w:rPr>
          <w:rFonts w:ascii="宋体" w:hAnsi="宋体" w:cs="宋体"/>
          <w:color w:val="auto"/>
          <w:szCs w:val="21"/>
        </w:rPr>
      </w:pPr>
    </w:p>
    <w:p w14:paraId="2E8E3B40">
      <w:pPr>
        <w:spacing w:after="120"/>
        <w:rPr>
          <w:rFonts w:hint="eastAsia" w:ascii="黑体" w:hAnsi="黑体" w:eastAsia="黑体" w:cs="黑体"/>
          <w:color w:val="auto"/>
          <w:sz w:val="32"/>
          <w:szCs w:val="32"/>
          <w:highlight w:val="yellow"/>
        </w:rPr>
        <w:sectPr>
          <w:footerReference r:id="rId11" w:type="default"/>
          <w:pgSz w:w="11906" w:h="16838"/>
          <w:pgMar w:top="1134" w:right="1247" w:bottom="1134" w:left="1134" w:header="851" w:footer="992" w:gutter="0"/>
          <w:pgNumType w:fmt="decimal"/>
          <w:cols w:space="720" w:num="1"/>
          <w:docGrid w:linePitch="286" w:charSpace="0"/>
        </w:sectPr>
      </w:pPr>
    </w:p>
    <w:p w14:paraId="426A5AE8">
      <w:pPr>
        <w:spacing w:after="120"/>
        <w:rPr>
          <w:rFonts w:ascii="宋体" w:hAnsi="宋体" w:cs="宋体"/>
          <w:color w:val="auto"/>
          <w:szCs w:val="21"/>
          <w:highlight w:val="yellow"/>
        </w:rPr>
      </w:pPr>
      <w:r>
        <w:rPr>
          <w:rFonts w:hint="eastAsia" w:ascii="黑体" w:hAnsi="黑体" w:eastAsia="黑体" w:cs="黑体"/>
          <w:color w:val="auto"/>
          <w:sz w:val="32"/>
          <w:szCs w:val="32"/>
          <w:highlight w:val="yellow"/>
        </w:rPr>
        <w:t>附件2：</w:t>
      </w:r>
    </w:p>
    <w:p w14:paraId="4B01C385">
      <w:pPr>
        <w:spacing w:before="120" w:beforeLines="50" w:after="120" w:afterLines="50" w:line="440" w:lineRule="exact"/>
        <w:jc w:val="center"/>
        <w:rPr>
          <w:rFonts w:ascii="宋体" w:hAnsi="宋体" w:cs="宋体"/>
          <w:b/>
          <w:bCs/>
          <w:color w:val="auto"/>
          <w:sz w:val="36"/>
          <w:szCs w:val="36"/>
          <w:highlight w:val="yellow"/>
        </w:rPr>
      </w:pPr>
      <w:r>
        <w:rPr>
          <w:rFonts w:hint="eastAsia" w:ascii="宋体" w:hAnsi="宋体" w:cs="宋体"/>
          <w:b/>
          <w:bCs/>
          <w:color w:val="auto"/>
          <w:sz w:val="36"/>
          <w:szCs w:val="36"/>
          <w:highlight w:val="yellow"/>
        </w:rPr>
        <w:t>承包人主要施工管理人员表</w:t>
      </w:r>
    </w:p>
    <w:tbl>
      <w:tblPr>
        <w:tblStyle w:val="12"/>
        <w:tblW w:w="9765" w:type="dxa"/>
        <w:jc w:val="center"/>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Layout w:type="fixed"/>
        <w:tblCellMar>
          <w:top w:w="0" w:type="dxa"/>
          <w:left w:w="108" w:type="dxa"/>
          <w:bottom w:w="0" w:type="dxa"/>
          <w:right w:w="108" w:type="dxa"/>
        </w:tblCellMar>
      </w:tblPr>
      <w:tblGrid>
        <w:gridCol w:w="1860"/>
        <w:gridCol w:w="1410"/>
        <w:gridCol w:w="1290"/>
        <w:gridCol w:w="1635"/>
        <w:gridCol w:w="3570"/>
      </w:tblGrid>
      <w:tr w14:paraId="38F7937C">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405" w:hRule="atLeast"/>
          <w:jc w:val="center"/>
        </w:trPr>
        <w:tc>
          <w:tcPr>
            <w:tcW w:w="1860" w:type="dxa"/>
            <w:tcBorders>
              <w:top w:val="single" w:color="000000" w:sz="8" w:space="0"/>
              <w:left w:val="single" w:color="000000" w:sz="8" w:space="0"/>
              <w:bottom w:val="single" w:color="000000" w:sz="8" w:space="0"/>
              <w:right w:val="single" w:color="000000" w:sz="8" w:space="0"/>
            </w:tcBorders>
            <w:tcMar>
              <w:top w:w="0" w:type="dxa"/>
              <w:left w:w="28" w:type="dxa"/>
              <w:bottom w:w="0" w:type="dxa"/>
              <w:right w:w="28" w:type="dxa"/>
            </w:tcMar>
            <w:vAlign w:val="center"/>
          </w:tcPr>
          <w:p w14:paraId="43EFD94D">
            <w:pPr>
              <w:spacing w:line="440" w:lineRule="exact"/>
              <w:ind w:left="63" w:leftChars="30"/>
              <w:jc w:val="center"/>
              <w:rPr>
                <w:color w:val="auto"/>
                <w:highlight w:val="yellow"/>
              </w:rPr>
            </w:pPr>
            <w:bookmarkStart w:id="270" w:name="tip_risk_bookmark_44"/>
            <w:bookmarkStart w:id="271" w:name="tip_risk_bookmark_43"/>
            <w:r>
              <w:rPr>
                <w:rFonts w:ascii="宋体" w:hAnsi="宋体" w:cs="宋体"/>
                <w:b/>
                <w:color w:val="auto"/>
                <w:highlight w:val="yellow"/>
              </w:rPr>
              <w:t>名称</w:t>
            </w:r>
          </w:p>
        </w:tc>
        <w:tc>
          <w:tcPr>
            <w:tcW w:w="1410" w:type="dxa"/>
            <w:tcBorders>
              <w:top w:val="single" w:color="000000" w:sz="8" w:space="0"/>
              <w:left w:val="single" w:color="000000" w:sz="0" w:space="0"/>
              <w:bottom w:val="single" w:color="000000" w:sz="8" w:space="0"/>
              <w:right w:val="single" w:color="000000" w:sz="8" w:space="0"/>
            </w:tcBorders>
            <w:tcMar>
              <w:top w:w="0" w:type="dxa"/>
              <w:left w:w="28" w:type="dxa"/>
              <w:bottom w:w="0" w:type="dxa"/>
              <w:right w:w="28" w:type="dxa"/>
            </w:tcMar>
            <w:vAlign w:val="center"/>
          </w:tcPr>
          <w:p w14:paraId="5B88D18D">
            <w:pPr>
              <w:spacing w:line="440" w:lineRule="exact"/>
              <w:ind w:left="63" w:leftChars="30"/>
              <w:jc w:val="center"/>
              <w:rPr>
                <w:color w:val="auto"/>
                <w:highlight w:val="yellow"/>
              </w:rPr>
            </w:pPr>
            <w:r>
              <w:rPr>
                <w:rFonts w:ascii="宋体" w:hAnsi="宋体" w:cs="宋体"/>
                <w:b/>
                <w:color w:val="auto"/>
                <w:highlight w:val="yellow"/>
              </w:rPr>
              <w:t>姓名</w:t>
            </w:r>
          </w:p>
        </w:tc>
        <w:tc>
          <w:tcPr>
            <w:tcW w:w="1290" w:type="dxa"/>
            <w:tcBorders>
              <w:top w:val="single" w:color="000000" w:sz="8" w:space="0"/>
              <w:left w:val="single" w:color="000000" w:sz="0" w:space="0"/>
              <w:bottom w:val="single" w:color="000000" w:sz="8" w:space="0"/>
              <w:right w:val="single" w:color="000000" w:sz="8" w:space="0"/>
            </w:tcBorders>
            <w:tcMar>
              <w:top w:w="0" w:type="dxa"/>
              <w:left w:w="28" w:type="dxa"/>
              <w:bottom w:w="0" w:type="dxa"/>
              <w:right w:w="28" w:type="dxa"/>
            </w:tcMar>
            <w:vAlign w:val="center"/>
          </w:tcPr>
          <w:p w14:paraId="07BAF6DF">
            <w:pPr>
              <w:spacing w:line="440" w:lineRule="exact"/>
              <w:ind w:left="63" w:leftChars="30"/>
              <w:jc w:val="center"/>
              <w:rPr>
                <w:color w:val="auto"/>
                <w:highlight w:val="yellow"/>
              </w:rPr>
            </w:pPr>
            <w:r>
              <w:rPr>
                <w:rFonts w:ascii="宋体" w:hAnsi="宋体" w:cs="宋体"/>
                <w:b/>
                <w:color w:val="auto"/>
                <w:highlight w:val="yellow"/>
              </w:rPr>
              <w:t>职务</w:t>
            </w:r>
          </w:p>
        </w:tc>
        <w:tc>
          <w:tcPr>
            <w:tcW w:w="1635" w:type="dxa"/>
            <w:tcBorders>
              <w:top w:val="single" w:color="000000" w:sz="8" w:space="0"/>
              <w:left w:val="single" w:color="000000" w:sz="0" w:space="0"/>
              <w:bottom w:val="single" w:color="000000" w:sz="8" w:space="0"/>
              <w:right w:val="single" w:color="000000" w:sz="8" w:space="0"/>
            </w:tcBorders>
            <w:tcMar>
              <w:top w:w="0" w:type="dxa"/>
              <w:left w:w="28" w:type="dxa"/>
              <w:bottom w:w="0" w:type="dxa"/>
              <w:right w:w="28" w:type="dxa"/>
            </w:tcMar>
            <w:vAlign w:val="center"/>
          </w:tcPr>
          <w:p w14:paraId="5F2B916B">
            <w:pPr>
              <w:spacing w:line="440" w:lineRule="exact"/>
              <w:ind w:left="63" w:leftChars="30"/>
              <w:jc w:val="center"/>
              <w:rPr>
                <w:color w:val="auto"/>
                <w:highlight w:val="yellow"/>
              </w:rPr>
            </w:pPr>
            <w:r>
              <w:rPr>
                <w:rFonts w:ascii="宋体" w:hAnsi="宋体" w:cs="宋体"/>
                <w:b/>
                <w:color w:val="auto"/>
                <w:highlight w:val="yellow"/>
              </w:rPr>
              <w:t>职称</w:t>
            </w:r>
          </w:p>
        </w:tc>
        <w:tc>
          <w:tcPr>
            <w:tcW w:w="3570" w:type="dxa"/>
            <w:tcBorders>
              <w:top w:val="single" w:color="000000" w:sz="8" w:space="0"/>
              <w:left w:val="single" w:color="000000" w:sz="0" w:space="0"/>
              <w:bottom w:val="single" w:color="000000" w:sz="8" w:space="0"/>
              <w:right w:val="single" w:color="000000" w:sz="8" w:space="0"/>
            </w:tcBorders>
            <w:tcMar>
              <w:top w:w="0" w:type="dxa"/>
              <w:left w:w="28" w:type="dxa"/>
              <w:bottom w:w="0" w:type="dxa"/>
              <w:right w:w="28" w:type="dxa"/>
            </w:tcMar>
            <w:vAlign w:val="center"/>
          </w:tcPr>
          <w:p w14:paraId="469CCD91">
            <w:pPr>
              <w:spacing w:line="440" w:lineRule="exact"/>
              <w:ind w:left="63" w:leftChars="30"/>
              <w:jc w:val="center"/>
              <w:rPr>
                <w:color w:val="auto"/>
                <w:highlight w:val="yellow"/>
              </w:rPr>
            </w:pPr>
            <w:r>
              <w:rPr>
                <w:rFonts w:ascii="宋体" w:hAnsi="宋体" w:cs="宋体"/>
                <w:b/>
                <w:color w:val="auto"/>
                <w:highlight w:val="yellow"/>
              </w:rPr>
              <w:t>计划进场时间</w:t>
            </w:r>
          </w:p>
        </w:tc>
      </w:tr>
      <w:tr w14:paraId="2A8883FE">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405" w:hRule="atLeast"/>
          <w:jc w:val="center"/>
        </w:trPr>
        <w:tc>
          <w:tcPr>
            <w:tcW w:w="9765" w:type="dxa"/>
            <w:gridSpan w:val="5"/>
            <w:tcBorders>
              <w:top w:val="single" w:color="000000" w:sz="8" w:space="0"/>
              <w:left w:val="single" w:color="000000" w:sz="8" w:space="0"/>
              <w:bottom w:val="single" w:color="000000" w:sz="8" w:space="0"/>
              <w:right w:val="single" w:color="000000" w:sz="8" w:space="0"/>
            </w:tcBorders>
            <w:tcMar>
              <w:top w:w="0" w:type="dxa"/>
              <w:left w:w="28" w:type="dxa"/>
              <w:bottom w:w="0" w:type="dxa"/>
              <w:right w:w="28" w:type="dxa"/>
            </w:tcMar>
            <w:vAlign w:val="center"/>
          </w:tcPr>
          <w:p w14:paraId="423C00E4">
            <w:pPr>
              <w:spacing w:line="440" w:lineRule="exact"/>
              <w:ind w:left="63" w:leftChars="30"/>
              <w:jc w:val="center"/>
              <w:rPr>
                <w:color w:val="auto"/>
                <w:highlight w:val="yellow"/>
              </w:rPr>
            </w:pPr>
            <w:r>
              <w:rPr>
                <w:rFonts w:ascii="宋体" w:hAnsi="宋体" w:cs="宋体"/>
                <w:b/>
                <w:color w:val="auto"/>
                <w:highlight w:val="yellow"/>
              </w:rPr>
              <w:t>一、总部人员</w:t>
            </w:r>
          </w:p>
        </w:tc>
      </w:tr>
      <w:tr w14:paraId="6B879B4C">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405" w:hRule="atLeast"/>
          <w:jc w:val="center"/>
        </w:trPr>
        <w:tc>
          <w:tcPr>
            <w:tcW w:w="1860" w:type="dxa"/>
            <w:tcBorders>
              <w:top w:val="single" w:color="000000" w:sz="8" w:space="0"/>
              <w:left w:val="single" w:color="000000" w:sz="8" w:space="0"/>
              <w:bottom w:val="single" w:color="000000" w:sz="8" w:space="0"/>
              <w:right w:val="single" w:color="000000" w:sz="8" w:space="0"/>
            </w:tcBorders>
            <w:tcMar>
              <w:top w:w="0" w:type="dxa"/>
              <w:left w:w="28" w:type="dxa"/>
              <w:bottom w:w="0" w:type="dxa"/>
              <w:right w:w="28" w:type="dxa"/>
            </w:tcMar>
            <w:vAlign w:val="center"/>
          </w:tcPr>
          <w:p w14:paraId="0FC3EBE9">
            <w:pPr>
              <w:spacing w:line="440" w:lineRule="exact"/>
              <w:ind w:left="63" w:leftChars="30"/>
              <w:jc w:val="center"/>
              <w:rPr>
                <w:color w:val="auto"/>
                <w:highlight w:val="yellow"/>
              </w:rPr>
            </w:pPr>
            <w:r>
              <w:rPr>
                <w:rFonts w:ascii="宋体" w:hAnsi="宋体" w:cs="宋体"/>
                <w:b/>
                <w:color w:val="auto"/>
                <w:highlight w:val="yellow"/>
              </w:rPr>
              <w:t>项目主管</w:t>
            </w:r>
          </w:p>
        </w:tc>
        <w:tc>
          <w:tcPr>
            <w:tcW w:w="1410" w:type="dxa"/>
            <w:tcBorders>
              <w:top w:val="single" w:color="000000" w:sz="8" w:space="0"/>
              <w:left w:val="single" w:color="000000" w:sz="0" w:space="0"/>
              <w:bottom w:val="single" w:color="000000" w:sz="8" w:space="0"/>
              <w:right w:val="single" w:color="000000" w:sz="8" w:space="0"/>
            </w:tcBorders>
            <w:tcMar>
              <w:top w:w="0" w:type="dxa"/>
              <w:left w:w="28" w:type="dxa"/>
              <w:bottom w:w="0" w:type="dxa"/>
              <w:right w:w="28" w:type="dxa"/>
            </w:tcMar>
            <w:vAlign w:val="center"/>
          </w:tcPr>
          <w:p w14:paraId="65407C8E">
            <w:pPr>
              <w:spacing w:line="440" w:lineRule="exact"/>
              <w:jc w:val="center"/>
              <w:rPr>
                <w:rFonts w:ascii="宋体" w:hAnsi="宋体" w:cs="宋体"/>
                <w:color w:val="auto"/>
                <w:highlight w:val="yellow"/>
              </w:rPr>
            </w:pPr>
            <w:r>
              <w:rPr>
                <w:rFonts w:hint="eastAsia" w:ascii="宋体" w:hAnsi="宋体" w:cs="宋体"/>
                <w:color w:val="auto"/>
                <w:highlight w:val="yellow"/>
                <w:lang w:val="en-US" w:eastAsia="zh-CN"/>
              </w:rPr>
              <w:t xml:space="preserve"> </w:t>
            </w:r>
            <w:r>
              <w:rPr>
                <w:rFonts w:hint="eastAsia" w:ascii="宋体" w:hAnsi="宋体" w:cs="宋体"/>
                <w:color w:val="auto"/>
                <w:highlight w:val="yellow"/>
              </w:rPr>
              <w:t xml:space="preserve"> </w:t>
            </w:r>
          </w:p>
        </w:tc>
        <w:tc>
          <w:tcPr>
            <w:tcW w:w="1290" w:type="dxa"/>
            <w:tcBorders>
              <w:top w:val="single" w:color="000000" w:sz="8" w:space="0"/>
              <w:left w:val="single" w:color="000000" w:sz="0" w:space="0"/>
              <w:bottom w:val="single" w:color="000000" w:sz="8" w:space="0"/>
              <w:right w:val="single" w:color="000000" w:sz="8" w:space="0"/>
            </w:tcBorders>
            <w:tcMar>
              <w:top w:w="0" w:type="dxa"/>
              <w:left w:w="28" w:type="dxa"/>
              <w:bottom w:w="0" w:type="dxa"/>
              <w:right w:w="28" w:type="dxa"/>
            </w:tcMar>
            <w:vAlign w:val="center"/>
          </w:tcPr>
          <w:p w14:paraId="08F1AB0C">
            <w:pPr>
              <w:spacing w:line="440" w:lineRule="exact"/>
              <w:ind w:left="63" w:leftChars="30"/>
              <w:jc w:val="center"/>
              <w:rPr>
                <w:rFonts w:hint="eastAsia" w:ascii="宋体" w:hAnsi="宋体" w:eastAsia="宋体" w:cs="宋体"/>
                <w:color w:val="auto"/>
                <w:highlight w:val="yellow"/>
                <w:lang w:eastAsia="zh-CN"/>
              </w:rPr>
            </w:pPr>
            <w:r>
              <w:rPr>
                <w:rFonts w:hint="eastAsia" w:ascii="宋体" w:hAnsi="宋体" w:cs="宋体"/>
                <w:color w:val="auto"/>
                <w:highlight w:val="yellow"/>
                <w:lang w:val="en-US" w:eastAsia="zh-CN"/>
              </w:rPr>
              <w:t xml:space="preserve"> </w:t>
            </w:r>
          </w:p>
        </w:tc>
        <w:tc>
          <w:tcPr>
            <w:tcW w:w="1635" w:type="dxa"/>
            <w:tcBorders>
              <w:top w:val="single" w:color="000000" w:sz="8" w:space="0"/>
              <w:left w:val="single" w:color="000000" w:sz="0" w:space="0"/>
              <w:bottom w:val="single" w:color="000000" w:sz="8" w:space="0"/>
              <w:right w:val="single" w:color="000000" w:sz="8" w:space="0"/>
            </w:tcBorders>
            <w:tcMar>
              <w:top w:w="0" w:type="dxa"/>
              <w:left w:w="28" w:type="dxa"/>
              <w:bottom w:w="0" w:type="dxa"/>
              <w:right w:w="28" w:type="dxa"/>
            </w:tcMar>
            <w:vAlign w:val="center"/>
          </w:tcPr>
          <w:p w14:paraId="76613888">
            <w:pPr>
              <w:spacing w:line="440" w:lineRule="exact"/>
              <w:ind w:left="63" w:leftChars="30"/>
              <w:jc w:val="center"/>
              <w:rPr>
                <w:rFonts w:hint="eastAsia" w:eastAsia="宋体"/>
                <w:color w:val="auto"/>
                <w:highlight w:val="yellow"/>
                <w:lang w:eastAsia="zh-CN"/>
              </w:rPr>
            </w:pPr>
            <w:r>
              <w:rPr>
                <w:rFonts w:hint="eastAsia"/>
                <w:color w:val="auto"/>
                <w:highlight w:val="yellow"/>
              </w:rPr>
              <w:t xml:space="preserve"> </w:t>
            </w:r>
            <w:r>
              <w:rPr>
                <w:rFonts w:hint="eastAsia"/>
                <w:color w:val="auto"/>
                <w:highlight w:val="yellow"/>
                <w:lang w:val="en-US" w:eastAsia="zh-CN"/>
              </w:rPr>
              <w:t xml:space="preserve"> </w:t>
            </w:r>
          </w:p>
        </w:tc>
        <w:tc>
          <w:tcPr>
            <w:tcW w:w="3570" w:type="dxa"/>
            <w:tcBorders>
              <w:top w:val="single" w:color="000000" w:sz="8" w:space="0"/>
              <w:left w:val="single" w:color="000000" w:sz="0" w:space="0"/>
              <w:bottom w:val="single" w:color="000000" w:sz="8" w:space="0"/>
              <w:right w:val="single" w:color="000000" w:sz="8" w:space="0"/>
            </w:tcBorders>
            <w:tcMar>
              <w:top w:w="0" w:type="dxa"/>
              <w:left w:w="28" w:type="dxa"/>
              <w:bottom w:w="0" w:type="dxa"/>
              <w:right w:w="28" w:type="dxa"/>
            </w:tcMar>
            <w:vAlign w:val="center"/>
          </w:tcPr>
          <w:p w14:paraId="1AAA380A">
            <w:pPr>
              <w:spacing w:line="440" w:lineRule="exact"/>
              <w:ind w:left="63" w:leftChars="30"/>
              <w:jc w:val="center"/>
              <w:rPr>
                <w:rFonts w:hint="eastAsia" w:eastAsia="宋体"/>
                <w:color w:val="auto"/>
                <w:highlight w:val="yellow"/>
                <w:lang w:eastAsia="zh-CN"/>
              </w:rPr>
            </w:pPr>
            <w:r>
              <w:rPr>
                <w:rFonts w:hint="eastAsia"/>
                <w:color w:val="auto"/>
                <w:highlight w:val="yellow"/>
                <w:lang w:val="en-US" w:eastAsia="zh-CN"/>
              </w:rPr>
              <w:t xml:space="preserve"> </w:t>
            </w:r>
          </w:p>
        </w:tc>
      </w:tr>
      <w:tr w14:paraId="5E064B21">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405" w:hRule="atLeast"/>
          <w:jc w:val="center"/>
        </w:trPr>
        <w:tc>
          <w:tcPr>
            <w:tcW w:w="1860" w:type="dxa"/>
            <w:tcBorders>
              <w:top w:val="single" w:color="000000" w:sz="8" w:space="0"/>
              <w:left w:val="single" w:color="000000" w:sz="8" w:space="0"/>
              <w:bottom w:val="single" w:color="000000" w:sz="8" w:space="0"/>
              <w:right w:val="single" w:color="000000" w:sz="8" w:space="0"/>
            </w:tcBorders>
            <w:tcMar>
              <w:top w:w="0" w:type="dxa"/>
              <w:left w:w="28" w:type="dxa"/>
              <w:bottom w:w="0" w:type="dxa"/>
              <w:right w:w="28" w:type="dxa"/>
            </w:tcMar>
            <w:vAlign w:val="center"/>
          </w:tcPr>
          <w:p w14:paraId="22A00B2D">
            <w:pPr>
              <w:spacing w:after="60" w:line="440" w:lineRule="exact"/>
              <w:ind w:left="63" w:leftChars="30"/>
              <w:jc w:val="center"/>
              <w:rPr>
                <w:color w:val="auto"/>
                <w:highlight w:val="yellow"/>
              </w:rPr>
            </w:pPr>
            <w:r>
              <w:rPr>
                <w:rFonts w:ascii="宋体" w:hAnsi="宋体" w:cs="宋体"/>
                <w:b/>
                <w:color w:val="auto"/>
                <w:highlight w:val="yellow"/>
              </w:rPr>
              <w:t>其他人员</w:t>
            </w:r>
          </w:p>
        </w:tc>
        <w:tc>
          <w:tcPr>
            <w:tcW w:w="1410"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3C5ADF45">
            <w:pPr>
              <w:spacing w:line="440" w:lineRule="exact"/>
              <w:jc w:val="center"/>
              <w:rPr>
                <w:rFonts w:hint="eastAsia" w:ascii="宋体" w:hAnsi="宋体" w:eastAsia="宋体" w:cs="宋体"/>
                <w:color w:val="auto"/>
                <w:highlight w:val="yellow"/>
                <w:lang w:eastAsia="zh-CN"/>
              </w:rPr>
            </w:pPr>
            <w:r>
              <w:rPr>
                <w:rFonts w:hint="eastAsia"/>
                <w:color w:val="auto"/>
                <w:highlight w:val="yellow"/>
                <w:lang w:val="en-US" w:eastAsia="zh-CN"/>
              </w:rPr>
              <w:t xml:space="preserve"> </w:t>
            </w:r>
          </w:p>
        </w:tc>
        <w:tc>
          <w:tcPr>
            <w:tcW w:w="1290"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3BF0F248">
            <w:pPr>
              <w:spacing w:line="440" w:lineRule="exact"/>
              <w:ind w:left="63" w:leftChars="30"/>
              <w:jc w:val="center"/>
              <w:rPr>
                <w:rFonts w:hint="eastAsia" w:ascii="宋体" w:hAnsi="宋体" w:eastAsia="宋体" w:cs="宋体"/>
                <w:color w:val="auto"/>
                <w:highlight w:val="yellow"/>
                <w:lang w:val="en-US" w:eastAsia="zh-CN"/>
              </w:rPr>
            </w:pPr>
            <w:r>
              <w:rPr>
                <w:rFonts w:hint="eastAsia" w:ascii="宋体" w:hAnsi="宋体" w:cs="宋体"/>
                <w:color w:val="auto"/>
                <w:highlight w:val="yellow"/>
                <w:lang w:val="en-US" w:eastAsia="zh-CN"/>
              </w:rPr>
              <w:t xml:space="preserve"> </w:t>
            </w:r>
          </w:p>
        </w:tc>
        <w:tc>
          <w:tcPr>
            <w:tcW w:w="1635"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7857BFDA">
            <w:pPr>
              <w:spacing w:line="440" w:lineRule="exact"/>
              <w:ind w:left="63" w:leftChars="30"/>
              <w:jc w:val="center"/>
              <w:rPr>
                <w:rFonts w:hint="default"/>
                <w:color w:val="auto"/>
                <w:highlight w:val="yellow"/>
                <w:lang w:val="en-US"/>
              </w:rPr>
            </w:pPr>
          </w:p>
        </w:tc>
        <w:tc>
          <w:tcPr>
            <w:tcW w:w="3570"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2104D8BF">
            <w:pPr>
              <w:spacing w:line="440" w:lineRule="exact"/>
              <w:ind w:left="63" w:leftChars="30"/>
              <w:jc w:val="center"/>
              <w:rPr>
                <w:rFonts w:hint="eastAsia" w:eastAsia="宋体"/>
                <w:color w:val="auto"/>
                <w:highlight w:val="yellow"/>
                <w:lang w:eastAsia="zh-CN"/>
              </w:rPr>
            </w:pPr>
            <w:r>
              <w:rPr>
                <w:rFonts w:hint="eastAsia"/>
                <w:color w:val="auto"/>
                <w:highlight w:val="yellow"/>
                <w:lang w:val="en-US" w:eastAsia="zh-CN"/>
              </w:rPr>
              <w:t xml:space="preserve"> </w:t>
            </w:r>
          </w:p>
        </w:tc>
      </w:tr>
      <w:tr w14:paraId="7BD70177">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405" w:hRule="atLeast"/>
          <w:jc w:val="center"/>
        </w:trPr>
        <w:tc>
          <w:tcPr>
            <w:tcW w:w="9765" w:type="dxa"/>
            <w:gridSpan w:val="5"/>
            <w:tcBorders>
              <w:top w:val="single" w:color="000000" w:sz="8" w:space="0"/>
              <w:left w:val="single" w:color="000000" w:sz="8" w:space="0"/>
              <w:bottom w:val="single" w:color="000000" w:sz="8" w:space="0"/>
              <w:right w:val="single" w:color="000000" w:sz="8" w:space="0"/>
            </w:tcBorders>
            <w:tcMar>
              <w:top w:w="0" w:type="dxa"/>
              <w:left w:w="28" w:type="dxa"/>
              <w:bottom w:w="0" w:type="dxa"/>
              <w:right w:w="28" w:type="dxa"/>
            </w:tcMar>
            <w:vAlign w:val="center"/>
          </w:tcPr>
          <w:p w14:paraId="75116842">
            <w:pPr>
              <w:spacing w:line="440" w:lineRule="exact"/>
              <w:ind w:left="63" w:leftChars="30"/>
              <w:jc w:val="center"/>
              <w:rPr>
                <w:color w:val="auto"/>
                <w:highlight w:val="yellow"/>
              </w:rPr>
            </w:pPr>
            <w:r>
              <w:rPr>
                <w:rFonts w:ascii="宋体" w:hAnsi="宋体" w:cs="宋体"/>
                <w:b/>
                <w:color w:val="auto"/>
                <w:highlight w:val="yellow"/>
              </w:rPr>
              <w:t>二、现场人员</w:t>
            </w:r>
          </w:p>
        </w:tc>
      </w:tr>
      <w:tr w14:paraId="266B32A4">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405" w:hRule="atLeast"/>
          <w:jc w:val="center"/>
        </w:trPr>
        <w:tc>
          <w:tcPr>
            <w:tcW w:w="1860" w:type="dxa"/>
            <w:tcBorders>
              <w:top w:val="single" w:color="000000" w:sz="8" w:space="0"/>
              <w:left w:val="single" w:color="000000" w:sz="8" w:space="0"/>
              <w:bottom w:val="single" w:color="000000" w:sz="8" w:space="0"/>
              <w:right w:val="single" w:color="000000" w:sz="8" w:space="0"/>
            </w:tcBorders>
            <w:tcMar>
              <w:top w:w="0" w:type="dxa"/>
              <w:left w:w="28" w:type="dxa"/>
              <w:bottom w:w="0" w:type="dxa"/>
              <w:right w:w="28" w:type="dxa"/>
            </w:tcMar>
            <w:vAlign w:val="center"/>
          </w:tcPr>
          <w:p w14:paraId="53790D6D">
            <w:pPr>
              <w:pStyle w:val="4"/>
              <w:keepNext/>
              <w:spacing w:after="0" w:line="440" w:lineRule="exact"/>
              <w:ind w:left="63" w:right="63"/>
              <w:jc w:val="center"/>
              <w:rPr>
                <w:b/>
                <w:bCs/>
                <w:color w:val="auto"/>
                <w:highlight w:val="yellow"/>
              </w:rPr>
            </w:pPr>
            <w:r>
              <w:rPr>
                <w:rFonts w:hint="eastAsia" w:ascii="宋体" w:hAnsi="宋体" w:cs="宋体"/>
                <w:b/>
                <w:bCs/>
                <w:color w:val="auto"/>
                <w:szCs w:val="21"/>
                <w:highlight w:val="yellow"/>
              </w:rPr>
              <w:t>项目经理</w:t>
            </w:r>
          </w:p>
        </w:tc>
        <w:tc>
          <w:tcPr>
            <w:tcW w:w="1410"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3708F2A0">
            <w:pPr>
              <w:spacing w:line="440" w:lineRule="exact"/>
              <w:jc w:val="center"/>
              <w:rPr>
                <w:rFonts w:ascii="宋体" w:hAnsi="宋体" w:eastAsia="宋体" w:cs="宋体"/>
                <w:color w:val="auto"/>
                <w:kern w:val="2"/>
                <w:sz w:val="21"/>
                <w:szCs w:val="24"/>
                <w:highlight w:val="yellow"/>
                <w:lang w:val="en-US" w:eastAsia="zh-CN" w:bidi="ar-SA"/>
              </w:rPr>
            </w:pPr>
            <w:r>
              <w:rPr>
                <w:rFonts w:hint="eastAsia" w:ascii="宋体" w:hAnsi="宋体" w:cs="宋体"/>
                <w:color w:val="auto"/>
                <w:highlight w:val="yellow"/>
                <w:lang w:val="en-US" w:eastAsia="zh-CN"/>
              </w:rPr>
              <w:t xml:space="preserve"> </w:t>
            </w:r>
            <w:r>
              <w:rPr>
                <w:rFonts w:hint="eastAsia" w:ascii="宋体" w:hAnsi="宋体" w:cs="宋体"/>
                <w:color w:val="auto"/>
                <w:highlight w:val="yellow"/>
              </w:rPr>
              <w:t xml:space="preserve"> </w:t>
            </w:r>
          </w:p>
        </w:tc>
        <w:tc>
          <w:tcPr>
            <w:tcW w:w="1290"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01AC923D">
            <w:pPr>
              <w:spacing w:line="440" w:lineRule="exact"/>
              <w:ind w:left="63" w:leftChars="30"/>
              <w:jc w:val="center"/>
              <w:rPr>
                <w:rFonts w:hint="eastAsia" w:ascii="宋体" w:hAnsi="宋体" w:eastAsia="宋体" w:cs="宋体"/>
                <w:color w:val="auto"/>
                <w:kern w:val="2"/>
                <w:sz w:val="21"/>
                <w:szCs w:val="24"/>
                <w:highlight w:val="yellow"/>
                <w:lang w:val="en-US" w:eastAsia="zh-CN" w:bidi="ar-SA"/>
              </w:rPr>
            </w:pPr>
            <w:r>
              <w:rPr>
                <w:rFonts w:hint="eastAsia" w:ascii="宋体" w:hAnsi="宋体" w:cs="宋体"/>
                <w:color w:val="auto"/>
                <w:highlight w:val="yellow"/>
                <w:lang w:val="en-US" w:eastAsia="zh-CN"/>
              </w:rPr>
              <w:t xml:space="preserve"> </w:t>
            </w:r>
          </w:p>
        </w:tc>
        <w:tc>
          <w:tcPr>
            <w:tcW w:w="1635"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3A527041">
            <w:pPr>
              <w:spacing w:line="440" w:lineRule="exact"/>
              <w:ind w:left="63" w:leftChars="30"/>
              <w:jc w:val="center"/>
              <w:rPr>
                <w:rFonts w:hint="eastAsia" w:ascii="Times New Roman" w:hAnsi="Times New Roman" w:eastAsia="宋体" w:cs="Times New Roman"/>
                <w:color w:val="auto"/>
                <w:kern w:val="2"/>
                <w:sz w:val="21"/>
                <w:szCs w:val="24"/>
                <w:highlight w:val="yellow"/>
                <w:lang w:val="en-US" w:eastAsia="zh-CN" w:bidi="ar-SA"/>
              </w:rPr>
            </w:pPr>
            <w:r>
              <w:rPr>
                <w:rFonts w:hint="eastAsia"/>
                <w:color w:val="auto"/>
                <w:highlight w:val="yellow"/>
              </w:rPr>
              <w:t xml:space="preserve"> </w:t>
            </w:r>
            <w:r>
              <w:rPr>
                <w:rFonts w:hint="eastAsia"/>
                <w:color w:val="auto"/>
                <w:highlight w:val="yellow"/>
                <w:lang w:val="en-US" w:eastAsia="zh-CN"/>
              </w:rPr>
              <w:t xml:space="preserve"> </w:t>
            </w:r>
          </w:p>
        </w:tc>
        <w:tc>
          <w:tcPr>
            <w:tcW w:w="3570"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660DAD09">
            <w:pPr>
              <w:spacing w:line="440" w:lineRule="exact"/>
              <w:ind w:left="63" w:leftChars="30"/>
              <w:jc w:val="center"/>
              <w:rPr>
                <w:rFonts w:hint="eastAsia" w:ascii="Times New Roman" w:hAnsi="Times New Roman" w:eastAsia="宋体" w:cs="Times New Roman"/>
                <w:color w:val="auto"/>
                <w:kern w:val="2"/>
                <w:sz w:val="21"/>
                <w:szCs w:val="24"/>
                <w:highlight w:val="yellow"/>
                <w:lang w:val="en-US" w:eastAsia="zh-CN" w:bidi="ar-SA"/>
              </w:rPr>
            </w:pPr>
            <w:r>
              <w:rPr>
                <w:rFonts w:hint="eastAsia"/>
                <w:color w:val="auto"/>
                <w:highlight w:val="yellow"/>
                <w:lang w:val="en-US" w:eastAsia="zh-CN"/>
              </w:rPr>
              <w:t xml:space="preserve"> </w:t>
            </w:r>
          </w:p>
        </w:tc>
      </w:tr>
      <w:tr w14:paraId="6B21CFDE">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415" w:hRule="atLeast"/>
          <w:jc w:val="center"/>
        </w:trPr>
        <w:tc>
          <w:tcPr>
            <w:tcW w:w="1860" w:type="dxa"/>
            <w:tcBorders>
              <w:top w:val="single" w:color="000000" w:sz="8" w:space="0"/>
              <w:left w:val="single" w:color="000000" w:sz="8" w:space="0"/>
              <w:bottom w:val="single" w:color="000000" w:sz="8" w:space="0"/>
              <w:right w:val="single" w:color="000000" w:sz="8" w:space="0"/>
            </w:tcBorders>
            <w:tcMar>
              <w:top w:w="0" w:type="dxa"/>
              <w:left w:w="28" w:type="dxa"/>
              <w:bottom w:w="0" w:type="dxa"/>
              <w:right w:w="28" w:type="dxa"/>
            </w:tcMar>
            <w:vAlign w:val="center"/>
          </w:tcPr>
          <w:p w14:paraId="4D17346C">
            <w:pPr>
              <w:pStyle w:val="4"/>
              <w:keepNext/>
              <w:spacing w:after="0" w:line="440" w:lineRule="exact"/>
              <w:ind w:left="63" w:right="63"/>
              <w:jc w:val="center"/>
              <w:rPr>
                <w:b/>
                <w:bCs/>
                <w:color w:val="auto"/>
                <w:highlight w:val="yellow"/>
              </w:rPr>
            </w:pPr>
            <w:r>
              <w:rPr>
                <w:rFonts w:hint="eastAsia" w:ascii="宋体" w:hAnsi="宋体" w:cs="宋体"/>
                <w:b/>
                <w:bCs/>
                <w:color w:val="auto"/>
                <w:szCs w:val="21"/>
                <w:highlight w:val="yellow"/>
              </w:rPr>
              <w:t>项目副经理</w:t>
            </w:r>
          </w:p>
        </w:tc>
        <w:tc>
          <w:tcPr>
            <w:tcW w:w="1410"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18B61A11">
            <w:pPr>
              <w:spacing w:line="440" w:lineRule="exact"/>
              <w:jc w:val="center"/>
              <w:rPr>
                <w:rFonts w:ascii="宋体" w:hAnsi="宋体" w:eastAsia="宋体" w:cs="宋体"/>
                <w:color w:val="auto"/>
                <w:kern w:val="2"/>
                <w:sz w:val="21"/>
                <w:szCs w:val="24"/>
                <w:highlight w:val="yellow"/>
                <w:lang w:val="en-US" w:eastAsia="zh-CN" w:bidi="ar-SA"/>
              </w:rPr>
            </w:pPr>
            <w:r>
              <w:rPr>
                <w:rFonts w:hint="eastAsia" w:ascii="宋体" w:hAnsi="宋体" w:cs="宋体"/>
                <w:color w:val="auto"/>
                <w:highlight w:val="yellow"/>
                <w:lang w:val="en-US" w:eastAsia="zh-CN"/>
              </w:rPr>
              <w:t xml:space="preserve"> </w:t>
            </w:r>
            <w:r>
              <w:rPr>
                <w:rFonts w:hint="eastAsia" w:ascii="宋体" w:hAnsi="宋体" w:cs="宋体"/>
                <w:color w:val="auto"/>
                <w:highlight w:val="yellow"/>
              </w:rPr>
              <w:t xml:space="preserve"> </w:t>
            </w:r>
          </w:p>
        </w:tc>
        <w:tc>
          <w:tcPr>
            <w:tcW w:w="1290"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7595D75B">
            <w:pPr>
              <w:spacing w:line="440" w:lineRule="exact"/>
              <w:ind w:left="63" w:leftChars="30"/>
              <w:jc w:val="center"/>
              <w:rPr>
                <w:rFonts w:hint="eastAsia" w:ascii="宋体" w:hAnsi="宋体" w:eastAsia="宋体" w:cs="宋体"/>
                <w:color w:val="auto"/>
                <w:kern w:val="2"/>
                <w:sz w:val="21"/>
                <w:szCs w:val="24"/>
                <w:highlight w:val="yellow"/>
                <w:lang w:val="en-US" w:eastAsia="zh-CN" w:bidi="ar-SA"/>
              </w:rPr>
            </w:pPr>
            <w:r>
              <w:rPr>
                <w:rFonts w:hint="eastAsia" w:ascii="宋体" w:hAnsi="宋体" w:cs="宋体"/>
                <w:color w:val="auto"/>
                <w:highlight w:val="yellow"/>
                <w:lang w:val="en-US" w:eastAsia="zh-CN"/>
              </w:rPr>
              <w:t xml:space="preserve"> </w:t>
            </w:r>
          </w:p>
        </w:tc>
        <w:tc>
          <w:tcPr>
            <w:tcW w:w="1635"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72FBFF80">
            <w:pPr>
              <w:spacing w:line="440" w:lineRule="exact"/>
              <w:ind w:left="63" w:leftChars="30"/>
              <w:jc w:val="center"/>
              <w:rPr>
                <w:rFonts w:hint="eastAsia" w:ascii="Times New Roman" w:hAnsi="Times New Roman" w:eastAsia="宋体" w:cs="Times New Roman"/>
                <w:color w:val="auto"/>
                <w:kern w:val="2"/>
                <w:sz w:val="21"/>
                <w:szCs w:val="24"/>
                <w:highlight w:val="yellow"/>
                <w:lang w:val="en-US" w:eastAsia="zh-CN" w:bidi="ar-SA"/>
              </w:rPr>
            </w:pPr>
            <w:r>
              <w:rPr>
                <w:rFonts w:hint="eastAsia"/>
                <w:color w:val="auto"/>
                <w:highlight w:val="yellow"/>
              </w:rPr>
              <w:t xml:space="preserve"> </w:t>
            </w:r>
            <w:r>
              <w:rPr>
                <w:rFonts w:hint="eastAsia"/>
                <w:color w:val="auto"/>
                <w:highlight w:val="yellow"/>
                <w:lang w:val="en-US" w:eastAsia="zh-CN"/>
              </w:rPr>
              <w:t xml:space="preserve"> </w:t>
            </w:r>
          </w:p>
        </w:tc>
        <w:tc>
          <w:tcPr>
            <w:tcW w:w="3570"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7E589084">
            <w:pPr>
              <w:spacing w:line="440" w:lineRule="exact"/>
              <w:ind w:left="63" w:leftChars="30"/>
              <w:jc w:val="center"/>
              <w:rPr>
                <w:rFonts w:hint="eastAsia" w:ascii="Times New Roman" w:hAnsi="Times New Roman" w:eastAsia="宋体" w:cs="Times New Roman"/>
                <w:color w:val="auto"/>
                <w:kern w:val="2"/>
                <w:sz w:val="21"/>
                <w:szCs w:val="24"/>
                <w:highlight w:val="yellow"/>
                <w:lang w:val="en-US" w:eastAsia="zh-CN" w:bidi="ar-SA"/>
              </w:rPr>
            </w:pPr>
            <w:r>
              <w:rPr>
                <w:rFonts w:hint="eastAsia"/>
                <w:color w:val="auto"/>
                <w:highlight w:val="yellow"/>
                <w:lang w:val="en-US" w:eastAsia="zh-CN"/>
              </w:rPr>
              <w:t xml:space="preserve"> </w:t>
            </w:r>
          </w:p>
        </w:tc>
      </w:tr>
      <w:tr w14:paraId="4A631B53">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360" w:hRule="atLeast"/>
          <w:jc w:val="center"/>
        </w:trPr>
        <w:tc>
          <w:tcPr>
            <w:tcW w:w="1860" w:type="dxa"/>
            <w:tcBorders>
              <w:top w:val="single" w:color="000000" w:sz="8" w:space="0"/>
              <w:left w:val="single" w:color="000000" w:sz="8" w:space="0"/>
              <w:bottom w:val="single" w:color="000000" w:sz="8" w:space="0"/>
              <w:right w:val="single" w:color="000000" w:sz="8" w:space="0"/>
            </w:tcBorders>
            <w:tcMar>
              <w:top w:w="0" w:type="dxa"/>
              <w:left w:w="28" w:type="dxa"/>
              <w:bottom w:w="0" w:type="dxa"/>
              <w:right w:w="28" w:type="dxa"/>
            </w:tcMar>
            <w:vAlign w:val="center"/>
          </w:tcPr>
          <w:p w14:paraId="063E9374">
            <w:pPr>
              <w:pStyle w:val="4"/>
              <w:keepNext/>
              <w:spacing w:after="0" w:line="440" w:lineRule="exact"/>
              <w:ind w:left="63" w:right="63"/>
              <w:jc w:val="center"/>
              <w:rPr>
                <w:b/>
                <w:bCs/>
                <w:color w:val="auto"/>
                <w:highlight w:val="yellow"/>
              </w:rPr>
            </w:pPr>
            <w:r>
              <w:rPr>
                <w:rFonts w:hint="eastAsia" w:ascii="宋体" w:hAnsi="宋体" w:cs="宋体"/>
                <w:b/>
                <w:bCs/>
                <w:color w:val="auto"/>
                <w:szCs w:val="21"/>
                <w:highlight w:val="yellow"/>
              </w:rPr>
              <w:t>技术负责人</w:t>
            </w:r>
          </w:p>
        </w:tc>
        <w:tc>
          <w:tcPr>
            <w:tcW w:w="1410"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0A27B7E2">
            <w:pPr>
              <w:spacing w:line="440" w:lineRule="exact"/>
              <w:jc w:val="center"/>
              <w:rPr>
                <w:rFonts w:ascii="宋体" w:hAnsi="宋体" w:eastAsia="宋体" w:cs="宋体"/>
                <w:color w:val="auto"/>
                <w:kern w:val="2"/>
                <w:sz w:val="21"/>
                <w:szCs w:val="24"/>
                <w:highlight w:val="yellow"/>
                <w:lang w:val="en-US" w:eastAsia="zh-CN" w:bidi="ar-SA"/>
              </w:rPr>
            </w:pPr>
            <w:r>
              <w:rPr>
                <w:rFonts w:hint="eastAsia" w:ascii="宋体" w:hAnsi="宋体" w:cs="宋体"/>
                <w:color w:val="auto"/>
                <w:highlight w:val="yellow"/>
                <w:lang w:val="en-US" w:eastAsia="zh-CN"/>
              </w:rPr>
              <w:t xml:space="preserve"> </w:t>
            </w:r>
            <w:r>
              <w:rPr>
                <w:rFonts w:hint="eastAsia" w:ascii="宋体" w:hAnsi="宋体" w:cs="宋体"/>
                <w:color w:val="auto"/>
                <w:highlight w:val="yellow"/>
              </w:rPr>
              <w:t xml:space="preserve"> </w:t>
            </w:r>
          </w:p>
        </w:tc>
        <w:tc>
          <w:tcPr>
            <w:tcW w:w="1290"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66857545">
            <w:pPr>
              <w:spacing w:line="440" w:lineRule="exact"/>
              <w:ind w:left="63" w:leftChars="30"/>
              <w:jc w:val="center"/>
              <w:rPr>
                <w:rFonts w:hint="eastAsia" w:ascii="宋体" w:hAnsi="宋体" w:eastAsia="宋体" w:cs="宋体"/>
                <w:color w:val="auto"/>
                <w:kern w:val="2"/>
                <w:sz w:val="21"/>
                <w:szCs w:val="24"/>
                <w:highlight w:val="yellow"/>
                <w:lang w:val="en-US" w:eastAsia="zh-CN" w:bidi="ar-SA"/>
              </w:rPr>
            </w:pPr>
            <w:r>
              <w:rPr>
                <w:rFonts w:hint="eastAsia" w:ascii="宋体" w:hAnsi="宋体" w:cs="宋体"/>
                <w:color w:val="auto"/>
                <w:highlight w:val="yellow"/>
                <w:lang w:val="en-US" w:eastAsia="zh-CN"/>
              </w:rPr>
              <w:t xml:space="preserve"> </w:t>
            </w:r>
          </w:p>
        </w:tc>
        <w:tc>
          <w:tcPr>
            <w:tcW w:w="1635"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5C1D5C89">
            <w:pPr>
              <w:spacing w:line="440" w:lineRule="exact"/>
              <w:ind w:left="63" w:leftChars="30"/>
              <w:jc w:val="center"/>
              <w:rPr>
                <w:rFonts w:hint="eastAsia" w:ascii="Times New Roman" w:hAnsi="Times New Roman" w:eastAsia="宋体" w:cs="Times New Roman"/>
                <w:color w:val="auto"/>
                <w:kern w:val="2"/>
                <w:sz w:val="21"/>
                <w:szCs w:val="24"/>
                <w:highlight w:val="yellow"/>
                <w:lang w:val="en-US" w:eastAsia="zh-CN" w:bidi="ar-SA"/>
              </w:rPr>
            </w:pPr>
            <w:r>
              <w:rPr>
                <w:rFonts w:hint="eastAsia"/>
                <w:color w:val="auto"/>
                <w:highlight w:val="yellow"/>
              </w:rPr>
              <w:t xml:space="preserve"> </w:t>
            </w:r>
            <w:r>
              <w:rPr>
                <w:rFonts w:hint="eastAsia"/>
                <w:color w:val="auto"/>
                <w:highlight w:val="yellow"/>
                <w:lang w:val="en-US" w:eastAsia="zh-CN"/>
              </w:rPr>
              <w:t xml:space="preserve"> </w:t>
            </w:r>
          </w:p>
        </w:tc>
        <w:tc>
          <w:tcPr>
            <w:tcW w:w="3570"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442D4781">
            <w:pPr>
              <w:spacing w:line="440" w:lineRule="exact"/>
              <w:ind w:left="63" w:leftChars="30"/>
              <w:jc w:val="center"/>
              <w:rPr>
                <w:rFonts w:hint="eastAsia" w:ascii="Times New Roman" w:hAnsi="Times New Roman" w:eastAsia="宋体" w:cs="Times New Roman"/>
                <w:color w:val="auto"/>
                <w:kern w:val="2"/>
                <w:sz w:val="21"/>
                <w:szCs w:val="24"/>
                <w:highlight w:val="yellow"/>
                <w:lang w:val="en-US" w:eastAsia="zh-CN" w:bidi="ar-SA"/>
              </w:rPr>
            </w:pPr>
            <w:r>
              <w:rPr>
                <w:rFonts w:hint="eastAsia"/>
                <w:color w:val="auto"/>
                <w:highlight w:val="yellow"/>
                <w:lang w:val="en-US" w:eastAsia="zh-CN"/>
              </w:rPr>
              <w:t xml:space="preserve"> </w:t>
            </w:r>
          </w:p>
        </w:tc>
      </w:tr>
      <w:tr w14:paraId="745E196D">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405" w:hRule="atLeast"/>
          <w:jc w:val="center"/>
        </w:trPr>
        <w:tc>
          <w:tcPr>
            <w:tcW w:w="1860" w:type="dxa"/>
            <w:tcBorders>
              <w:top w:val="single" w:color="000000" w:sz="8" w:space="0"/>
              <w:left w:val="single" w:color="000000" w:sz="8" w:space="0"/>
              <w:bottom w:val="single" w:color="000000" w:sz="8" w:space="0"/>
              <w:right w:val="single" w:color="000000" w:sz="8" w:space="0"/>
            </w:tcBorders>
            <w:tcMar>
              <w:top w:w="0" w:type="dxa"/>
              <w:left w:w="28" w:type="dxa"/>
              <w:bottom w:w="0" w:type="dxa"/>
              <w:right w:w="28" w:type="dxa"/>
            </w:tcMar>
            <w:vAlign w:val="center"/>
          </w:tcPr>
          <w:p w14:paraId="661206E8">
            <w:pPr>
              <w:pStyle w:val="4"/>
              <w:keepNext/>
              <w:spacing w:after="0" w:line="440" w:lineRule="exact"/>
              <w:ind w:left="63" w:right="63"/>
              <w:jc w:val="center"/>
              <w:rPr>
                <w:b/>
                <w:bCs/>
                <w:color w:val="auto"/>
                <w:highlight w:val="yellow"/>
              </w:rPr>
            </w:pPr>
            <w:r>
              <w:rPr>
                <w:rFonts w:hint="eastAsia" w:ascii="宋体" w:hAnsi="宋体" w:cs="宋体"/>
                <w:b/>
                <w:bCs/>
                <w:color w:val="auto"/>
                <w:szCs w:val="21"/>
                <w:highlight w:val="yellow"/>
              </w:rPr>
              <w:t>造价管理</w:t>
            </w:r>
          </w:p>
        </w:tc>
        <w:tc>
          <w:tcPr>
            <w:tcW w:w="1410"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6E78FCF8">
            <w:pPr>
              <w:spacing w:line="440" w:lineRule="exact"/>
              <w:jc w:val="center"/>
              <w:rPr>
                <w:rFonts w:ascii="宋体" w:hAnsi="宋体" w:eastAsia="宋体" w:cs="宋体"/>
                <w:color w:val="auto"/>
                <w:kern w:val="2"/>
                <w:sz w:val="21"/>
                <w:szCs w:val="24"/>
                <w:highlight w:val="yellow"/>
                <w:lang w:val="en-US" w:eastAsia="zh-CN" w:bidi="ar-SA"/>
              </w:rPr>
            </w:pPr>
            <w:r>
              <w:rPr>
                <w:rFonts w:hint="eastAsia" w:ascii="宋体" w:hAnsi="宋体" w:cs="宋体"/>
                <w:color w:val="auto"/>
                <w:highlight w:val="yellow"/>
                <w:lang w:val="en-US" w:eastAsia="zh-CN"/>
              </w:rPr>
              <w:t xml:space="preserve"> </w:t>
            </w:r>
            <w:r>
              <w:rPr>
                <w:rFonts w:hint="eastAsia" w:ascii="宋体" w:hAnsi="宋体" w:cs="宋体"/>
                <w:color w:val="auto"/>
                <w:highlight w:val="yellow"/>
              </w:rPr>
              <w:t xml:space="preserve"> </w:t>
            </w:r>
          </w:p>
        </w:tc>
        <w:tc>
          <w:tcPr>
            <w:tcW w:w="1290"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24C82971">
            <w:pPr>
              <w:spacing w:line="440" w:lineRule="exact"/>
              <w:ind w:left="63" w:leftChars="30"/>
              <w:jc w:val="center"/>
              <w:rPr>
                <w:rFonts w:hint="eastAsia" w:ascii="宋体" w:hAnsi="宋体" w:eastAsia="宋体" w:cs="宋体"/>
                <w:color w:val="auto"/>
                <w:kern w:val="2"/>
                <w:sz w:val="21"/>
                <w:szCs w:val="24"/>
                <w:highlight w:val="yellow"/>
                <w:lang w:val="en-US" w:eastAsia="zh-CN" w:bidi="ar-SA"/>
              </w:rPr>
            </w:pPr>
            <w:r>
              <w:rPr>
                <w:rFonts w:hint="eastAsia" w:ascii="宋体" w:hAnsi="宋体" w:cs="宋体"/>
                <w:color w:val="auto"/>
                <w:highlight w:val="yellow"/>
                <w:lang w:val="en-US" w:eastAsia="zh-CN"/>
              </w:rPr>
              <w:t xml:space="preserve"> </w:t>
            </w:r>
          </w:p>
        </w:tc>
        <w:tc>
          <w:tcPr>
            <w:tcW w:w="1635"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40C01A95">
            <w:pPr>
              <w:spacing w:line="440" w:lineRule="exact"/>
              <w:ind w:left="63" w:leftChars="30"/>
              <w:jc w:val="center"/>
              <w:rPr>
                <w:rFonts w:hint="eastAsia" w:ascii="Times New Roman" w:hAnsi="Times New Roman" w:eastAsia="宋体" w:cs="Times New Roman"/>
                <w:color w:val="auto"/>
                <w:kern w:val="2"/>
                <w:sz w:val="21"/>
                <w:szCs w:val="24"/>
                <w:highlight w:val="yellow"/>
                <w:lang w:val="en-US" w:eastAsia="zh-CN" w:bidi="ar-SA"/>
              </w:rPr>
            </w:pPr>
            <w:r>
              <w:rPr>
                <w:rFonts w:hint="eastAsia"/>
                <w:color w:val="auto"/>
                <w:highlight w:val="yellow"/>
              </w:rPr>
              <w:t xml:space="preserve"> </w:t>
            </w:r>
            <w:r>
              <w:rPr>
                <w:rFonts w:hint="eastAsia"/>
                <w:color w:val="auto"/>
                <w:highlight w:val="yellow"/>
                <w:lang w:val="en-US" w:eastAsia="zh-CN"/>
              </w:rPr>
              <w:t xml:space="preserve"> </w:t>
            </w:r>
          </w:p>
        </w:tc>
        <w:tc>
          <w:tcPr>
            <w:tcW w:w="3570"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6FC2DE9C">
            <w:pPr>
              <w:spacing w:line="440" w:lineRule="exact"/>
              <w:ind w:left="63" w:leftChars="30"/>
              <w:jc w:val="center"/>
              <w:rPr>
                <w:rFonts w:hint="eastAsia" w:ascii="Times New Roman" w:hAnsi="Times New Roman" w:eastAsia="宋体" w:cs="Times New Roman"/>
                <w:color w:val="auto"/>
                <w:kern w:val="2"/>
                <w:sz w:val="21"/>
                <w:szCs w:val="24"/>
                <w:highlight w:val="yellow"/>
                <w:lang w:val="en-US" w:eastAsia="zh-CN" w:bidi="ar-SA"/>
              </w:rPr>
            </w:pPr>
            <w:r>
              <w:rPr>
                <w:rFonts w:hint="eastAsia"/>
                <w:color w:val="auto"/>
                <w:highlight w:val="yellow"/>
                <w:lang w:val="en-US" w:eastAsia="zh-CN"/>
              </w:rPr>
              <w:t xml:space="preserve"> </w:t>
            </w:r>
          </w:p>
        </w:tc>
      </w:tr>
      <w:tr w14:paraId="69F88F8C">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405" w:hRule="atLeast"/>
          <w:jc w:val="center"/>
        </w:trPr>
        <w:tc>
          <w:tcPr>
            <w:tcW w:w="1860" w:type="dxa"/>
            <w:tcBorders>
              <w:top w:val="single" w:color="000000" w:sz="8" w:space="0"/>
              <w:left w:val="single" w:color="000000" w:sz="8" w:space="0"/>
              <w:right w:val="single" w:color="000000" w:sz="8" w:space="0"/>
            </w:tcBorders>
            <w:tcMar>
              <w:top w:w="0" w:type="dxa"/>
              <w:left w:w="28" w:type="dxa"/>
              <w:bottom w:w="0" w:type="dxa"/>
              <w:right w:w="28" w:type="dxa"/>
            </w:tcMar>
            <w:vAlign w:val="center"/>
          </w:tcPr>
          <w:p w14:paraId="3E401231">
            <w:pPr>
              <w:pStyle w:val="4"/>
              <w:keepNext/>
              <w:spacing w:line="440" w:lineRule="exact"/>
              <w:ind w:left="63" w:right="63"/>
              <w:jc w:val="center"/>
              <w:rPr>
                <w:b/>
                <w:bCs/>
                <w:color w:val="auto"/>
                <w:highlight w:val="yellow"/>
              </w:rPr>
            </w:pPr>
            <w:r>
              <w:rPr>
                <w:rFonts w:hint="eastAsia" w:ascii="宋体" w:hAnsi="宋体" w:cs="宋体"/>
                <w:b/>
                <w:bCs/>
                <w:color w:val="auto"/>
                <w:szCs w:val="21"/>
                <w:highlight w:val="yellow"/>
              </w:rPr>
              <w:t>质量管理</w:t>
            </w:r>
          </w:p>
        </w:tc>
        <w:tc>
          <w:tcPr>
            <w:tcW w:w="1410"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403BF3AA">
            <w:pPr>
              <w:spacing w:line="440" w:lineRule="exact"/>
              <w:jc w:val="center"/>
              <w:rPr>
                <w:rFonts w:ascii="宋体" w:hAnsi="宋体" w:eastAsia="宋体" w:cs="宋体"/>
                <w:color w:val="auto"/>
                <w:kern w:val="2"/>
                <w:sz w:val="21"/>
                <w:szCs w:val="24"/>
                <w:highlight w:val="yellow"/>
                <w:lang w:val="en-US" w:eastAsia="zh-CN" w:bidi="ar-SA"/>
              </w:rPr>
            </w:pPr>
            <w:r>
              <w:rPr>
                <w:rFonts w:hint="eastAsia" w:ascii="宋体" w:hAnsi="宋体" w:cs="宋体"/>
                <w:color w:val="auto"/>
                <w:highlight w:val="yellow"/>
                <w:lang w:val="en-US" w:eastAsia="zh-CN"/>
              </w:rPr>
              <w:t xml:space="preserve"> </w:t>
            </w:r>
            <w:r>
              <w:rPr>
                <w:rFonts w:hint="eastAsia" w:ascii="宋体" w:hAnsi="宋体" w:cs="宋体"/>
                <w:color w:val="auto"/>
                <w:highlight w:val="yellow"/>
              </w:rPr>
              <w:t xml:space="preserve"> </w:t>
            </w:r>
          </w:p>
        </w:tc>
        <w:tc>
          <w:tcPr>
            <w:tcW w:w="1290"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05847C77">
            <w:pPr>
              <w:spacing w:line="440" w:lineRule="exact"/>
              <w:ind w:left="63" w:leftChars="30"/>
              <w:jc w:val="center"/>
              <w:rPr>
                <w:rFonts w:hint="eastAsia" w:ascii="宋体" w:hAnsi="宋体" w:eastAsia="宋体" w:cs="宋体"/>
                <w:color w:val="auto"/>
                <w:kern w:val="2"/>
                <w:sz w:val="21"/>
                <w:szCs w:val="24"/>
                <w:highlight w:val="yellow"/>
                <w:lang w:val="en-US" w:eastAsia="zh-CN" w:bidi="ar-SA"/>
              </w:rPr>
            </w:pPr>
            <w:r>
              <w:rPr>
                <w:rFonts w:hint="eastAsia" w:ascii="宋体" w:hAnsi="宋体" w:cs="宋体"/>
                <w:color w:val="auto"/>
                <w:highlight w:val="yellow"/>
                <w:lang w:val="en-US" w:eastAsia="zh-CN"/>
              </w:rPr>
              <w:t xml:space="preserve"> </w:t>
            </w:r>
          </w:p>
        </w:tc>
        <w:tc>
          <w:tcPr>
            <w:tcW w:w="1635"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6D5A3883">
            <w:pPr>
              <w:spacing w:line="440" w:lineRule="exact"/>
              <w:ind w:left="63" w:leftChars="30"/>
              <w:jc w:val="center"/>
              <w:rPr>
                <w:rFonts w:hint="eastAsia" w:ascii="Times New Roman" w:hAnsi="Times New Roman" w:eastAsia="宋体" w:cs="Times New Roman"/>
                <w:color w:val="auto"/>
                <w:kern w:val="2"/>
                <w:sz w:val="21"/>
                <w:szCs w:val="24"/>
                <w:highlight w:val="yellow"/>
                <w:lang w:val="en-US" w:eastAsia="zh-CN" w:bidi="ar-SA"/>
              </w:rPr>
            </w:pPr>
            <w:r>
              <w:rPr>
                <w:rFonts w:hint="eastAsia"/>
                <w:color w:val="auto"/>
                <w:highlight w:val="yellow"/>
              </w:rPr>
              <w:t xml:space="preserve"> </w:t>
            </w:r>
            <w:r>
              <w:rPr>
                <w:rFonts w:hint="eastAsia"/>
                <w:color w:val="auto"/>
                <w:highlight w:val="yellow"/>
                <w:lang w:val="en-US" w:eastAsia="zh-CN"/>
              </w:rPr>
              <w:t xml:space="preserve"> </w:t>
            </w:r>
          </w:p>
        </w:tc>
        <w:tc>
          <w:tcPr>
            <w:tcW w:w="3570"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66C950C8">
            <w:pPr>
              <w:spacing w:line="440" w:lineRule="exact"/>
              <w:ind w:left="63" w:leftChars="30"/>
              <w:jc w:val="center"/>
              <w:rPr>
                <w:rFonts w:hint="eastAsia" w:ascii="Times New Roman" w:hAnsi="Times New Roman" w:eastAsia="宋体" w:cs="Times New Roman"/>
                <w:color w:val="auto"/>
                <w:kern w:val="2"/>
                <w:sz w:val="21"/>
                <w:szCs w:val="24"/>
                <w:highlight w:val="yellow"/>
                <w:lang w:val="en-US" w:eastAsia="zh-CN" w:bidi="ar-SA"/>
              </w:rPr>
            </w:pPr>
            <w:r>
              <w:rPr>
                <w:rFonts w:hint="eastAsia"/>
                <w:color w:val="auto"/>
                <w:highlight w:val="yellow"/>
                <w:lang w:val="en-US" w:eastAsia="zh-CN"/>
              </w:rPr>
              <w:t xml:space="preserve"> </w:t>
            </w:r>
          </w:p>
        </w:tc>
      </w:tr>
      <w:tr w14:paraId="37905937">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405" w:hRule="atLeast"/>
          <w:jc w:val="center"/>
        </w:trPr>
        <w:tc>
          <w:tcPr>
            <w:tcW w:w="1860" w:type="dxa"/>
            <w:tcBorders>
              <w:top w:val="single" w:color="000000" w:sz="8" w:space="0"/>
              <w:left w:val="single" w:color="000000" w:sz="8" w:space="0"/>
              <w:bottom w:val="single" w:color="000000" w:sz="8" w:space="0"/>
              <w:right w:val="single" w:color="000000" w:sz="8" w:space="0"/>
            </w:tcBorders>
            <w:tcMar>
              <w:top w:w="0" w:type="dxa"/>
              <w:left w:w="28" w:type="dxa"/>
              <w:bottom w:w="0" w:type="dxa"/>
              <w:right w:w="28" w:type="dxa"/>
            </w:tcMar>
            <w:vAlign w:val="center"/>
          </w:tcPr>
          <w:p w14:paraId="27050C1D">
            <w:pPr>
              <w:pStyle w:val="4"/>
              <w:keepNext/>
              <w:spacing w:after="0" w:line="440" w:lineRule="exact"/>
              <w:ind w:left="63" w:right="63"/>
              <w:jc w:val="center"/>
              <w:rPr>
                <w:b/>
                <w:bCs/>
                <w:color w:val="auto"/>
                <w:highlight w:val="yellow"/>
              </w:rPr>
            </w:pPr>
            <w:r>
              <w:rPr>
                <w:rFonts w:hint="eastAsia" w:ascii="宋体" w:hAnsi="宋体" w:cs="宋体"/>
                <w:b/>
                <w:bCs/>
                <w:color w:val="auto"/>
                <w:szCs w:val="21"/>
                <w:highlight w:val="yellow"/>
              </w:rPr>
              <w:t>材料管理</w:t>
            </w:r>
          </w:p>
        </w:tc>
        <w:tc>
          <w:tcPr>
            <w:tcW w:w="1410"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79FF2F3C">
            <w:pPr>
              <w:spacing w:line="440" w:lineRule="exact"/>
              <w:jc w:val="center"/>
              <w:rPr>
                <w:rFonts w:ascii="宋体" w:hAnsi="宋体" w:eastAsia="宋体" w:cs="宋体"/>
                <w:color w:val="auto"/>
                <w:kern w:val="2"/>
                <w:sz w:val="21"/>
                <w:szCs w:val="24"/>
                <w:highlight w:val="yellow"/>
                <w:lang w:val="en-US" w:eastAsia="zh-CN" w:bidi="ar-SA"/>
              </w:rPr>
            </w:pPr>
            <w:r>
              <w:rPr>
                <w:rFonts w:hint="eastAsia" w:ascii="宋体" w:hAnsi="宋体" w:cs="宋体"/>
                <w:color w:val="auto"/>
                <w:highlight w:val="yellow"/>
                <w:lang w:val="en-US" w:eastAsia="zh-CN"/>
              </w:rPr>
              <w:t xml:space="preserve"> </w:t>
            </w:r>
            <w:r>
              <w:rPr>
                <w:rFonts w:hint="eastAsia" w:ascii="宋体" w:hAnsi="宋体" w:cs="宋体"/>
                <w:color w:val="auto"/>
                <w:highlight w:val="yellow"/>
              </w:rPr>
              <w:t xml:space="preserve"> </w:t>
            </w:r>
          </w:p>
        </w:tc>
        <w:tc>
          <w:tcPr>
            <w:tcW w:w="1290"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6C90F9AD">
            <w:pPr>
              <w:spacing w:line="440" w:lineRule="exact"/>
              <w:ind w:left="63" w:leftChars="30"/>
              <w:jc w:val="center"/>
              <w:rPr>
                <w:rFonts w:hint="eastAsia" w:ascii="宋体" w:hAnsi="宋体" w:eastAsia="宋体" w:cs="宋体"/>
                <w:color w:val="auto"/>
                <w:kern w:val="2"/>
                <w:sz w:val="21"/>
                <w:szCs w:val="24"/>
                <w:highlight w:val="yellow"/>
                <w:lang w:val="en-US" w:eastAsia="zh-CN" w:bidi="ar-SA"/>
              </w:rPr>
            </w:pPr>
            <w:r>
              <w:rPr>
                <w:rFonts w:hint="eastAsia" w:ascii="宋体" w:hAnsi="宋体" w:cs="宋体"/>
                <w:color w:val="auto"/>
                <w:highlight w:val="yellow"/>
                <w:lang w:val="en-US" w:eastAsia="zh-CN"/>
              </w:rPr>
              <w:t xml:space="preserve"> </w:t>
            </w:r>
          </w:p>
        </w:tc>
        <w:tc>
          <w:tcPr>
            <w:tcW w:w="1635"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2B5C0A6E">
            <w:pPr>
              <w:spacing w:line="440" w:lineRule="exact"/>
              <w:ind w:left="63" w:leftChars="30"/>
              <w:jc w:val="center"/>
              <w:rPr>
                <w:rFonts w:hint="eastAsia" w:ascii="Times New Roman" w:hAnsi="Times New Roman" w:eastAsia="宋体" w:cs="Times New Roman"/>
                <w:color w:val="auto"/>
                <w:kern w:val="2"/>
                <w:sz w:val="21"/>
                <w:szCs w:val="24"/>
                <w:highlight w:val="yellow"/>
                <w:lang w:val="en-US" w:eastAsia="zh-CN" w:bidi="ar-SA"/>
              </w:rPr>
            </w:pPr>
            <w:r>
              <w:rPr>
                <w:rFonts w:hint="eastAsia"/>
                <w:color w:val="auto"/>
                <w:highlight w:val="yellow"/>
              </w:rPr>
              <w:t xml:space="preserve"> </w:t>
            </w:r>
            <w:r>
              <w:rPr>
                <w:rFonts w:hint="eastAsia"/>
                <w:color w:val="auto"/>
                <w:highlight w:val="yellow"/>
                <w:lang w:val="en-US" w:eastAsia="zh-CN"/>
              </w:rPr>
              <w:t xml:space="preserve"> </w:t>
            </w:r>
          </w:p>
        </w:tc>
        <w:tc>
          <w:tcPr>
            <w:tcW w:w="3570"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2493797A">
            <w:pPr>
              <w:spacing w:line="440" w:lineRule="exact"/>
              <w:ind w:left="63" w:leftChars="30"/>
              <w:jc w:val="center"/>
              <w:rPr>
                <w:rFonts w:hint="eastAsia" w:ascii="Times New Roman" w:hAnsi="Times New Roman" w:eastAsia="宋体" w:cs="Times New Roman"/>
                <w:color w:val="auto"/>
                <w:kern w:val="2"/>
                <w:sz w:val="21"/>
                <w:szCs w:val="24"/>
                <w:highlight w:val="yellow"/>
                <w:lang w:val="en-US" w:eastAsia="zh-CN" w:bidi="ar-SA"/>
              </w:rPr>
            </w:pPr>
            <w:r>
              <w:rPr>
                <w:rFonts w:hint="eastAsia"/>
                <w:color w:val="auto"/>
                <w:highlight w:val="yellow"/>
                <w:lang w:val="en-US" w:eastAsia="zh-CN"/>
              </w:rPr>
              <w:t xml:space="preserve"> </w:t>
            </w:r>
          </w:p>
        </w:tc>
      </w:tr>
      <w:tr w14:paraId="6356BF6E">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405" w:hRule="atLeast"/>
          <w:jc w:val="center"/>
        </w:trPr>
        <w:tc>
          <w:tcPr>
            <w:tcW w:w="1860" w:type="dxa"/>
            <w:tcBorders>
              <w:top w:val="single" w:color="000000" w:sz="8" w:space="0"/>
              <w:left w:val="single" w:color="000000" w:sz="8" w:space="0"/>
              <w:right w:val="single" w:color="000000" w:sz="8" w:space="0"/>
            </w:tcBorders>
            <w:tcMar>
              <w:top w:w="0" w:type="dxa"/>
              <w:left w:w="28" w:type="dxa"/>
              <w:bottom w:w="0" w:type="dxa"/>
              <w:right w:w="28" w:type="dxa"/>
            </w:tcMar>
            <w:vAlign w:val="center"/>
          </w:tcPr>
          <w:p w14:paraId="5A66D5E1">
            <w:pPr>
              <w:pStyle w:val="4"/>
              <w:keepNext/>
              <w:spacing w:after="0" w:line="440" w:lineRule="exact"/>
              <w:ind w:left="63" w:right="63"/>
              <w:jc w:val="center"/>
              <w:rPr>
                <w:b/>
                <w:bCs/>
                <w:color w:val="auto"/>
                <w:highlight w:val="yellow"/>
              </w:rPr>
            </w:pPr>
            <w:r>
              <w:rPr>
                <w:rFonts w:hint="eastAsia" w:ascii="宋体" w:hAnsi="宋体" w:cs="宋体"/>
                <w:b/>
                <w:bCs/>
                <w:color w:val="auto"/>
                <w:szCs w:val="21"/>
                <w:highlight w:val="yellow"/>
              </w:rPr>
              <w:t>计划管理</w:t>
            </w:r>
          </w:p>
        </w:tc>
        <w:tc>
          <w:tcPr>
            <w:tcW w:w="1410"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0F581F62">
            <w:pPr>
              <w:spacing w:line="440" w:lineRule="exact"/>
              <w:jc w:val="center"/>
              <w:rPr>
                <w:rFonts w:ascii="宋体" w:hAnsi="宋体" w:eastAsia="宋体" w:cs="宋体"/>
                <w:color w:val="auto"/>
                <w:kern w:val="2"/>
                <w:sz w:val="21"/>
                <w:szCs w:val="24"/>
                <w:highlight w:val="yellow"/>
                <w:lang w:val="en-US" w:eastAsia="zh-CN" w:bidi="ar-SA"/>
              </w:rPr>
            </w:pPr>
            <w:r>
              <w:rPr>
                <w:rFonts w:hint="eastAsia" w:ascii="宋体" w:hAnsi="宋体" w:cs="宋体"/>
                <w:color w:val="auto"/>
                <w:highlight w:val="yellow"/>
                <w:lang w:val="en-US" w:eastAsia="zh-CN"/>
              </w:rPr>
              <w:t xml:space="preserve"> </w:t>
            </w:r>
            <w:r>
              <w:rPr>
                <w:rFonts w:hint="eastAsia" w:ascii="宋体" w:hAnsi="宋体" w:cs="宋体"/>
                <w:color w:val="auto"/>
                <w:highlight w:val="yellow"/>
              </w:rPr>
              <w:t xml:space="preserve"> </w:t>
            </w:r>
          </w:p>
        </w:tc>
        <w:tc>
          <w:tcPr>
            <w:tcW w:w="1290"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686C360F">
            <w:pPr>
              <w:spacing w:line="440" w:lineRule="exact"/>
              <w:ind w:left="63" w:leftChars="30"/>
              <w:jc w:val="center"/>
              <w:rPr>
                <w:rFonts w:hint="eastAsia" w:ascii="宋体" w:hAnsi="宋体" w:eastAsia="宋体" w:cs="宋体"/>
                <w:color w:val="auto"/>
                <w:kern w:val="2"/>
                <w:sz w:val="21"/>
                <w:szCs w:val="24"/>
                <w:highlight w:val="yellow"/>
                <w:lang w:val="en-US" w:eastAsia="zh-CN" w:bidi="ar-SA"/>
              </w:rPr>
            </w:pPr>
            <w:r>
              <w:rPr>
                <w:rFonts w:hint="eastAsia" w:ascii="宋体" w:hAnsi="宋体" w:cs="宋体"/>
                <w:color w:val="auto"/>
                <w:highlight w:val="yellow"/>
                <w:lang w:val="en-US" w:eastAsia="zh-CN"/>
              </w:rPr>
              <w:t xml:space="preserve"> </w:t>
            </w:r>
          </w:p>
        </w:tc>
        <w:tc>
          <w:tcPr>
            <w:tcW w:w="1635"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4960A635">
            <w:pPr>
              <w:spacing w:line="440" w:lineRule="exact"/>
              <w:ind w:left="63" w:leftChars="30"/>
              <w:jc w:val="center"/>
              <w:rPr>
                <w:rFonts w:hint="eastAsia" w:ascii="Times New Roman" w:hAnsi="Times New Roman" w:eastAsia="宋体" w:cs="Times New Roman"/>
                <w:color w:val="auto"/>
                <w:kern w:val="2"/>
                <w:sz w:val="21"/>
                <w:szCs w:val="24"/>
                <w:highlight w:val="yellow"/>
                <w:lang w:val="en-US" w:eastAsia="zh-CN" w:bidi="ar-SA"/>
              </w:rPr>
            </w:pPr>
            <w:r>
              <w:rPr>
                <w:rFonts w:hint="eastAsia"/>
                <w:color w:val="auto"/>
                <w:highlight w:val="yellow"/>
              </w:rPr>
              <w:t xml:space="preserve"> </w:t>
            </w:r>
            <w:r>
              <w:rPr>
                <w:rFonts w:hint="eastAsia"/>
                <w:color w:val="auto"/>
                <w:highlight w:val="yellow"/>
                <w:lang w:val="en-US" w:eastAsia="zh-CN"/>
              </w:rPr>
              <w:t xml:space="preserve"> </w:t>
            </w:r>
          </w:p>
        </w:tc>
        <w:tc>
          <w:tcPr>
            <w:tcW w:w="3570"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5FB74E09">
            <w:pPr>
              <w:spacing w:line="440" w:lineRule="exact"/>
              <w:ind w:left="63" w:leftChars="30"/>
              <w:jc w:val="center"/>
              <w:rPr>
                <w:rFonts w:hint="eastAsia" w:ascii="Times New Roman" w:hAnsi="Times New Roman" w:eastAsia="宋体" w:cs="Times New Roman"/>
                <w:color w:val="auto"/>
                <w:kern w:val="2"/>
                <w:sz w:val="21"/>
                <w:szCs w:val="24"/>
                <w:highlight w:val="yellow"/>
                <w:lang w:val="en-US" w:eastAsia="zh-CN" w:bidi="ar-SA"/>
              </w:rPr>
            </w:pPr>
            <w:r>
              <w:rPr>
                <w:rFonts w:hint="eastAsia"/>
                <w:color w:val="auto"/>
                <w:highlight w:val="yellow"/>
                <w:lang w:val="en-US" w:eastAsia="zh-CN"/>
              </w:rPr>
              <w:t xml:space="preserve"> </w:t>
            </w:r>
          </w:p>
        </w:tc>
      </w:tr>
      <w:bookmarkEnd w:id="270"/>
      <w:tr w14:paraId="0364E425">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405" w:hRule="atLeast"/>
          <w:jc w:val="center"/>
        </w:trPr>
        <w:tc>
          <w:tcPr>
            <w:tcW w:w="1860" w:type="dxa"/>
            <w:tcBorders>
              <w:top w:val="single" w:color="000000" w:sz="8" w:space="0"/>
              <w:left w:val="single" w:color="000000" w:sz="8" w:space="0"/>
              <w:bottom w:val="single" w:color="000000" w:sz="8" w:space="0"/>
              <w:right w:val="single" w:color="000000" w:sz="8" w:space="0"/>
            </w:tcBorders>
            <w:tcMar>
              <w:top w:w="0" w:type="dxa"/>
              <w:left w:w="28" w:type="dxa"/>
              <w:bottom w:w="0" w:type="dxa"/>
              <w:right w:w="28" w:type="dxa"/>
            </w:tcMar>
            <w:vAlign w:val="center"/>
          </w:tcPr>
          <w:p w14:paraId="3F870A25">
            <w:pPr>
              <w:pStyle w:val="4"/>
              <w:keepNext/>
              <w:spacing w:line="440" w:lineRule="exact"/>
              <w:ind w:left="63" w:right="63"/>
              <w:jc w:val="center"/>
              <w:rPr>
                <w:b/>
                <w:bCs/>
                <w:color w:val="auto"/>
                <w:highlight w:val="yellow"/>
              </w:rPr>
            </w:pPr>
            <w:r>
              <w:rPr>
                <w:rFonts w:hint="eastAsia" w:ascii="宋体" w:hAnsi="宋体" w:cs="宋体"/>
                <w:b/>
                <w:bCs/>
                <w:color w:val="auto"/>
                <w:szCs w:val="21"/>
                <w:highlight w:val="yellow"/>
              </w:rPr>
              <w:t>安全管理</w:t>
            </w:r>
          </w:p>
        </w:tc>
        <w:tc>
          <w:tcPr>
            <w:tcW w:w="1410"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0D1900B0">
            <w:pPr>
              <w:spacing w:line="440" w:lineRule="exact"/>
              <w:jc w:val="center"/>
              <w:rPr>
                <w:rFonts w:ascii="宋体" w:hAnsi="宋体" w:eastAsia="宋体" w:cs="宋体"/>
                <w:color w:val="auto"/>
                <w:kern w:val="2"/>
                <w:sz w:val="21"/>
                <w:szCs w:val="24"/>
                <w:highlight w:val="yellow"/>
                <w:lang w:val="en-US" w:eastAsia="zh-CN" w:bidi="ar-SA"/>
              </w:rPr>
            </w:pPr>
            <w:r>
              <w:rPr>
                <w:rFonts w:hint="eastAsia" w:ascii="宋体" w:hAnsi="宋体" w:cs="宋体"/>
                <w:color w:val="auto"/>
                <w:highlight w:val="yellow"/>
                <w:lang w:val="en-US" w:eastAsia="zh-CN"/>
              </w:rPr>
              <w:t xml:space="preserve"> </w:t>
            </w:r>
            <w:r>
              <w:rPr>
                <w:rFonts w:hint="eastAsia" w:ascii="宋体" w:hAnsi="宋体" w:cs="宋体"/>
                <w:color w:val="auto"/>
                <w:highlight w:val="yellow"/>
              </w:rPr>
              <w:t xml:space="preserve"> </w:t>
            </w:r>
          </w:p>
        </w:tc>
        <w:tc>
          <w:tcPr>
            <w:tcW w:w="1290"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2707CED0">
            <w:pPr>
              <w:spacing w:line="440" w:lineRule="exact"/>
              <w:ind w:left="63" w:leftChars="30"/>
              <w:jc w:val="center"/>
              <w:rPr>
                <w:rFonts w:hint="eastAsia" w:ascii="宋体" w:hAnsi="宋体" w:eastAsia="宋体" w:cs="宋体"/>
                <w:color w:val="auto"/>
                <w:kern w:val="2"/>
                <w:sz w:val="21"/>
                <w:szCs w:val="24"/>
                <w:highlight w:val="yellow"/>
                <w:lang w:val="en-US" w:eastAsia="zh-CN" w:bidi="ar-SA"/>
              </w:rPr>
            </w:pPr>
            <w:r>
              <w:rPr>
                <w:rFonts w:hint="eastAsia" w:ascii="宋体" w:hAnsi="宋体" w:cs="宋体"/>
                <w:color w:val="auto"/>
                <w:highlight w:val="yellow"/>
                <w:lang w:val="en-US" w:eastAsia="zh-CN"/>
              </w:rPr>
              <w:t xml:space="preserve"> </w:t>
            </w:r>
          </w:p>
        </w:tc>
        <w:tc>
          <w:tcPr>
            <w:tcW w:w="1635"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320A5F9A">
            <w:pPr>
              <w:spacing w:line="440" w:lineRule="exact"/>
              <w:ind w:left="63" w:leftChars="30"/>
              <w:jc w:val="center"/>
              <w:rPr>
                <w:rFonts w:hint="eastAsia" w:ascii="Times New Roman" w:hAnsi="Times New Roman" w:eastAsia="宋体" w:cs="Times New Roman"/>
                <w:color w:val="auto"/>
                <w:kern w:val="2"/>
                <w:sz w:val="21"/>
                <w:szCs w:val="24"/>
                <w:highlight w:val="yellow"/>
                <w:lang w:val="en-US" w:eastAsia="zh-CN" w:bidi="ar-SA"/>
              </w:rPr>
            </w:pPr>
            <w:r>
              <w:rPr>
                <w:rFonts w:hint="eastAsia"/>
                <w:color w:val="auto"/>
                <w:highlight w:val="yellow"/>
              </w:rPr>
              <w:t xml:space="preserve"> </w:t>
            </w:r>
            <w:r>
              <w:rPr>
                <w:rFonts w:hint="eastAsia"/>
                <w:color w:val="auto"/>
                <w:highlight w:val="yellow"/>
                <w:lang w:val="en-US" w:eastAsia="zh-CN"/>
              </w:rPr>
              <w:t xml:space="preserve"> </w:t>
            </w:r>
          </w:p>
        </w:tc>
        <w:tc>
          <w:tcPr>
            <w:tcW w:w="3570"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29A387FD">
            <w:pPr>
              <w:spacing w:line="440" w:lineRule="exact"/>
              <w:ind w:left="63" w:leftChars="30"/>
              <w:jc w:val="center"/>
              <w:rPr>
                <w:rFonts w:hint="eastAsia" w:ascii="Times New Roman" w:hAnsi="Times New Roman" w:eastAsia="宋体" w:cs="Times New Roman"/>
                <w:color w:val="auto"/>
                <w:kern w:val="2"/>
                <w:sz w:val="21"/>
                <w:szCs w:val="24"/>
                <w:highlight w:val="yellow"/>
                <w:lang w:val="en-US" w:eastAsia="zh-CN" w:bidi="ar-SA"/>
              </w:rPr>
            </w:pPr>
            <w:r>
              <w:rPr>
                <w:rFonts w:hint="eastAsia"/>
                <w:color w:val="auto"/>
                <w:highlight w:val="yellow"/>
                <w:lang w:val="en-US" w:eastAsia="zh-CN"/>
              </w:rPr>
              <w:t xml:space="preserve"> </w:t>
            </w:r>
          </w:p>
        </w:tc>
      </w:tr>
      <w:tr w14:paraId="4A926BA7">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405" w:hRule="atLeast"/>
          <w:jc w:val="center"/>
        </w:trPr>
        <w:tc>
          <w:tcPr>
            <w:tcW w:w="1860" w:type="dxa"/>
            <w:tcBorders>
              <w:top w:val="single" w:color="000000" w:sz="8" w:space="0"/>
              <w:left w:val="single" w:color="000000" w:sz="8" w:space="0"/>
              <w:bottom w:val="single" w:color="000000" w:sz="8" w:space="0"/>
              <w:right w:val="single" w:color="000000" w:sz="8" w:space="0"/>
            </w:tcBorders>
            <w:tcMar>
              <w:top w:w="0" w:type="dxa"/>
              <w:left w:w="28" w:type="dxa"/>
              <w:bottom w:w="0" w:type="dxa"/>
              <w:right w:w="28" w:type="dxa"/>
            </w:tcMar>
            <w:vAlign w:val="center"/>
          </w:tcPr>
          <w:p w14:paraId="7A7DC005">
            <w:pPr>
              <w:pStyle w:val="4"/>
              <w:keepNext/>
              <w:spacing w:after="0" w:line="440" w:lineRule="exact"/>
              <w:ind w:left="63" w:right="63"/>
              <w:jc w:val="center"/>
              <w:rPr>
                <w:rFonts w:ascii="宋体" w:hAnsi="宋体" w:cs="宋体"/>
                <w:b/>
                <w:bCs/>
                <w:color w:val="auto"/>
                <w:szCs w:val="21"/>
                <w:highlight w:val="yellow"/>
              </w:rPr>
            </w:pPr>
            <w:r>
              <w:rPr>
                <w:rFonts w:hint="eastAsia" w:ascii="宋体" w:hAnsi="宋体" w:cs="宋体"/>
                <w:b/>
                <w:bCs/>
                <w:color w:val="auto"/>
                <w:szCs w:val="21"/>
                <w:highlight w:val="yellow"/>
              </w:rPr>
              <w:t>其他人员</w:t>
            </w:r>
          </w:p>
        </w:tc>
        <w:tc>
          <w:tcPr>
            <w:tcW w:w="1410"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19C593FF">
            <w:pPr>
              <w:spacing w:line="440" w:lineRule="exact"/>
              <w:jc w:val="center"/>
              <w:rPr>
                <w:rFonts w:ascii="宋体" w:hAnsi="宋体" w:eastAsia="宋体" w:cs="宋体"/>
                <w:color w:val="auto"/>
                <w:kern w:val="2"/>
                <w:sz w:val="21"/>
                <w:szCs w:val="24"/>
                <w:highlight w:val="yellow"/>
                <w:lang w:val="en-US" w:eastAsia="zh-CN" w:bidi="ar-SA"/>
              </w:rPr>
            </w:pPr>
            <w:r>
              <w:rPr>
                <w:rFonts w:hint="eastAsia" w:ascii="宋体" w:hAnsi="宋体" w:cs="宋体"/>
                <w:color w:val="auto"/>
                <w:highlight w:val="yellow"/>
                <w:lang w:val="en-US" w:eastAsia="zh-CN"/>
              </w:rPr>
              <w:t xml:space="preserve"> </w:t>
            </w:r>
            <w:r>
              <w:rPr>
                <w:rFonts w:hint="eastAsia" w:ascii="宋体" w:hAnsi="宋体" w:cs="宋体"/>
                <w:color w:val="auto"/>
                <w:highlight w:val="yellow"/>
              </w:rPr>
              <w:t xml:space="preserve"> </w:t>
            </w:r>
          </w:p>
        </w:tc>
        <w:tc>
          <w:tcPr>
            <w:tcW w:w="1290"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2B6C84E1">
            <w:pPr>
              <w:spacing w:line="440" w:lineRule="exact"/>
              <w:ind w:left="63" w:leftChars="30"/>
              <w:jc w:val="center"/>
              <w:rPr>
                <w:rFonts w:hint="eastAsia" w:ascii="宋体" w:hAnsi="宋体" w:eastAsia="宋体" w:cs="宋体"/>
                <w:color w:val="auto"/>
                <w:kern w:val="2"/>
                <w:sz w:val="21"/>
                <w:szCs w:val="24"/>
                <w:highlight w:val="yellow"/>
                <w:lang w:val="en-US" w:eastAsia="zh-CN" w:bidi="ar-SA"/>
              </w:rPr>
            </w:pPr>
            <w:r>
              <w:rPr>
                <w:rFonts w:hint="eastAsia" w:ascii="宋体" w:hAnsi="宋体" w:cs="宋体"/>
                <w:color w:val="auto"/>
                <w:highlight w:val="yellow"/>
                <w:lang w:val="en-US" w:eastAsia="zh-CN"/>
              </w:rPr>
              <w:t xml:space="preserve"> </w:t>
            </w:r>
          </w:p>
        </w:tc>
        <w:tc>
          <w:tcPr>
            <w:tcW w:w="1635"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00FD87F2">
            <w:pPr>
              <w:spacing w:line="440" w:lineRule="exact"/>
              <w:ind w:left="63" w:leftChars="30"/>
              <w:jc w:val="center"/>
              <w:rPr>
                <w:rFonts w:hint="eastAsia" w:ascii="Times New Roman" w:hAnsi="Times New Roman" w:eastAsia="宋体" w:cs="Times New Roman"/>
                <w:color w:val="auto"/>
                <w:kern w:val="2"/>
                <w:sz w:val="21"/>
                <w:szCs w:val="24"/>
                <w:highlight w:val="yellow"/>
                <w:lang w:val="en-US" w:eastAsia="zh-CN" w:bidi="ar-SA"/>
              </w:rPr>
            </w:pPr>
            <w:r>
              <w:rPr>
                <w:rFonts w:hint="eastAsia"/>
                <w:color w:val="auto"/>
                <w:highlight w:val="yellow"/>
              </w:rPr>
              <w:t xml:space="preserve"> </w:t>
            </w:r>
            <w:r>
              <w:rPr>
                <w:rFonts w:hint="eastAsia"/>
                <w:color w:val="auto"/>
                <w:highlight w:val="yellow"/>
                <w:lang w:val="en-US" w:eastAsia="zh-CN"/>
              </w:rPr>
              <w:t xml:space="preserve"> </w:t>
            </w:r>
          </w:p>
        </w:tc>
        <w:tc>
          <w:tcPr>
            <w:tcW w:w="3570"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6A751FB4">
            <w:pPr>
              <w:spacing w:line="440" w:lineRule="exact"/>
              <w:ind w:left="63" w:leftChars="30"/>
              <w:jc w:val="center"/>
              <w:rPr>
                <w:rFonts w:hint="eastAsia" w:ascii="Times New Roman" w:hAnsi="Times New Roman" w:eastAsia="宋体" w:cs="Times New Roman"/>
                <w:color w:val="auto"/>
                <w:kern w:val="2"/>
                <w:sz w:val="21"/>
                <w:szCs w:val="24"/>
                <w:highlight w:val="yellow"/>
                <w:lang w:val="en-US" w:eastAsia="zh-CN" w:bidi="ar-SA"/>
              </w:rPr>
            </w:pPr>
            <w:r>
              <w:rPr>
                <w:rFonts w:hint="eastAsia"/>
                <w:color w:val="auto"/>
                <w:highlight w:val="yellow"/>
                <w:lang w:val="en-US" w:eastAsia="zh-CN"/>
              </w:rPr>
              <w:t xml:space="preserve"> </w:t>
            </w:r>
          </w:p>
        </w:tc>
      </w:tr>
      <w:bookmarkEnd w:id="271"/>
    </w:tbl>
    <w:p w14:paraId="07B89530">
      <w:pPr>
        <w:spacing w:line="440" w:lineRule="exact"/>
        <w:rPr>
          <w:rFonts w:ascii="宋体" w:hAnsi="宋体" w:cs="宋体"/>
          <w:b/>
          <w:bCs/>
          <w:color w:val="auto"/>
          <w:position w:val="-5"/>
          <w:szCs w:val="21"/>
        </w:rPr>
      </w:pPr>
    </w:p>
    <w:p w14:paraId="01441936">
      <w:pPr>
        <w:keepNext w:val="0"/>
        <w:keepLines w:val="0"/>
        <w:widowControl w:val="0"/>
        <w:suppressLineNumbers w:val="0"/>
        <w:kinsoku/>
        <w:autoSpaceDE/>
        <w:autoSpaceDN w:val="0"/>
        <w:adjustRightInd/>
        <w:snapToGrid/>
        <w:spacing w:before="0" w:beforeAutospacing="1" w:after="0" w:afterAutospacing="1"/>
        <w:ind w:left="0" w:right="0"/>
        <w:jc w:val="left"/>
        <w:rPr>
          <w:rFonts w:hint="eastAsia" w:ascii="黑体" w:hAnsi="黑体" w:eastAsia="黑体" w:cs="黑体"/>
          <w:b w:val="0"/>
          <w:bCs w:val="0"/>
          <w:snapToGrid/>
          <w:color w:val="000000"/>
          <w:kern w:val="0"/>
          <w:sz w:val="32"/>
          <w:szCs w:val="32"/>
          <w:lang w:val="en-US" w:eastAsia="zh-CN" w:bidi="ar"/>
          <w:woUserID w:val="3"/>
        </w:rPr>
        <w:sectPr>
          <w:footerReference r:id="rId12" w:type="default"/>
          <w:pgSz w:w="11906" w:h="16838"/>
          <w:pgMar w:top="1134" w:right="1247" w:bottom="1134" w:left="1134" w:header="851" w:footer="992" w:gutter="0"/>
          <w:pgNumType w:fmt="decimal"/>
          <w:cols w:space="720" w:num="1"/>
          <w:docGrid w:linePitch="286" w:charSpace="0"/>
        </w:sectPr>
      </w:pPr>
    </w:p>
    <w:p w14:paraId="320722C5">
      <w:pPr>
        <w:autoSpaceDN w:val="0"/>
        <w:spacing w:beforeAutospacing="1" w:afterAutospacing="1"/>
        <w:jc w:val="left"/>
        <w:rPr>
          <w:rFonts w:hint="eastAsia" w:ascii="黑体" w:hAnsi="黑体" w:eastAsia="黑体" w:cs="黑体"/>
          <w:color w:val="auto"/>
          <w:kern w:val="0"/>
          <w:sz w:val="32"/>
          <w:szCs w:val="32"/>
          <w:lang w:bidi="ar"/>
        </w:rPr>
      </w:pPr>
      <w:r>
        <w:rPr>
          <w:rFonts w:hint="eastAsia" w:ascii="黑体" w:hAnsi="黑体" w:eastAsia="黑体" w:cs="黑体"/>
          <w:color w:val="auto"/>
          <w:kern w:val="0"/>
          <w:sz w:val="32"/>
          <w:szCs w:val="32"/>
          <w:lang w:bidi="ar"/>
        </w:rPr>
        <w:t>附件3：</w:t>
      </w:r>
    </w:p>
    <w:p w14:paraId="4D6B43D7">
      <w:pPr>
        <w:autoSpaceDN w:val="0"/>
        <w:spacing w:beforeAutospacing="1" w:afterAutospacing="1"/>
        <w:jc w:val="center"/>
        <w:rPr>
          <w:color w:val="auto"/>
        </w:rPr>
      </w:pPr>
      <w:r>
        <w:rPr>
          <w:rFonts w:hint="eastAsia" w:ascii="Calibri" w:hAnsi="Calibri"/>
          <w:b/>
          <w:bCs/>
          <w:color w:val="auto"/>
          <w:sz w:val="36"/>
          <w:szCs w:val="36"/>
          <w:lang w:bidi="ar"/>
        </w:rPr>
        <w:t>农民工工资支付和审核承诺书</w:t>
      </w:r>
    </w:p>
    <w:p w14:paraId="179B74B0">
      <w:pPr>
        <w:spacing w:line="560" w:lineRule="exact"/>
        <w:rPr>
          <w:color w:val="auto"/>
        </w:rPr>
      </w:pPr>
      <w:r>
        <w:rPr>
          <w:rFonts w:hint="eastAsia"/>
          <w:color w:val="auto"/>
        </w:rPr>
        <w:t>致：广西财经学院</w:t>
      </w:r>
    </w:p>
    <w:p w14:paraId="4293F971">
      <w:pPr>
        <w:spacing w:line="560" w:lineRule="exact"/>
        <w:ind w:firstLine="420" w:firstLineChars="200"/>
        <w:rPr>
          <w:color w:val="auto"/>
        </w:rPr>
      </w:pPr>
      <w:r>
        <w:rPr>
          <w:rFonts w:hint="eastAsia"/>
          <w:color w:val="auto"/>
        </w:rPr>
        <w:t>本单位就“2026年武鸣校区1-19#、2-16#、2-18#地块新建围挡工程施工项目”农民工工资支付及审核相关工作，依据本项目《建设工程施工合同》约定、《保障农民工工资支付条例》（国务院令第</w:t>
      </w:r>
      <w:r>
        <w:rPr>
          <w:color w:val="auto"/>
        </w:rPr>
        <w:t>724</w:t>
      </w:r>
      <w:r>
        <w:rPr>
          <w:rFonts w:hint="eastAsia"/>
          <w:color w:val="auto"/>
        </w:rPr>
        <w:t>号）、《工程建设领域农民工工资专用账户管理暂行办法》（人社部发〔</w:t>
      </w:r>
      <w:r>
        <w:rPr>
          <w:color w:val="auto"/>
        </w:rPr>
        <w:t>2021</w:t>
      </w:r>
      <w:r>
        <w:rPr>
          <w:rFonts w:hint="eastAsia"/>
          <w:color w:val="auto"/>
        </w:rPr>
        <w:t>〕</w:t>
      </w:r>
      <w:r>
        <w:rPr>
          <w:color w:val="auto"/>
        </w:rPr>
        <w:t>53</w:t>
      </w:r>
      <w:r>
        <w:rPr>
          <w:rFonts w:hint="eastAsia"/>
          <w:color w:val="auto"/>
        </w:rPr>
        <w:t>号）、《广西工程建设领域农民工工资支付省级监控预警平台管理细则（试行）》（桂人社规〔</w:t>
      </w:r>
      <w:r>
        <w:rPr>
          <w:color w:val="auto"/>
        </w:rPr>
        <w:t>2024</w:t>
      </w:r>
      <w:r>
        <w:rPr>
          <w:rFonts w:hint="eastAsia"/>
          <w:color w:val="auto"/>
        </w:rPr>
        <w:t>〕</w:t>
      </w:r>
      <w:r>
        <w:rPr>
          <w:color w:val="auto"/>
        </w:rPr>
        <w:t>7</w:t>
      </w:r>
      <w:r>
        <w:rPr>
          <w:rFonts w:hint="eastAsia"/>
          <w:color w:val="auto"/>
        </w:rPr>
        <w:t>号）、《广西壮族自治区工程建设领域农民工工资专用账户管理暂行办法实施细则》等国家、自治区及南宁市相关法律法规、政策文件，郑重作出如下承诺：</w:t>
      </w:r>
    </w:p>
    <w:p w14:paraId="76871ED4">
      <w:pPr>
        <w:spacing w:line="560" w:lineRule="exact"/>
        <w:ind w:firstLine="420" w:firstLineChars="200"/>
        <w:rPr>
          <w:color w:val="auto"/>
        </w:rPr>
      </w:pPr>
      <w:r>
        <w:rPr>
          <w:rFonts w:hint="eastAsia"/>
          <w:color w:val="auto"/>
        </w:rPr>
        <w:t>一、农民工工资支付承诺</w:t>
      </w:r>
    </w:p>
    <w:p w14:paraId="719330DB">
      <w:pPr>
        <w:spacing w:line="560" w:lineRule="exact"/>
        <w:ind w:firstLine="420" w:firstLineChars="200"/>
        <w:rPr>
          <w:color w:val="auto"/>
        </w:rPr>
      </w:pPr>
      <w:bookmarkStart w:id="272" w:name="auto_fouce_2"/>
      <w:r>
        <w:rPr>
          <w:color w:val="auto"/>
        </w:rPr>
        <w:t xml:space="preserve">1. </w:t>
      </w:r>
      <w:r>
        <w:rPr>
          <w:rFonts w:hint="eastAsia"/>
          <w:color w:val="auto"/>
        </w:rPr>
        <w:t>本单位严格遵守国家、自治区及南宁市关于农民工工资支付的法律法规、政策文件及本项目合同的全部约定，依法与全部劳务人员签订正式劳动合同，实行农民工劳动用工实名制管理，对农民工进出场进行生物识别考勤（不具备封闭式管理条件的，采用移动定位、电子围栏等技术实施考勤管理，相关信息采集仅用于本项目农民工用工管理及工资支付核验，不得超出该目的使用，涉及农民工个人信息的按规定进行脱敏处理），建立完整的农民工实名制管理台账，实时更新农民工用工信息。</w:t>
      </w:r>
      <w:bookmarkEnd w:id="272"/>
    </w:p>
    <w:p w14:paraId="0F2B886C">
      <w:pPr>
        <w:spacing w:line="560" w:lineRule="exact"/>
        <w:ind w:firstLine="420" w:firstLineChars="200"/>
        <w:rPr>
          <w:color w:val="auto"/>
        </w:rPr>
      </w:pPr>
      <w:bookmarkStart w:id="273" w:name="auto_fouce_3"/>
      <w:r>
        <w:rPr>
          <w:color w:val="auto"/>
        </w:rPr>
        <w:t xml:space="preserve">2. </w:t>
      </w:r>
      <w:r>
        <w:rPr>
          <w:rFonts w:hint="eastAsia"/>
          <w:color w:val="auto"/>
        </w:rPr>
        <w:t>根据《广西壮族自治区工程建设领域农民工工资专用账户管理暂行办法实施细则》，本单位承诺为本项目设立</w:t>
      </w:r>
      <w:r>
        <w:rPr>
          <w:color w:val="auto"/>
        </w:rPr>
        <w:t>“</w:t>
      </w:r>
      <w:r>
        <w:rPr>
          <w:rFonts w:hint="eastAsia"/>
          <w:color w:val="auto"/>
        </w:rPr>
        <w:t>农民工工资支付专用账户</w:t>
      </w:r>
      <w:r>
        <w:rPr>
          <w:color w:val="auto"/>
        </w:rPr>
        <w:t>”</w:t>
      </w:r>
      <w:r>
        <w:rPr>
          <w:rFonts w:hint="eastAsia"/>
          <w:color w:val="auto"/>
        </w:rPr>
        <w:t>，用于本项目农民工工资支付，并接受发包人及政府主管部门的监督。</w:t>
      </w:r>
      <w:bookmarkEnd w:id="273"/>
    </w:p>
    <w:p w14:paraId="66BB0DBD">
      <w:pPr>
        <w:spacing w:line="560" w:lineRule="exact"/>
        <w:ind w:firstLine="420" w:firstLineChars="200"/>
        <w:rPr>
          <w:color w:val="auto"/>
        </w:rPr>
      </w:pPr>
      <w:r>
        <w:rPr>
          <w:color w:val="auto"/>
        </w:rPr>
        <w:t xml:space="preserve">3. </w:t>
      </w:r>
      <w:r>
        <w:rPr>
          <w:rFonts w:hint="eastAsia"/>
          <w:color w:val="auto"/>
        </w:rPr>
        <w:t>本单位</w:t>
      </w:r>
      <w:r>
        <w:rPr>
          <w:color w:val="auto"/>
        </w:rPr>
        <w:t>承诺</w:t>
      </w:r>
      <w:r>
        <w:rPr>
          <w:rFonts w:hint="eastAsia"/>
          <w:color w:val="auto"/>
        </w:rPr>
        <w:t>在施工期间按月、按时、足额发放全部施工人员工资。就本承诺书而言，“项目完</w:t>
      </w:r>
      <w:r>
        <w:rPr>
          <w:color w:val="auto"/>
        </w:rPr>
        <w:t>工</w:t>
      </w:r>
      <w:r>
        <w:rPr>
          <w:rFonts w:hint="eastAsia"/>
          <w:color w:val="auto"/>
        </w:rPr>
        <w:t>日”是指承包人已完成本项目合同约定的全部施工内容，现场施工活动基本停止，施工人员及施工机具已基本退场之日；如本项目分阶段或分区域施工，以最后一个施工阶段或施工区域达到前述条件之日为项目完工日。发包人向承包人出具书面完工确认的日期早于前述实际完工日的，以发包人书面确认的日期为准。项目完工日不以竣工验收、工</w:t>
      </w:r>
      <w:r>
        <w:rPr>
          <w:color w:val="auto"/>
        </w:rPr>
        <w:t>程</w:t>
      </w:r>
      <w:r>
        <w:rPr>
          <w:rFonts w:hint="eastAsia"/>
          <w:color w:val="auto"/>
        </w:rPr>
        <w:t>结算、工程款支付或承包人提交结算资料为前提。承包人应在项目</w:t>
      </w:r>
      <w:r>
        <w:rPr>
          <w:color w:val="auto"/>
        </w:rPr>
        <w:t>完工</w:t>
      </w:r>
      <w:r>
        <w:rPr>
          <w:rFonts w:hint="eastAsia"/>
          <w:color w:val="auto"/>
        </w:rPr>
        <w:t>日</w:t>
      </w:r>
      <w:r>
        <w:rPr>
          <w:color w:val="auto"/>
        </w:rPr>
        <w:t>后1</w:t>
      </w:r>
      <w:r>
        <w:rPr>
          <w:rFonts w:hint="eastAsia"/>
          <w:color w:val="auto"/>
        </w:rPr>
        <w:t>0</w:t>
      </w:r>
      <w:r>
        <w:rPr>
          <w:color w:val="auto"/>
        </w:rPr>
        <w:t>日内，结清</w:t>
      </w:r>
      <w:r>
        <w:rPr>
          <w:rFonts w:hint="eastAsia"/>
          <w:color w:val="auto"/>
        </w:rPr>
        <w:t>截至该日已发生及应付的全部施</w:t>
      </w:r>
      <w:r>
        <w:rPr>
          <w:color w:val="auto"/>
        </w:rPr>
        <w:t>工</w:t>
      </w:r>
      <w:r>
        <w:rPr>
          <w:rFonts w:hint="eastAsia"/>
          <w:color w:val="auto"/>
        </w:rPr>
        <w:t>人员</w:t>
      </w:r>
      <w:r>
        <w:rPr>
          <w:color w:val="auto"/>
        </w:rPr>
        <w:t>工资</w:t>
      </w:r>
      <w:r>
        <w:rPr>
          <w:rFonts w:hint="eastAsia"/>
          <w:color w:val="auto"/>
        </w:rPr>
        <w:t>，并向发包人提交工资结清明细、银行支付凭证及发包人要求的其他证明材料。项目完工、人员退场、工程验收、结算或付款均不影响承包人对已发生工资的支付责任。</w:t>
      </w:r>
    </w:p>
    <w:p w14:paraId="2AB69074">
      <w:pPr>
        <w:spacing w:line="560" w:lineRule="exact"/>
        <w:ind w:firstLine="420" w:firstLineChars="200"/>
        <w:rPr>
          <w:color w:val="auto"/>
        </w:rPr>
      </w:pPr>
      <w:bookmarkStart w:id="274" w:name="auto_fouce_4"/>
      <w:bookmarkStart w:id="275" w:name="free_a0bd779662c94d0e91ea0b94d5265476"/>
      <w:r>
        <w:rPr>
          <w:color w:val="auto"/>
        </w:rPr>
        <w:t xml:space="preserve">4. </w:t>
      </w:r>
      <w:r>
        <w:rPr>
          <w:rFonts w:hint="eastAsia"/>
          <w:color w:val="auto"/>
        </w:rPr>
        <w:t>本单位承诺对本项目全部施工人员实行按月、按时、足额支付工资制度，并将工资直接支付至施工人员本人银行账户。未经发包人事先书面同意，本单位不得将本项目全部或部分施工内容转包、违法分包、挂靠施工，亦不得交由不具备用工主体资格的组织、个人或其他第三方实施。本单位不得通过劳务合作、内部承包、借用资质、以包代管或其他方式规避自身用工及工资支付责任。</w:t>
      </w:r>
    </w:p>
    <w:p w14:paraId="44271458">
      <w:pPr>
        <w:spacing w:line="560" w:lineRule="exact"/>
        <w:ind w:firstLine="420" w:firstLineChars="200"/>
        <w:rPr>
          <w:color w:val="auto"/>
        </w:rPr>
      </w:pPr>
      <w:r>
        <w:rPr>
          <w:rFonts w:hint="eastAsia"/>
          <w:color w:val="auto"/>
        </w:rPr>
        <w:t>经发包人事先书面同意依法分包的，本单位仍是本项目施工人员用工管理和工资支付的直接责任主体，应对分包单位的用工、考勤、工资核算及工资支付进行持续监督。分包单位发生拖欠、克扣、虚假支付或其他损害施工人员工资权益的情形，本单位应立即采取措施，并承担先行足额清偿责任及最终责任；本单位清偿后，可依法向分包单位或其他责任主体追偿，但不得以正在追偿、分包合同存在争议、分包单位无力清偿或相关人员未与本单位直接签订劳动合同为由，拒绝或延迟清偿。</w:t>
      </w:r>
      <w:bookmarkEnd w:id="274"/>
    </w:p>
    <w:p w14:paraId="1E5BBC82">
      <w:pPr>
        <w:spacing w:line="560" w:lineRule="exact"/>
        <w:ind w:firstLine="420" w:firstLineChars="200"/>
        <w:rPr>
          <w:color w:val="auto"/>
        </w:rPr>
      </w:pPr>
      <w:r>
        <w:rPr>
          <w:color w:val="auto"/>
        </w:rPr>
        <w:t xml:space="preserve">5. </w:t>
      </w:r>
      <w:r>
        <w:rPr>
          <w:rFonts w:hint="eastAsia"/>
          <w:color w:val="auto"/>
        </w:rPr>
        <w:t>本单位或其分包单位存在拖欠、克扣施工人员工资，工资支付资料与实际情况不一致，或者无法证明工资已按期足额支付的，发包人有权在相关欠付工资金额、可能产生的清偿金额及合理处置费用范围内，暂停支付、扣留或抵扣应付工程款、结算款及其他应付款项，直至相关欠薪及风险全部消除。发包人采取前述措施，不视为其承担本单位的用工或工资支付责任，也不构成发包人逾期付款。</w:t>
      </w:r>
    </w:p>
    <w:p w14:paraId="7AE1D0D6">
      <w:pPr>
        <w:spacing w:line="560" w:lineRule="exact"/>
        <w:ind w:firstLine="420" w:firstLineChars="200"/>
        <w:rPr>
          <w:color w:val="auto"/>
        </w:rPr>
      </w:pPr>
      <w:r>
        <w:rPr>
          <w:rFonts w:hint="eastAsia"/>
          <w:color w:val="auto"/>
        </w:rPr>
        <w:t>6. 本单位严禁在本项目中实施工程转包、违法分包、挂靠施工，或将施工内容交由不具备用工主体资格的组织、个人或其他第三方实施。无论相关人员由何主体招用、管理、考勤或支付工资，本单位均应对相关人员的工资承担先行清偿责任及最终责任，并承担因此产生的违约责任、赔偿责任和发包人为调查、处置欠薪事项所支出的全部费用。本单位不得以不存在直接劳动关系、实际施工人应承担责任或已将工程款支付给其他主体等理由对抗前述责任。</w:t>
      </w:r>
    </w:p>
    <w:p w14:paraId="4B1D364B">
      <w:pPr>
        <w:spacing w:line="560" w:lineRule="exact"/>
        <w:ind w:firstLine="420" w:firstLineChars="200"/>
        <w:rPr>
          <w:color w:val="auto"/>
        </w:rPr>
      </w:pPr>
      <w:r>
        <w:rPr>
          <w:color w:val="auto"/>
        </w:rPr>
        <w:t xml:space="preserve">7. </w:t>
      </w:r>
      <w:r>
        <w:rPr>
          <w:rFonts w:hint="eastAsia"/>
          <w:color w:val="auto"/>
        </w:rPr>
        <w:t>本单位不得以发包人未及时、足额支付工程款、变更洽商款、结算款或双方存在任何争议、纠纷为由，拖欠、克扣或延迟支付施工人员工资。除不得将工资支付责任转交给不具备用工主体资格的组织或个人外，本单位亦不得委托其他主体代发工资；确需由银行或依法具有工资代发资格的机构进行代发的，应确保工资直接、足额支付至施工人员本人账户，并按发包人要求提供完整支付凭证。本单位不得扣押施工人员居民身份证、银行卡等证件或财物，不得要求施工人员提供担保，不得以押金、保证金、管理费、材料费或其他名义违法收取财物或扣减工资。</w:t>
      </w:r>
    </w:p>
    <w:p w14:paraId="2D0D2890">
      <w:pPr>
        <w:spacing w:line="560" w:lineRule="exact"/>
        <w:ind w:firstLine="420" w:firstLineChars="200"/>
        <w:rPr>
          <w:color w:val="auto"/>
        </w:rPr>
      </w:pPr>
      <w:r>
        <w:rPr>
          <w:color w:val="auto"/>
        </w:rPr>
        <w:t xml:space="preserve">8. </w:t>
      </w:r>
      <w:r>
        <w:rPr>
          <w:rFonts w:hint="eastAsia"/>
          <w:color w:val="auto"/>
        </w:rPr>
        <w:t>本单位应依法保障施工人员的合法权益，并按照主管部门要求及项目实际情况落实相关权益保障、维权告知和信息公示工作。发包人要求设置施工现场维权信息告示牌的，本单位应在指定位置设置并持续维护，公示项目名称、承包人名称、项目负责人、工资支付负责人、投诉举报电话及劳动争议调解、仲裁、法律援助等相关信息。因本项目施工规模较小、施工期限较短或现场条件不具备设置固定告示牌条件的，经发包人同意，可采用书面告知、电子告知或其他能够有效告知施工人员的方式替代。涉及依法应当开展项目工会或其他组织建设工作的，本单位应按主管部门要求执行，不得以任何方式妨碍施工人员依法维护自身权益。</w:t>
      </w:r>
    </w:p>
    <w:p w14:paraId="0B75C1CB">
      <w:pPr>
        <w:spacing w:line="560" w:lineRule="exact"/>
        <w:ind w:firstLine="420" w:firstLineChars="200"/>
        <w:rPr>
          <w:color w:val="auto"/>
        </w:rPr>
      </w:pPr>
      <w:r>
        <w:rPr>
          <w:color w:val="auto"/>
        </w:rPr>
        <w:t xml:space="preserve">9. </w:t>
      </w:r>
      <w:r>
        <w:rPr>
          <w:rFonts w:hint="eastAsia"/>
          <w:color w:val="auto"/>
        </w:rPr>
        <w:t>本单位接受发包人、监理单位以及有关主管部门对本项目用工实名信息、人员进退场、考勤记录、工资核算、工资支付、专用账户及相关资料的监督、检查和核验，并应按照发包人通知及时提交真实、完整、有效的人员名单、劳动合同或用工资料、考勤记录、工资表、银行流水、签收记录及其他相关材料。本单位不得拒绝、阻挠、拖延或以隐瞒、删改、伪造资料等方式影响监督检查。发包人的审核、监督、付款或未提出异议，不视为对本单位用工事实、工资金额或资料真实性的确认，也不免除本单位应承担的任何责任。</w:t>
      </w:r>
    </w:p>
    <w:p w14:paraId="61AD0AB4">
      <w:pPr>
        <w:spacing w:line="560" w:lineRule="exact"/>
        <w:ind w:firstLine="420" w:firstLineChars="200"/>
        <w:rPr>
          <w:color w:val="auto"/>
        </w:rPr>
      </w:pPr>
      <w:bookmarkStart w:id="276" w:name="auto_fouce_7"/>
      <w:r>
        <w:rPr>
          <w:color w:val="auto"/>
        </w:rPr>
        <w:t xml:space="preserve">10. </w:t>
      </w:r>
      <w:r>
        <w:rPr>
          <w:rFonts w:hint="eastAsia"/>
          <w:color w:val="auto"/>
        </w:rPr>
        <w:t>项目完工、施工人员基本退场或本单位申请工程结算前，本单位应全面核查并结清截至该时点已发生及应付的全部施工人员工资，并向发包人提交工资结清明细、银行支付凭证、施工人员确认记录及发包人要求的其他证明材料。法律规定、主管部门要求或本项目合同约定实行农民工工资专用账户管理的，本单位应按要求办理专用账户的使用、监管及撤销手续；项目依法不适用专用账户管理的，本单位仍应按照发包人要求提供工资支付及无欠薪证明材料。</w:t>
      </w:r>
    </w:p>
    <w:p w14:paraId="046DE4C3">
      <w:pPr>
        <w:spacing w:line="560" w:lineRule="exact"/>
        <w:ind w:firstLine="420" w:firstLineChars="200"/>
        <w:rPr>
          <w:color w:val="auto"/>
        </w:rPr>
      </w:pPr>
      <w:r>
        <w:rPr>
          <w:rFonts w:hint="eastAsia"/>
          <w:color w:val="auto"/>
        </w:rPr>
        <w:t>如本项目适用完工公示、无拖欠工资承诺或专用账户撤销前公示等程序，本单位应按规定完成公示及材料提交。项目存在拖欠工资、工资争议、投诉举报、劳动仲裁、诉讼、行政调查或其他可能影响施工人员工资结清的事项时，本单位不得申请撤销相关专用账户或以项目完工、人员退场、工程验收、工程结算或工程款支付为由免除责任。发包人有权在相关欠付工资金额、可能产生的清偿金额及合理处置费用范围内暂停支付、扣留或抵扣应付工程款，并依据本承诺书及主合同追究本单位违约责任。</w:t>
      </w:r>
      <w:bookmarkEnd w:id="276"/>
    </w:p>
    <w:p w14:paraId="5C9642E5">
      <w:pPr>
        <w:spacing w:line="560" w:lineRule="exact"/>
        <w:ind w:firstLine="420" w:firstLineChars="200"/>
        <w:rPr>
          <w:color w:val="auto"/>
        </w:rPr>
      </w:pPr>
      <w:r>
        <w:rPr>
          <w:rFonts w:hint="eastAsia"/>
          <w:color w:val="auto"/>
        </w:rPr>
        <w:t>本单位违反本条约定，导致发包人代为支付工资、被投诉、约谈、通报、调查、行政处理、媒体曝光、学校秩序受影响或遭受其他损失的，本单位应承担工资清偿、违约金、赔偿金及发包人为处理相关事项支出的全部合理费用。</w:t>
      </w:r>
      <w:bookmarkEnd w:id="275"/>
    </w:p>
    <w:p w14:paraId="4DE9AC57">
      <w:pPr>
        <w:spacing w:line="560" w:lineRule="exact"/>
        <w:ind w:firstLine="420" w:firstLineChars="200"/>
        <w:rPr>
          <w:color w:val="auto"/>
        </w:rPr>
      </w:pPr>
      <w:r>
        <w:rPr>
          <w:rFonts w:hint="eastAsia"/>
          <w:color w:val="auto"/>
        </w:rPr>
        <w:t>二、农民工工资审核承诺</w:t>
      </w:r>
    </w:p>
    <w:p w14:paraId="51EC3029">
      <w:pPr>
        <w:spacing w:line="560" w:lineRule="exact"/>
        <w:ind w:firstLine="420" w:firstLineChars="200"/>
        <w:rPr>
          <w:color w:val="auto"/>
        </w:rPr>
      </w:pPr>
      <w:bookmarkStart w:id="277" w:name="free_25db591bd6b5487fbb1842fcbf8bbc58"/>
      <w:bookmarkStart w:id="278" w:name="auto_fouce_8"/>
      <w:r>
        <w:rPr>
          <w:color w:val="auto"/>
        </w:rPr>
        <w:t xml:space="preserve">1. </w:t>
      </w:r>
      <w:r>
        <w:rPr>
          <w:rFonts w:hint="eastAsia"/>
          <w:color w:val="auto"/>
        </w:rPr>
        <w:t>本单位承诺，在农民工工资审核及后续复核、检查过程中向发包人、监理单位、有关主管部门或其他审核主体提交、录入、上传或提供的全部资料和数据均真实、合法、有效、完整、准确、及时且具有可核验性。前述资料包括但不限于农民工花名册、实名制信息、劳动合同或其他用工资料、人员进退场记录、考勤记录、工资表、工资核算资料、工程量或工作量结算资料、工资发放银行流水及支付凭证、现场施工照片和视频、电子数据及其备份、工资确认记录和投诉处理资料等。</w:t>
      </w:r>
    </w:p>
    <w:p w14:paraId="7A5ED3B0">
      <w:pPr>
        <w:spacing w:line="560" w:lineRule="exact"/>
        <w:ind w:firstLine="420" w:firstLineChars="200"/>
        <w:rPr>
          <w:color w:val="auto"/>
        </w:rPr>
      </w:pPr>
      <w:r>
        <w:rPr>
          <w:rFonts w:hint="eastAsia"/>
          <w:color w:val="auto"/>
        </w:rPr>
        <w:t>本单位应确保前述资料能够真实反映本项目实际用工人数、人员身份、进退场情况、出勤情况、工作内容、工作量、工资标准、应付工资金额及实际支付情况，并保证各项资料之间相互一致，且与“桂建通”平台及其他相关系统录入、上传的信息一致。未经发包人书面同意并无真实依据，本单位不得擅自新增、删除、替换、修改、补录或变更相关信息；确需更正或补录的，应说明原因、提供原始依据，并经发包人认可后进行。</w:t>
      </w:r>
    </w:p>
    <w:p w14:paraId="0B533E58">
      <w:pPr>
        <w:spacing w:line="560" w:lineRule="exact"/>
        <w:ind w:firstLine="420" w:firstLineChars="200"/>
        <w:rPr>
          <w:color w:val="auto"/>
        </w:rPr>
      </w:pPr>
      <w:r>
        <w:rPr>
          <w:rFonts w:hint="eastAsia"/>
          <w:color w:val="auto"/>
        </w:rPr>
        <w:t>本单位严禁伪造、变造、篡改、隐瞒、销毁或擅自删除资料和数据，严禁虚构、冒用、重复申报施工人员，虚增人员数量、出勤天数、工时、工作量、工资标准或工资金额，严禁将非本项目人员或未实际提供劳动的人员纳入申报范围，亦不得通过拆分申报、重复申报、虚假补录或其他方式骗取、套取或扩大工资审核款项。对于资料缺失、相互矛盾、与桂建通平台信息不一致或与实际用工及工资支付情况不符的，本单位应在发包人指定期限内作出书面说明、补充原始资料并承担由此产生的全部责任。发包人的审核、抽查、确认或付款，不视为对本单位提交资料及其真实性、完整性、准确性或实际工资支付责任的最终确认，也不免除本单位应承担的任何责任。</w:t>
      </w:r>
      <w:bookmarkEnd w:id="277"/>
      <w:r>
        <w:rPr>
          <w:rFonts w:hint="eastAsia"/>
          <w:color w:val="auto"/>
        </w:rPr>
        <w:t xml:space="preserve"> </w:t>
      </w:r>
      <w:bookmarkEnd w:id="278"/>
    </w:p>
    <w:p w14:paraId="2CCB2898">
      <w:pPr>
        <w:spacing w:line="560" w:lineRule="exact"/>
        <w:ind w:firstLine="420" w:firstLineChars="200"/>
        <w:rPr>
          <w:color w:val="auto"/>
        </w:rPr>
      </w:pPr>
      <w:r>
        <w:rPr>
          <w:color w:val="auto"/>
        </w:rPr>
        <w:t xml:space="preserve">2. </w:t>
      </w:r>
      <w:r>
        <w:rPr>
          <w:rFonts w:hint="eastAsia"/>
          <w:color w:val="auto"/>
        </w:rPr>
        <w:t>本单位在审核期间指定专人负责对接工作，在要求时限内提交所需材料；无条件提供相关电子数据访问权限、系统后台查看权限，配合现场核实、询问农民工等工作，不推诿、拖延或阻挠；对审核发现的问题，在规定期限内无条件补充、更正或说明；配合人力资源社会保障行政部门、相关行业工程建设主管部门的监督检查，如实提供与农民工工资支付相关的资料，不拒绝、阻碍检查。</w:t>
      </w:r>
    </w:p>
    <w:p w14:paraId="51C7974F">
      <w:pPr>
        <w:spacing w:line="560" w:lineRule="exact"/>
        <w:ind w:firstLine="420" w:firstLineChars="200"/>
        <w:rPr>
          <w:color w:val="auto"/>
        </w:rPr>
      </w:pPr>
      <w:r>
        <w:rPr>
          <w:rFonts w:hint="eastAsia"/>
          <w:color w:val="auto"/>
        </w:rPr>
        <w:t>3. 承诺单位承诺，经审核确认并由发包人拨付的农民工工资款项，仅限用于支付本项目对应农民工工资，不得截留、挪用、转付、抵扣或用于其他任何用途。承诺单位收到相关款项后，应在发包人指定期限内，严格按照确认金额，通过本项目农民工工资专用账户将工资直接、足额支付至对应农民工本人实名银行账户，不得支付给无权收取的其他主体。除依法由银行等机构进行代发外，承诺单位不得以任何方式改变工资款项的实际收款人。</w:t>
      </w:r>
    </w:p>
    <w:p w14:paraId="0A743B97">
      <w:pPr>
        <w:spacing w:line="560" w:lineRule="exact"/>
        <w:ind w:firstLine="420" w:firstLineChars="200"/>
        <w:rPr>
          <w:color w:val="auto"/>
        </w:rPr>
      </w:pPr>
      <w:r>
        <w:rPr>
          <w:rFonts w:hint="eastAsia"/>
          <w:color w:val="auto"/>
        </w:rPr>
        <w:t>承诺单位完成支付后，应立即向发包人提交与实际支付情况相一致的完整资料，包括工资表、工资核算明细、银行回单、账户流水、支付结果明细、施工人员确认记录及发包人要求的其他证明材料。任何款项未实际足额支付至对应农民工本人实名账户，或者支付金额、人员、期间与审核确认内容不一致的，均不视为承诺单位已履行相应工资支付义务；发包人的审核、拨款或未提出异议，均不构成对承诺单位实际支付义务的确认或免除。</w:t>
      </w:r>
    </w:p>
    <w:p w14:paraId="1BCE0884">
      <w:pPr>
        <w:spacing w:line="560" w:lineRule="exact"/>
        <w:ind w:firstLine="420" w:firstLineChars="200"/>
        <w:rPr>
          <w:color w:val="auto"/>
        </w:rPr>
      </w:pPr>
      <w:r>
        <w:rPr>
          <w:rFonts w:hint="eastAsia"/>
          <w:color w:val="auto"/>
        </w:rPr>
        <w:t>4. 如承诺单位存在虚报、多报、重复申报、冒名申报、虚构用工、虚增人员数量、出勤天数、工时、工作量、工资标准或工资金额，提交虚假、变造、不完整或相互矛盾的资料，隐瞒重要信息，擅自修改、删除或补录审核数据，或者因其资料、申报或支付行为不真实、不准确、不完整，导致发包人多支付、误支付、重复支付，或者使发包人承担代付、清偿、追偿、调查、处置或其他风险的，承诺单位应在收到发包人通知之日起3个工作日内退回全部多收、误收、错付或违规取得的款项，并自行承担工资补发、重新核验、审计、调查、追偿、投诉处理、行政处理、诉讼仲裁及其他因此产生的全部费用和损失。</w:t>
      </w:r>
    </w:p>
    <w:p w14:paraId="29F1BF5A">
      <w:pPr>
        <w:spacing w:line="560" w:lineRule="exact"/>
        <w:ind w:firstLine="420" w:firstLineChars="200"/>
        <w:rPr>
          <w:color w:val="auto"/>
        </w:rPr>
      </w:pPr>
      <w:r>
        <w:rPr>
          <w:rFonts w:hint="eastAsia"/>
          <w:color w:val="auto"/>
        </w:rPr>
        <w:t>发包人有权立即暂停、拒绝或暂缓支付相关款项，并有权从应付工程款、结算款、履约保证金、质保金及其他应付款项中直接扣回相关款项及应由承诺单位承担的费用、损失和违约责任；不足部分，承诺单位应在发包人通知的期限内继续足额支付。前述责任不以发包人是否已经完成审核、是否已经付款、相关问题是否已经被主管部门查实，或承诺单位是否具有主观故意为前提。发包人已经审核、确认、拨款或未及时发现相关问题的，均不影响发包人继续追究承诺单位责任。</w:t>
      </w:r>
    </w:p>
    <w:p w14:paraId="604A6DEB">
      <w:pPr>
        <w:spacing w:line="560" w:lineRule="exact"/>
        <w:ind w:firstLine="420" w:firstLineChars="200"/>
        <w:rPr>
          <w:color w:val="auto"/>
        </w:rPr>
      </w:pPr>
      <w:r>
        <w:rPr>
          <w:rFonts w:hint="eastAsia"/>
          <w:color w:val="auto"/>
        </w:rPr>
        <w:t>5. 承诺单位应妥善保存本项目农民工工资支付及审核相关资料不少于5年，包括但不限于劳动合同或用工资料、实名制信息、考勤记录、工资表、工资核算资料、银行流水、支付凭证、人员确认记录、审核资料、整改资料、投诉处理资料及相关电子数据。法律、主管部门或发包人要求更长期限保存的，承诺单位应按照较长期限保存。承诺单位应持续配合发包人的复核、抽查、数据追溯、现场核验、投诉处理及后续清欠工作，不得以项目完工、人员退场、工程验收、结算或付款为由拒绝配合或免除责任。</w:t>
      </w:r>
    </w:p>
    <w:p w14:paraId="448714D3">
      <w:pPr>
        <w:spacing w:line="560" w:lineRule="exact"/>
        <w:ind w:firstLine="420" w:firstLineChars="200"/>
        <w:rPr>
          <w:color w:val="auto"/>
        </w:rPr>
      </w:pPr>
      <w:r>
        <w:rPr>
          <w:rFonts w:hint="eastAsia"/>
          <w:color w:val="auto"/>
        </w:rPr>
        <w:t>6. 承诺单位提交的资料、数据及其形成的项目审核数据，发包人有权为本项目工资审核、付款控制、风险防范、争议处理、审计监督、主管部门检查、投诉处理、内部管理及维护农民工合法权益之目的进行保存、复制、使用、核验、备份和追溯，并有权在必要范围内向有关主管部门、监理单位、审计机构、法律顾问、受托服务机构及其他必要协作方提供。涉及个人信息的，发包人应在实现前述目的所必要的范围内进行处理，并采取相应的安全保护措施。</w:t>
      </w:r>
    </w:p>
    <w:p w14:paraId="07F5613A">
      <w:pPr>
        <w:spacing w:line="560" w:lineRule="exact"/>
        <w:ind w:firstLine="420" w:firstLineChars="200"/>
        <w:rPr>
          <w:color w:val="auto"/>
        </w:rPr>
      </w:pPr>
      <w:r>
        <w:rPr>
          <w:rFonts w:hint="eastAsia"/>
          <w:color w:val="auto"/>
        </w:rPr>
        <w:t>除发包人书面同意或法律、主管部门要求外，承诺单位不得擅自复制、使用、披露、转让、删除、篡改或向任何第三方提供本项目相关资料、数据及其备份；因承诺单位违反前述约定，导致信息泄露、资料失真、工资支付错误、发包人遭受损失或承担相关责任的，承诺单位应承担全部责任并赔偿发包人的全部损失。</w:t>
      </w:r>
    </w:p>
    <w:p w14:paraId="08EC6054">
      <w:pPr>
        <w:spacing w:line="560" w:lineRule="exact"/>
        <w:ind w:firstLine="420" w:firstLineChars="200"/>
        <w:rPr>
          <w:color w:val="auto"/>
        </w:rPr>
      </w:pPr>
      <w:bookmarkStart w:id="279" w:name="free_f5e0b849df9e41aea827ae54413ecb1d"/>
      <w:r>
        <w:rPr>
          <w:rFonts w:hint="eastAsia"/>
          <w:color w:val="auto"/>
        </w:rPr>
        <w:t>三、违约责任承诺</w:t>
      </w:r>
    </w:p>
    <w:p w14:paraId="5C2B804A">
      <w:pPr>
        <w:spacing w:line="560" w:lineRule="exact"/>
        <w:ind w:firstLine="420" w:firstLineChars="200"/>
        <w:rPr>
          <w:color w:val="auto"/>
        </w:rPr>
      </w:pPr>
      <w:r>
        <w:rPr>
          <w:color w:val="auto"/>
        </w:rPr>
        <w:t xml:space="preserve">1. </w:t>
      </w:r>
      <w:r>
        <w:rPr>
          <w:rFonts w:hint="eastAsia"/>
          <w:color w:val="auto"/>
        </w:rPr>
        <w:t>承诺单位有下列任一情形的，均构成违约：</w:t>
      </w:r>
    </w:p>
    <w:p w14:paraId="6F8846CE">
      <w:pPr>
        <w:spacing w:line="560" w:lineRule="exact"/>
        <w:ind w:firstLine="420" w:firstLineChars="200"/>
        <w:rPr>
          <w:color w:val="auto"/>
        </w:rPr>
      </w:pPr>
      <w:r>
        <w:rPr>
          <w:rFonts w:hint="eastAsia"/>
          <w:color w:val="auto"/>
        </w:rPr>
        <w:t>（1）拖欠、克扣、截留、挪用或延迟支付本项目农民工工资；</w:t>
      </w:r>
    </w:p>
    <w:p w14:paraId="79292EC0">
      <w:pPr>
        <w:spacing w:line="560" w:lineRule="exact"/>
        <w:ind w:firstLine="420" w:firstLineChars="200"/>
        <w:rPr>
          <w:color w:val="auto"/>
        </w:rPr>
      </w:pPr>
      <w:r>
        <w:rPr>
          <w:rFonts w:hint="eastAsia"/>
          <w:color w:val="auto"/>
        </w:rPr>
        <w:t>（2）未按要求落实实名制管理、考勤管理、工资专用账户管理、工资代发或工资支付资料保存制度；</w:t>
      </w:r>
    </w:p>
    <w:p w14:paraId="5AEF06FB">
      <w:pPr>
        <w:spacing w:line="560" w:lineRule="exact"/>
        <w:ind w:firstLine="420" w:firstLineChars="200"/>
        <w:rPr>
          <w:color w:val="auto"/>
        </w:rPr>
      </w:pPr>
      <w:r>
        <w:rPr>
          <w:rFonts w:hint="eastAsia"/>
          <w:color w:val="auto"/>
        </w:rPr>
        <w:t>（3）未按发包人要求提交、补充、更正或说明工资支付及审核资料，或者拒绝、拖延、阻碍发包人、监理单位或有关主管部门进行核验、检查；</w:t>
      </w:r>
    </w:p>
    <w:p w14:paraId="56A8049B">
      <w:pPr>
        <w:spacing w:line="560" w:lineRule="exact"/>
        <w:ind w:firstLine="420" w:firstLineChars="200"/>
        <w:rPr>
          <w:color w:val="auto"/>
        </w:rPr>
      </w:pPr>
      <w:r>
        <w:rPr>
          <w:rFonts w:hint="eastAsia"/>
          <w:color w:val="auto"/>
        </w:rPr>
        <w:t>（4）提供虚假、变造、不完整或相互矛盾的资料，虚报、多报、重复申报、冒名申报、虚构用工或虚增人员、出勤、工时、工作量、工资标准及工资金额；</w:t>
      </w:r>
    </w:p>
    <w:p w14:paraId="57BAB071">
      <w:pPr>
        <w:spacing w:line="560" w:lineRule="exact"/>
        <w:ind w:firstLine="420" w:firstLineChars="200"/>
        <w:rPr>
          <w:color w:val="auto"/>
        </w:rPr>
      </w:pPr>
      <w:r>
        <w:rPr>
          <w:rFonts w:hint="eastAsia"/>
          <w:color w:val="auto"/>
        </w:rPr>
        <w:t>（5）实施违法发包、转包、违法分包、挂靠施工，或者将施工内容交由不具备用工主体资格的组织、个人或其他第三方实施；</w:t>
      </w:r>
    </w:p>
    <w:p w14:paraId="21F6F811">
      <w:pPr>
        <w:spacing w:line="560" w:lineRule="exact"/>
        <w:ind w:firstLine="420" w:firstLineChars="200"/>
        <w:rPr>
          <w:color w:val="auto"/>
        </w:rPr>
      </w:pPr>
      <w:r>
        <w:rPr>
          <w:rFonts w:hint="eastAsia"/>
          <w:color w:val="auto"/>
        </w:rPr>
        <w:t>（6）因前述行为引发农民工投诉、集体讨薪、群体性事件、行政调查、行政处罚、媒体曝光、舆情传播或其他不良影响。</w:t>
      </w:r>
    </w:p>
    <w:p w14:paraId="4BFFE93C">
      <w:pPr>
        <w:spacing w:line="560" w:lineRule="exact"/>
        <w:ind w:firstLine="420" w:firstLineChars="200"/>
        <w:rPr>
          <w:color w:val="auto"/>
        </w:rPr>
      </w:pPr>
      <w:r>
        <w:rPr>
          <w:rFonts w:hint="eastAsia"/>
          <w:color w:val="auto"/>
        </w:rPr>
        <w:t>2. 承诺单位发生拖欠、克扣或其他未足额支付农民工工资情形的，无论相关欠薪是否已经由主管部门查实，发包人均有权要求承诺单位立即整改、足额清偿，并有权从应付工程款、结算款、履约保证金及其他应付款项中直接扣划相应款项，用于支付拖欠工资、代付工资、清偿相关费用或降低欠薪风险。发包人采取前述措施，不视为其承接承诺单位的用工或工资支付责任，也不构成发包人逾期付款。</w:t>
      </w:r>
    </w:p>
    <w:p w14:paraId="2E7459BA">
      <w:pPr>
        <w:spacing w:line="560" w:lineRule="exact"/>
        <w:ind w:firstLine="420" w:firstLineChars="200"/>
        <w:rPr>
          <w:color w:val="auto"/>
        </w:rPr>
      </w:pPr>
      <w:r>
        <w:rPr>
          <w:rFonts w:hint="eastAsia"/>
          <w:color w:val="auto"/>
        </w:rPr>
        <w:t>3. 对承诺单位拖欠、克扣或延迟支付农民工工资的行为，发包人有权要求承诺单位按照拖欠工资金额的30%支付违约金。承诺单位还应承担因欠薪导致的工资补发、代付、清偿、重新核验、审计、调查、投诉处理、行政处理、诉讼仲裁、律师代理、差旅、保全、执行及其他全部合理费用和损失。前述违约金不足以弥补发包人损失的，承诺单位仍应继续赔偿差额。</w:t>
      </w:r>
    </w:p>
    <w:p w14:paraId="1928D302">
      <w:pPr>
        <w:spacing w:line="560" w:lineRule="exact"/>
        <w:ind w:firstLine="420" w:firstLineChars="200"/>
        <w:rPr>
          <w:color w:val="auto"/>
        </w:rPr>
      </w:pPr>
      <w:r>
        <w:rPr>
          <w:rFonts w:hint="eastAsia"/>
          <w:color w:val="auto"/>
        </w:rPr>
        <w:t>4</w:t>
      </w:r>
      <w:r>
        <w:rPr>
          <w:color w:val="auto"/>
        </w:rPr>
        <w:t xml:space="preserve">. </w:t>
      </w:r>
      <w:r>
        <w:rPr>
          <w:rFonts w:hint="eastAsia"/>
          <w:color w:val="auto"/>
        </w:rPr>
        <w:t>因承诺单位拖欠工资，导致农民工到发包人办公场所、施工现场或其他公共场所投诉、讨薪，或者导致有关主管部门介入、约谈、责令整改，且承诺单位未能在发包人指定期限内妥善解决的，视为承诺单位根本违约。发包人有权单方解除主合同及本承诺书，并有权暂停付款、扣留或处置履约保证金，按照主合同约定及实际需要优先用于支付拖欠工资、代付工资及处理相关事项。承诺单位应赔偿发包人因此遭受的全部损失。</w:t>
      </w:r>
    </w:p>
    <w:p w14:paraId="0AFD039E">
      <w:pPr>
        <w:spacing w:line="560" w:lineRule="exact"/>
        <w:ind w:firstLine="420" w:firstLineChars="200"/>
        <w:rPr>
          <w:color w:val="auto"/>
        </w:rPr>
      </w:pPr>
      <w:r>
        <w:rPr>
          <w:rFonts w:hint="eastAsia"/>
          <w:color w:val="auto"/>
        </w:rPr>
        <w:t>5</w:t>
      </w:r>
      <w:r>
        <w:rPr>
          <w:color w:val="auto"/>
        </w:rPr>
        <w:t xml:space="preserve">. </w:t>
      </w:r>
      <w:r>
        <w:rPr>
          <w:rFonts w:hint="eastAsia"/>
          <w:color w:val="auto"/>
        </w:rPr>
        <w:t>因承诺单位违法发包、转包、违法分包、挂靠施工，或将施工内容交由不具备用工主体资格的组织、个人或其他第三方实施，导致农民工工资拖欠、投诉、追索或发包人承担代付、清偿责任的，承诺单位应对相关工资承担先行足额清偿责任及最终责任。承诺单位不得以不存在直接劳动关系、实际施工人应承担责任、已向其他主体支付工程款、正在向其他主体追偿或相关主体无力清偿为由拒绝、延迟或减少清偿，并应赔偿发包人因此遭受的全部损失。</w:t>
      </w:r>
    </w:p>
    <w:p w14:paraId="13393635">
      <w:pPr>
        <w:spacing w:line="560" w:lineRule="exact"/>
        <w:ind w:firstLine="420" w:firstLineChars="200"/>
        <w:rPr>
          <w:color w:val="auto"/>
        </w:rPr>
      </w:pPr>
      <w:r>
        <w:rPr>
          <w:rFonts w:hint="eastAsia"/>
          <w:color w:val="auto"/>
        </w:rPr>
        <w:t>6</w:t>
      </w:r>
      <w:r>
        <w:rPr>
          <w:color w:val="auto"/>
        </w:rPr>
        <w:t xml:space="preserve">. </w:t>
      </w:r>
      <w:r>
        <w:rPr>
          <w:rFonts w:hint="eastAsia"/>
          <w:color w:val="auto"/>
        </w:rPr>
        <w:t>承诺单位存在虚报、多报、重复申报、冒名申报、虚构用工、虚增工资或提交虚假资料等行为的，应立即退回全部违规取得、误收或多收款项，并承担重新核验、审计、调查、追偿、投诉处理、行政处理、诉讼仲裁及其他全部费用和损失。发包人有权立即暂停或拒绝支付相关款项，并从应付工程款、结算款、履约保证金及其他应付款项中直接扣回；不足部分由承诺单位继续足额赔偿。前述责任不以发包人是否已经完成审核、是否已经付款、相关问题是否已经被主管部门查实或承诺单位是否存在主观故意为前提。</w:t>
      </w:r>
    </w:p>
    <w:p w14:paraId="2EDA673D">
      <w:pPr>
        <w:spacing w:line="560" w:lineRule="exact"/>
        <w:ind w:firstLine="420" w:firstLineChars="200"/>
        <w:rPr>
          <w:color w:val="auto"/>
        </w:rPr>
      </w:pPr>
      <w:r>
        <w:rPr>
          <w:rFonts w:hint="eastAsia"/>
          <w:color w:val="auto"/>
        </w:rPr>
        <w:t>7</w:t>
      </w:r>
      <w:r>
        <w:rPr>
          <w:color w:val="auto"/>
        </w:rPr>
        <w:t xml:space="preserve">. </w:t>
      </w:r>
      <w:r>
        <w:rPr>
          <w:rFonts w:hint="eastAsia"/>
          <w:color w:val="auto"/>
        </w:rPr>
        <w:t>因承诺单位违规行为导致发包人受到行政处罚、行政问责、约谈、通报、媒体曝光、舆情传播、名誉或商誉受损，或者学校正常办公、教学、管理秩序受到影响的，承诺单位除应采取有效措施消除影响、公开澄清或协助处理外，还应向发包人支付每次人民币200,000元的违约金，并赔偿发包人因此遭受的全部损失。前述违约金与工资清偿、其他违约金、损害赔偿及发包人依据主合同享有的其他权利可以同时主张。</w:t>
      </w:r>
    </w:p>
    <w:p w14:paraId="0589557E">
      <w:pPr>
        <w:spacing w:line="560" w:lineRule="exact"/>
        <w:ind w:firstLine="420" w:firstLineChars="200"/>
        <w:rPr>
          <w:color w:val="auto"/>
        </w:rPr>
      </w:pPr>
      <w:r>
        <w:rPr>
          <w:rFonts w:hint="eastAsia"/>
          <w:color w:val="auto"/>
        </w:rPr>
        <w:t>8. 承诺单位未按要求落实农民工实名制管理、工资专用账户管理、工资代发、工资支付资料保存或其他工资保障制度，导致被有关主管部门查处，或者给发包人造成风险、损失或不良影响的，承诺单位除依法承担相应行政及其他法律责任外，还应向发包人支付合同总价5</w:t>
      </w:r>
      <w:r>
        <w:rPr>
          <w:color w:val="auto"/>
        </w:rPr>
        <w:t>%</w:t>
      </w:r>
      <w:r>
        <w:rPr>
          <w:rFonts w:hint="eastAsia"/>
          <w:color w:val="auto"/>
        </w:rPr>
        <w:t>的违约金；该违约金不足人民币100,000元的，按人民币100,000元计取。承诺单位仍应赔偿发包人因此遭受的全部损失。</w:t>
      </w:r>
    </w:p>
    <w:p w14:paraId="0CA851EE">
      <w:pPr>
        <w:spacing w:line="560" w:lineRule="exact"/>
        <w:ind w:firstLine="420" w:firstLineChars="200"/>
        <w:rPr>
          <w:color w:val="auto"/>
        </w:rPr>
      </w:pPr>
      <w:r>
        <w:rPr>
          <w:rFonts w:hint="eastAsia"/>
          <w:color w:val="auto"/>
        </w:rPr>
        <w:t>9. 对承诺单位违反本承诺书的行为，发包人有权依据主合同、本承诺书及实际损失情况，选择单独或同时采取暂停或拒绝付款、扣划应付款项、扣留或处置履约保证金、要求整改、代付或清偿工资、收取违约金、解除合同、要求赔偿损失及追究其他责任等措施。发包人的部分履行、审核、付款、暂缓追责或未及时行使权利，均不视为对承诺单位违约责任的确认、减免或放弃。</w:t>
      </w:r>
    </w:p>
    <w:p w14:paraId="62795814">
      <w:pPr>
        <w:spacing w:line="560" w:lineRule="exact"/>
        <w:ind w:firstLine="420" w:firstLineChars="200"/>
        <w:rPr>
          <w:color w:val="auto"/>
        </w:rPr>
      </w:pPr>
      <w:r>
        <w:rPr>
          <w:rFonts w:hint="eastAsia"/>
          <w:color w:val="auto"/>
        </w:rPr>
        <w:t>10. 对承诺单位涉嫌违反相关管理规定或涉嫌构成犯罪的情形，承诺单位应配合有关主管部门、公安机关及其他有权机关依法调查、处理，并自行承担相应行政、民事及刑事责任。承诺单位不得以接受行政处理、缴纳罚款或承担刑事责任为由，免除其对发包人承担的合同违约、赔偿、清偿及追偿责任。发包人有权依据适用的内部管理制度及采购规则，对承诺单位采取暂停合作、限制参与后续项目等措施；依法应由有关部门作出的失信惩戒、行政处罚或其他处理，由有权机关依法决定。</w:t>
      </w:r>
      <w:bookmarkEnd w:id="279"/>
    </w:p>
    <w:p w14:paraId="3A6C3D12">
      <w:pPr>
        <w:autoSpaceDN w:val="0"/>
        <w:spacing w:beforeAutospacing="1" w:afterAutospacing="1" w:line="420" w:lineRule="exact"/>
        <w:ind w:firstLine="420" w:firstLineChars="200"/>
        <w:rPr>
          <w:color w:val="auto"/>
        </w:rPr>
      </w:pPr>
      <w:r>
        <w:rPr>
          <w:rFonts w:hint="eastAsia"/>
          <w:color w:val="auto"/>
        </w:rPr>
        <w:t xml:space="preserve">本承诺书作为施工合同附件，就农民工工资支付及与之直接相关的条款独立于施工合同存在，不因主合同无效、撤销或解除而失效；除前述条款外，本承诺书其他条款效力与主合同保持一致。本承诺书自签署之日起生效，有效期至本项目所有农民工工资相关事项彻底解决且无遗留问题，并自农民工工资专用账户撤销之日起满2年之日止。 </w:t>
      </w:r>
    </w:p>
    <w:p w14:paraId="29A235F7">
      <w:pPr>
        <w:wordWrap w:val="0"/>
        <w:spacing w:line="560" w:lineRule="exact"/>
        <w:ind w:firstLine="420" w:firstLineChars="200"/>
        <w:jc w:val="right"/>
        <w:rPr>
          <w:rFonts w:hint="default" w:eastAsia="宋体"/>
          <w:color w:val="auto"/>
          <w:lang w:val="en-US" w:eastAsia="zh-CN"/>
        </w:rPr>
      </w:pPr>
      <w:bookmarkStart w:id="280" w:name="tip_risk_bookmark_22"/>
      <w:r>
        <w:rPr>
          <w:rFonts w:hint="eastAsia"/>
          <w:color w:val="auto"/>
        </w:rPr>
        <w:t>承诺单位（公章）：</w:t>
      </w:r>
      <w:r>
        <w:rPr>
          <w:rFonts w:hint="eastAsia"/>
          <w:color w:val="auto"/>
          <w:u w:val="single"/>
          <w:lang w:val="en-US" w:eastAsia="zh-CN"/>
        </w:rPr>
        <w:t xml:space="preserve">                </w:t>
      </w:r>
    </w:p>
    <w:p w14:paraId="27BF41B4">
      <w:pPr>
        <w:spacing w:line="560" w:lineRule="exact"/>
        <w:ind w:firstLine="420" w:firstLineChars="200"/>
        <w:jc w:val="right"/>
        <w:rPr>
          <w:color w:val="auto"/>
        </w:rPr>
      </w:pPr>
      <w:bookmarkStart w:id="281" w:name="tip_risk_bookmark_23"/>
      <w:r>
        <w:rPr>
          <w:rFonts w:hint="eastAsia"/>
          <w:color w:val="auto"/>
        </w:rPr>
        <w:t>法定代表人/委托代理人（签字）：________________</w:t>
      </w:r>
      <w:bookmarkEnd w:id="280"/>
      <w:bookmarkEnd w:id="281"/>
    </w:p>
    <w:p w14:paraId="5F4A741F">
      <w:pPr>
        <w:wordWrap w:val="0"/>
        <w:spacing w:line="560" w:lineRule="exact"/>
        <w:ind w:firstLine="420" w:firstLineChars="200"/>
        <w:jc w:val="right"/>
        <w:rPr>
          <w:rFonts w:hint="default" w:eastAsia="宋体"/>
          <w:color w:val="auto"/>
          <w:lang w:val="en-US" w:eastAsia="zh-CN"/>
        </w:rPr>
      </w:pPr>
      <w:r>
        <w:rPr>
          <w:rFonts w:hint="eastAsia"/>
          <w:color w:val="auto"/>
        </w:rPr>
        <w:t>联系电话：</w:t>
      </w:r>
      <w:r>
        <w:rPr>
          <w:rFonts w:hint="eastAsia"/>
          <w:color w:val="auto"/>
          <w:u w:val="single"/>
        </w:rPr>
        <w:t xml:space="preserve"> </w:t>
      </w:r>
      <w:r>
        <w:rPr>
          <w:rFonts w:hint="eastAsia"/>
          <w:color w:val="auto"/>
          <w:u w:val="single"/>
          <w:lang w:val="en-US" w:eastAsia="zh-CN"/>
        </w:rPr>
        <w:t xml:space="preserve">               </w:t>
      </w:r>
    </w:p>
    <w:p w14:paraId="11B8AA28">
      <w:pPr>
        <w:keepNext w:val="0"/>
        <w:keepLines w:val="0"/>
        <w:pageBreakBefore w:val="0"/>
        <w:widowControl w:val="0"/>
        <w:kinsoku/>
        <w:wordWrap w:val="0"/>
        <w:overflowPunct/>
        <w:topLinePunct w:val="0"/>
        <w:autoSpaceDE/>
        <w:autoSpaceDN/>
        <w:bidi w:val="0"/>
        <w:adjustRightInd/>
        <w:snapToGrid/>
        <w:spacing w:line="560" w:lineRule="exact"/>
        <w:ind w:firstLine="420" w:firstLineChars="200"/>
        <w:jc w:val="right"/>
        <w:textAlignment w:val="auto"/>
        <w:rPr>
          <w:rFonts w:hint="eastAsia"/>
          <w:color w:val="auto"/>
          <w:highlight w:val="none"/>
          <w:lang w:val="en-US" w:eastAsia="zh-CN"/>
        </w:rPr>
      </w:pPr>
    </w:p>
    <w:sectPr>
      <w:footerReference r:id="rId13" w:type="default"/>
      <w:pgSz w:w="11906" w:h="16838"/>
      <w:pgMar w:top="1134" w:right="1247" w:bottom="1134" w:left="1134" w:header="851" w:footer="992" w:gutter="0"/>
      <w:pgNumType w:fmt="decimal"/>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2F0523">
    <w:pPr>
      <w:pStyle w:val="6"/>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16C89B">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516C89B">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1CB0BE">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2700">
                        <a:noFill/>
                      </a:ln>
                    </wps:spPr>
                    <wps:txbx>
                      <w:txbxContent>
                        <w:p w14:paraId="243E271C">
                          <w:pPr>
                            <w:pStyle w:val="6"/>
                          </w:pPr>
                          <w:r>
                            <w:rPr>
                              <w:rFonts w:hint="eastAsia"/>
                            </w:rPr>
                            <w:fldChar w:fldCharType="begin"/>
                          </w:r>
                          <w:r>
                            <w:rPr>
                              <w:rFonts w:hint="eastAsia"/>
                            </w:rPr>
                            <w:instrText xml:space="preserve"> PAGE  \* MERGEFORMAT </w:instrText>
                          </w:r>
                          <w:r>
                            <w:rPr>
                              <w:rFonts w:hint="eastAsia"/>
                            </w:rPr>
                            <w:fldChar w:fldCharType="separate"/>
                          </w:r>
                          <w:r>
                            <w:t>0</w:t>
                          </w:r>
                          <w:r>
                            <w:rPr>
                              <w:rFonts w:hint="eastAsia"/>
                            </w:rPr>
                            <w:fldChar w:fldCharType="end"/>
                          </w:r>
                        </w:p>
                      </w:txbxContent>
                    </wps:txbx>
                    <wps:bodyPr rot="0" vert="horz" wrap="none" lIns="0" tIns="0" rIns="0" bIns="0" anchor="t" anchorCtr="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yJ92v0wAAAAUBAAAPAAAA&#10;AAAAAAEAIAAAACIAAABkcnMvZG93bnJldi54bWxQSwECFAAUAAAACACHTuJAEPR7/uEBAADEAwAA&#10;DgAAAAAAAAABACAAAAAiAQAAZHJzL2Uyb0RvYy54bWxQSwUGAAAAAAYABgBZAQAAdQUAAAAA&#10;">
              <v:fill on="f" focussize="0,0"/>
              <v:stroke on="f" weight="1pt"/>
              <v:imagedata o:title=""/>
              <o:lock v:ext="edit" aspectratio="f"/>
              <v:textbox inset="0mm,0mm,0mm,0mm" style="mso-fit-shape-to-text:t;">
                <w:txbxContent>
                  <w:p w14:paraId="243E271C">
                    <w:pPr>
                      <w:pStyle w:val="6"/>
                    </w:pPr>
                    <w:r>
                      <w:rPr>
                        <w:rFonts w:hint="eastAsia"/>
                      </w:rPr>
                      <w:fldChar w:fldCharType="begin"/>
                    </w:r>
                    <w:r>
                      <w:rPr>
                        <w:rFonts w:hint="eastAsia"/>
                      </w:rPr>
                      <w:instrText xml:space="preserve"> PAGE  \* MERGEFORMAT </w:instrText>
                    </w:r>
                    <w:r>
                      <w:rPr>
                        <w:rFonts w:hint="eastAsia"/>
                      </w:rPr>
                      <w:fldChar w:fldCharType="separate"/>
                    </w:r>
                    <w:r>
                      <w:t>0</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7C0FA4">
    <w:pPr>
      <w:pStyle w:val="6"/>
    </w:pPr>
    <w:r>
      <w:rPr>
        <w:sz w:val="18"/>
      </w:rPr>
      <mc:AlternateContent>
        <mc:Choice Requires="wps">
          <w:drawing>
            <wp:anchor distT="0" distB="0" distL="114300" distR="114300" simplePos="0" relativeHeight="25231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0349B9">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231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E0349B9">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4C39C7">
    <w:pPr>
      <w:pStyle w:val="6"/>
    </w:pPr>
    <w:r>
      <w:rPr>
        <w:sz w:val="18"/>
      </w:rPr>
      <mc:AlternateContent>
        <mc:Choice Requires="wps">
          <w:drawing>
            <wp:anchor distT="0" distB="0" distL="114300" distR="114300" simplePos="0" relativeHeight="25231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746729">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231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F746729">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3578C">
    <w:pPr>
      <w:pStyle w:val="6"/>
    </w:pPr>
    <w:r>
      <w:rPr>
        <w:sz w:val="18"/>
      </w:rPr>
      <mc:AlternateContent>
        <mc:Choice Requires="wps">
          <w:drawing>
            <wp:anchor distT="0" distB="0" distL="114300" distR="114300" simplePos="0" relativeHeight="25231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D36001">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231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3ED36001">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46507B">
    <w:r>
      <w:pict>
        <v:shape id="_x0000_s4145" o:spid="_x0000_s4145" o:spt="136" type="#_x0000_t136" style="position:absolute;left:0pt;margin-left:-45pt;margin-top:68pt;height:12pt;width:116pt;z-index:25225011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146" o:spid="_x0000_s4146" o:spt="136" type="#_x0000_t136" style="position:absolute;left:0pt;margin-left:-45pt;margin-top:256pt;height:12pt;width:116pt;z-index:25225113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147" o:spid="_x0000_s4147" o:spt="136" type="#_x0000_t136" style="position:absolute;left:0pt;margin-left:-45pt;margin-top:457pt;height:12pt;width:116pt;z-index:25225216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148" o:spid="_x0000_s4148" o:spt="136" type="#_x0000_t136" style="position:absolute;left:0pt;margin-left:-45pt;margin-top:670pt;height:12pt;width:116pt;z-index:25225318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149" o:spid="_x0000_s4149" o:spt="136" type="#_x0000_t136" style="position:absolute;left:0pt;margin-left:145pt;margin-top:57pt;height:12pt;width:116pt;z-index:25225420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150" o:spid="_x0000_s4150" o:spt="136" type="#_x0000_t136" style="position:absolute;left:0pt;margin-left:145pt;margin-top:268pt;height:12pt;width:116pt;z-index:25225523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151" o:spid="_x0000_s4151" o:spt="136" type="#_x0000_t136" style="position:absolute;left:0pt;margin-left:145pt;margin-top:458pt;height:12pt;width:116pt;z-index:25225625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152" o:spid="_x0000_s4152" o:spt="136" type="#_x0000_t136" style="position:absolute;left:0pt;margin-left:145pt;margin-top:670pt;height:12pt;width:116pt;z-index:25225728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153" o:spid="_x0000_s4153" o:spt="136" type="#_x0000_t136" style="position:absolute;left:0pt;margin-left:341pt;margin-top:57pt;height:12pt;width:116pt;z-index:25225830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154" o:spid="_x0000_s4154" o:spt="136" type="#_x0000_t136" style="position:absolute;left:0pt;margin-left:341pt;margin-top:269pt;height:12pt;width:116pt;z-index:25225932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155" o:spid="_x0000_s4155" o:spt="136" type="#_x0000_t136" style="position:absolute;left:0pt;margin-left:341pt;margin-top:461pt;height:12pt;width:116pt;z-index:25226035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156" o:spid="_x0000_s4156" o:spt="136" type="#_x0000_t136" style="position:absolute;left:0pt;margin-left:341pt;margin-top:659pt;height:12pt;width:116pt;z-index:25226137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157" o:spid="_x0000_s4157" o:spt="136" type="#_x0000_t136" style="position:absolute;left:0pt;margin-left:545pt;margin-top:67pt;height:12pt;width:116pt;z-index:25226240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158" o:spid="_x0000_s4158" o:spt="136" type="#_x0000_t136" style="position:absolute;left:0pt;margin-left:545pt;margin-top:265pt;height:12pt;width:116pt;z-index:25226342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159" o:spid="_x0000_s4159" o:spt="136" type="#_x0000_t136" style="position:absolute;left:0pt;margin-left:545pt;margin-top:457pt;height:12pt;width:116pt;z-index:25226444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160" o:spid="_x0000_s4160" o:spt="136" type="#_x0000_t136" style="position:absolute;left:0pt;margin-left:545pt;margin-top:657pt;height:12pt;width:116pt;z-index:25226547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p w14:paraId="3638BCFB">
    <w:r>
      <w:pict>
        <v:shape id="_x0000_s4161" o:spid="_x0000_s4161" o:spt="136" type="#_x0000_t136" style="position:absolute;left:0pt;margin-left:-59pt;margin-top:68pt;height:12pt;width:116pt;z-index:25218457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162" o:spid="_x0000_s4162" o:spt="136" type="#_x0000_t136" style="position:absolute;left:0pt;margin-left:-59pt;margin-top:268pt;height:12pt;width:116pt;z-index:25218560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163" o:spid="_x0000_s4163" o:spt="136" type="#_x0000_t136" style="position:absolute;left:0pt;margin-left:-59pt;margin-top:456pt;height:12pt;width:116pt;z-index:25218662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164" o:spid="_x0000_s4164" o:spt="136" type="#_x0000_t136" style="position:absolute;left:0pt;margin-left:-59pt;margin-top:656pt;height:12pt;width:116pt;z-index:25218764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165" o:spid="_x0000_s4165" o:spt="136" type="#_x0000_t136" style="position:absolute;left:0pt;margin-left:151pt;margin-top:65pt;height:12pt;width:116pt;z-index:25218867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166" o:spid="_x0000_s4166" o:spt="136" type="#_x0000_t136" style="position:absolute;left:0pt;margin-left:151pt;margin-top:267pt;height:12pt;width:116pt;z-index:25218969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167" o:spid="_x0000_s4167" o:spt="136" type="#_x0000_t136" style="position:absolute;left:0pt;margin-left:151pt;margin-top:460pt;height:12pt;width:116pt;z-index:25219072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168" o:spid="_x0000_s4168" o:spt="136" type="#_x0000_t136" style="position:absolute;left:0pt;margin-left:151pt;margin-top:663pt;height:12pt;width:116pt;z-index:25219174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169" o:spid="_x0000_s4169" o:spt="136" type="#_x0000_t136" style="position:absolute;left:0pt;margin-left:342pt;margin-top:59pt;height:12pt;width:116pt;z-index:25219276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170" o:spid="_x0000_s4170" o:spt="136" type="#_x0000_t136" style="position:absolute;left:0pt;margin-left:342pt;margin-top:267pt;height:12pt;width:116pt;z-index:25219379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171" o:spid="_x0000_s4171" o:spt="136" type="#_x0000_t136" style="position:absolute;left:0pt;margin-left:342pt;margin-top:457pt;height:12pt;width:116pt;z-index:25219481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172" o:spid="_x0000_s4172" o:spt="136" type="#_x0000_t136" style="position:absolute;left:0pt;margin-left:342pt;margin-top:659pt;height:12pt;width:116pt;z-index:25219584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173" o:spid="_x0000_s4173" o:spt="136" type="#_x0000_t136" style="position:absolute;left:0pt;margin-left:554pt;margin-top:60pt;height:12pt;width:116pt;z-index:25219686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174" o:spid="_x0000_s4174" o:spt="136" type="#_x0000_t136" style="position:absolute;left:0pt;margin-left:554pt;margin-top:256pt;height:12pt;width:116pt;z-index:25219788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175" o:spid="_x0000_s4175" o:spt="136" type="#_x0000_t136" style="position:absolute;left:0pt;margin-left:554pt;margin-top:462pt;height:12pt;width:116pt;z-index:25219891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176" o:spid="_x0000_s4176" o:spt="136" type="#_x0000_t136" style="position:absolute;left:0pt;margin-left:554pt;margin-top:659pt;height:12pt;width:116pt;z-index:25219993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p>
  <w:p w14:paraId="0AD7D756">
    <w:r>
      <w:pict>
        <v:shape id="_x0000_s4177" o:spid="_x0000_s4177" o:spt="136" type="#_x0000_t136" style="position:absolute;left:0pt;margin-left:-51pt;margin-top:59pt;height:12pt;width:116pt;z-index:25213542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178" o:spid="_x0000_s4178" o:spt="136" type="#_x0000_t136" style="position:absolute;left:0pt;margin-left:-51pt;margin-top:256pt;height:12pt;width:116pt;z-index:25213644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179" o:spid="_x0000_s4179" o:spt="136" type="#_x0000_t136" style="position:absolute;left:0pt;margin-left:-51pt;margin-top:464pt;height:12pt;width:116pt;z-index:25213747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180" o:spid="_x0000_s4180" o:spt="136" type="#_x0000_t136" style="position:absolute;left:0pt;margin-left:-51pt;margin-top:657pt;height:12pt;width:116pt;z-index:25213849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181" o:spid="_x0000_s4181" o:spt="136" type="#_x0000_t136" style="position:absolute;left:0pt;margin-left:150pt;margin-top:65pt;height:12pt;width:116pt;z-index:25213952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182" o:spid="_x0000_s4182" o:spt="136" type="#_x0000_t136" style="position:absolute;left:0pt;margin-left:150pt;margin-top:268pt;height:12pt;width:116pt;z-index:25214054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183" o:spid="_x0000_s4183" o:spt="136" type="#_x0000_t136" style="position:absolute;left:0pt;margin-left:150pt;margin-top:457pt;height:12pt;width:116pt;z-index:25214156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184" o:spid="_x0000_s4184" o:spt="136" type="#_x0000_t136" style="position:absolute;left:0pt;margin-left:150pt;margin-top:662pt;height:12pt;width:116pt;z-index:25214259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185" o:spid="_x0000_s4185" o:spt="136" type="#_x0000_t136" style="position:absolute;left:0pt;margin-left:350pt;margin-top:56pt;height:12pt;width:116pt;z-index:25214361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186" o:spid="_x0000_s4186" o:spt="136" type="#_x0000_t136" style="position:absolute;left:0pt;margin-left:350pt;margin-top:261pt;height:12pt;width:116pt;z-index:25214464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187" o:spid="_x0000_s4187" o:spt="136" type="#_x0000_t136" style="position:absolute;left:0pt;margin-left:350pt;margin-top:465pt;height:12pt;width:116pt;z-index:25214566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188" o:spid="_x0000_s4188" o:spt="136" type="#_x0000_t136" style="position:absolute;left:0pt;margin-left:350pt;margin-top:658pt;height:12pt;width:116pt;z-index:25214668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189" o:spid="_x0000_s4189" o:spt="136" type="#_x0000_t136" style="position:absolute;left:0pt;margin-left:543pt;margin-top:57pt;height:12pt;width:116pt;z-index:25214771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190" o:spid="_x0000_s4190" o:spt="136" type="#_x0000_t136" style="position:absolute;left:0pt;margin-left:543pt;margin-top:268pt;height:12pt;width:116pt;z-index:25214873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191" o:spid="_x0000_s4191" o:spt="136" type="#_x0000_t136" style="position:absolute;left:0pt;margin-left:543pt;margin-top:456pt;height:12pt;width:116pt;z-index:25214976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192" o:spid="_x0000_s4192" o:spt="136" type="#_x0000_t136" style="position:absolute;left:0pt;margin-left:543pt;margin-top:658pt;height:12pt;width:116pt;z-index:25215078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p>
  <w:p w14:paraId="4F5946F1">
    <w:r>
      <w:pict>
        <v:shape id="_x0000_s4193" o:spid="_x0000_s4193" o:spt="136" type="#_x0000_t136" style="position:absolute;left:0pt;margin-left:-49pt;margin-top:57pt;height:12pt;width:116pt;z-index:25206988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194" o:spid="_x0000_s4194" o:spt="136" type="#_x0000_t136" style="position:absolute;left:0pt;margin-left:-49pt;margin-top:259pt;height:12pt;width:116pt;z-index:25207091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195" o:spid="_x0000_s4195" o:spt="136" type="#_x0000_t136" style="position:absolute;left:0pt;margin-left:-49pt;margin-top:456pt;height:12pt;width:116pt;z-index:25207193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196" o:spid="_x0000_s4196" o:spt="136" type="#_x0000_t136" style="position:absolute;left:0pt;margin-left:-49pt;margin-top:656pt;height:12pt;width:116pt;z-index:25207296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197" o:spid="_x0000_s4197" o:spt="136" type="#_x0000_t136" style="position:absolute;left:0pt;margin-left:141pt;margin-top:63pt;height:12pt;width:116pt;z-index:25207398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198" o:spid="_x0000_s4198" o:spt="136" type="#_x0000_t136" style="position:absolute;left:0pt;margin-left:141pt;margin-top:262pt;height:12pt;width:116pt;z-index:25207500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199" o:spid="_x0000_s4199" o:spt="136" type="#_x0000_t136" style="position:absolute;left:0pt;margin-left:141pt;margin-top:460pt;height:12pt;width:116pt;z-index:25207603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00" o:spid="_x0000_s4200" o:spt="136" type="#_x0000_t136" style="position:absolute;left:0pt;margin-left:141pt;margin-top:670pt;height:12pt;width:116pt;z-index:25207705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01" o:spid="_x0000_s4201" o:spt="136" type="#_x0000_t136" style="position:absolute;left:0pt;margin-left:344pt;margin-top:61pt;height:12pt;width:116pt;z-index:25207808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02" o:spid="_x0000_s4202" o:spt="136" type="#_x0000_t136" style="position:absolute;left:0pt;margin-left:344pt;margin-top:265pt;height:12pt;width:116pt;z-index:25207910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03" o:spid="_x0000_s4203" o:spt="136" type="#_x0000_t136" style="position:absolute;left:0pt;margin-left:344pt;margin-top:468pt;height:12pt;width:116pt;z-index:25208012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04" o:spid="_x0000_s4204" o:spt="136" type="#_x0000_t136" style="position:absolute;left:0pt;margin-left:344pt;margin-top:670pt;height:12pt;width:116pt;z-index:25208115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05" o:spid="_x0000_s4205" o:spt="136" type="#_x0000_t136" style="position:absolute;left:0pt;margin-left:543pt;margin-top:59pt;height:12pt;width:116pt;z-index:25208217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06" o:spid="_x0000_s4206" o:spt="136" type="#_x0000_t136" style="position:absolute;left:0pt;margin-left:543pt;margin-top:256pt;height:12pt;width:116pt;z-index:25208320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07" o:spid="_x0000_s4207" o:spt="136" type="#_x0000_t136" style="position:absolute;left:0pt;margin-left:543pt;margin-top:461pt;height:12pt;width:116pt;z-index:25208422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08" o:spid="_x0000_s4208" o:spt="136" type="#_x0000_t136" style="position:absolute;left:0pt;margin-left:543pt;margin-top:670pt;height:12pt;width:116pt;z-index:25208524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p w14:paraId="08114D84">
    <w:r>
      <w:pict>
        <v:shape id="_x0000_s4209" o:spid="_x0000_s4209" o:spt="136" type="#_x0000_t136" style="position:absolute;left:0pt;margin-left:-60pt;margin-top:57pt;height:12pt;width:116pt;z-index:25198796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10" o:spid="_x0000_s4210" o:spt="136" type="#_x0000_t136" style="position:absolute;left:0pt;margin-left:-60pt;margin-top:260pt;height:12pt;width:116pt;z-index:25198899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11" o:spid="_x0000_s4211" o:spt="136" type="#_x0000_t136" style="position:absolute;left:0pt;margin-left:-60pt;margin-top:458pt;height:12pt;width:116pt;z-index:25199001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12" o:spid="_x0000_s4212" o:spt="136" type="#_x0000_t136" style="position:absolute;left:0pt;margin-left:-60pt;margin-top:665pt;height:12pt;width:116pt;z-index:25199104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13" o:spid="_x0000_s4213" o:spt="136" type="#_x0000_t136" style="position:absolute;left:0pt;margin-left:145pt;margin-top:55pt;height:12pt;width:116pt;z-index:25199206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14" o:spid="_x0000_s4214" o:spt="136" type="#_x0000_t136" style="position:absolute;left:0pt;margin-left:145pt;margin-top:256pt;height:12pt;width:116pt;z-index:25199308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15" o:spid="_x0000_s4215" o:spt="136" type="#_x0000_t136" style="position:absolute;left:0pt;margin-left:145pt;margin-top:462pt;height:12pt;width:116pt;z-index:25199411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16" o:spid="_x0000_s4216" o:spt="136" type="#_x0000_t136" style="position:absolute;left:0pt;margin-left:145pt;margin-top:670pt;height:12pt;width:116pt;z-index:25199513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17" o:spid="_x0000_s4217" o:spt="136" type="#_x0000_t136" style="position:absolute;left:0pt;margin-left:349pt;margin-top:68pt;height:12pt;width:116pt;z-index:25199616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18" o:spid="_x0000_s4218" o:spt="136" type="#_x0000_t136" style="position:absolute;left:0pt;margin-left:349pt;margin-top:265pt;height:12pt;width:116pt;z-index:25199718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19" o:spid="_x0000_s4219" o:spt="136" type="#_x0000_t136" style="position:absolute;left:0pt;margin-left:349pt;margin-top:462pt;height:12pt;width:116pt;z-index:25199820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20" o:spid="_x0000_s4220" o:spt="136" type="#_x0000_t136" style="position:absolute;left:0pt;margin-left:349pt;margin-top:663pt;height:12pt;width:116pt;z-index:25199923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21" o:spid="_x0000_s4221" o:spt="136" type="#_x0000_t136" style="position:absolute;left:0pt;margin-left:551pt;margin-top:57pt;height:12pt;width:116pt;z-index:25200025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22" o:spid="_x0000_s4222" o:spt="136" type="#_x0000_t136" style="position:absolute;left:0pt;margin-left:551pt;margin-top:260pt;height:12pt;width:116pt;z-index:25200128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23" o:spid="_x0000_s4223" o:spt="136" type="#_x0000_t136" style="position:absolute;left:0pt;margin-left:551pt;margin-top:457pt;height:12pt;width:116pt;z-index:25200230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24" o:spid="_x0000_s4224" o:spt="136" type="#_x0000_t136" style="position:absolute;left:0pt;margin-left:551pt;margin-top:659pt;height:12pt;width:116pt;z-index:25200332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p>
  <w:p w14:paraId="2A5EFF74">
    <w:r>
      <w:pict>
        <v:shape id="_x0000_s4225" o:spid="_x0000_s4225" o:spt="136" type="#_x0000_t136" style="position:absolute;left:0pt;margin-left:-60pt;margin-top:67pt;height:12pt;width:116pt;z-index:25193881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26" o:spid="_x0000_s4226" o:spt="136" type="#_x0000_t136" style="position:absolute;left:0pt;margin-left:-60pt;margin-top:256pt;height:12pt;width:116pt;z-index:25193984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27" o:spid="_x0000_s4227" o:spt="136" type="#_x0000_t136" style="position:absolute;left:0pt;margin-left:-60pt;margin-top:466pt;height:12pt;width:116pt;z-index:25194086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28" o:spid="_x0000_s4228" o:spt="136" type="#_x0000_t136" style="position:absolute;left:0pt;margin-left:-60pt;margin-top:668pt;height:12pt;width:116pt;z-index:25194188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29" o:spid="_x0000_s4229" o:spt="136" type="#_x0000_t136" style="position:absolute;left:0pt;margin-left:140pt;margin-top:59pt;height:12pt;width:116pt;z-index:25194291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30" o:spid="_x0000_s4230" o:spt="136" type="#_x0000_t136" style="position:absolute;left:0pt;margin-left:140pt;margin-top:261pt;height:12pt;width:116pt;z-index:25194393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31" o:spid="_x0000_s4231" o:spt="136" type="#_x0000_t136" style="position:absolute;left:0pt;margin-left:140pt;margin-top:465pt;height:12pt;width:116pt;z-index:25194496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32" o:spid="_x0000_s4232" o:spt="136" type="#_x0000_t136" style="position:absolute;left:0pt;margin-left:140pt;margin-top:657pt;height:12pt;width:116pt;z-index:25194598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33" o:spid="_x0000_s4233" o:spt="136" type="#_x0000_t136" style="position:absolute;left:0pt;margin-left:350pt;margin-top:63pt;height:12pt;width:116pt;z-index:25194700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34" o:spid="_x0000_s4234" o:spt="136" type="#_x0000_t136" style="position:absolute;left:0pt;margin-left:350pt;margin-top:265pt;height:12pt;width:116pt;z-index:25194803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35" o:spid="_x0000_s4235" o:spt="136" type="#_x0000_t136" style="position:absolute;left:0pt;margin-left:350pt;margin-top:457pt;height:12pt;width:116pt;z-index:25194905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36" o:spid="_x0000_s4236" o:spt="136" type="#_x0000_t136" style="position:absolute;left:0pt;margin-left:350pt;margin-top:664pt;height:12pt;width:116pt;z-index:25195008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37" o:spid="_x0000_s4237" o:spt="136" type="#_x0000_t136" style="position:absolute;left:0pt;margin-left:554pt;margin-top:68pt;height:12pt;width:116pt;z-index:25195110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38" o:spid="_x0000_s4238" o:spt="136" type="#_x0000_t136" style="position:absolute;left:0pt;margin-left:554pt;margin-top:269pt;height:12pt;width:116pt;z-index:25195212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39" o:spid="_x0000_s4239" o:spt="136" type="#_x0000_t136" style="position:absolute;left:0pt;margin-left:554pt;margin-top:457pt;height:12pt;width:116pt;z-index:25195315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40" o:spid="_x0000_s4240" o:spt="136" type="#_x0000_t136" style="position:absolute;left:0pt;margin-left:554pt;margin-top:658pt;height:12pt;width:116pt;z-index:25195417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p w14:paraId="5D1623ED">
    <w:r>
      <w:pict>
        <v:shape id="_x0000_s4241" o:spid="_x0000_s4241" o:spt="136" type="#_x0000_t136" style="position:absolute;left:0pt;margin-left:-51pt;margin-top:64pt;height:12pt;width:116pt;z-index:25185689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42" o:spid="_x0000_s4242" o:spt="136" type="#_x0000_t136" style="position:absolute;left:0pt;margin-left:-51pt;margin-top:265pt;height:12pt;width:116pt;z-index:25185792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43" o:spid="_x0000_s4243" o:spt="136" type="#_x0000_t136" style="position:absolute;left:0pt;margin-left:-51pt;margin-top:463pt;height:12pt;width:116pt;z-index:25185894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44" o:spid="_x0000_s4244" o:spt="136" type="#_x0000_t136" style="position:absolute;left:0pt;margin-left:-51pt;margin-top:668pt;height:12pt;width:116pt;z-index:25185996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45" o:spid="_x0000_s4245" o:spt="136" type="#_x0000_t136" style="position:absolute;left:0pt;margin-left:151pt;margin-top:60pt;height:12pt;width:116pt;z-index:25186099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46" o:spid="_x0000_s4246" o:spt="136" type="#_x0000_t136" style="position:absolute;left:0pt;margin-left:151pt;margin-top:265pt;height:12pt;width:116pt;z-index:25186201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47" o:spid="_x0000_s4247" o:spt="136" type="#_x0000_t136" style="position:absolute;left:0pt;margin-left:151pt;margin-top:464pt;height:12pt;width:116pt;z-index:25186304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48" o:spid="_x0000_s4248" o:spt="136" type="#_x0000_t136" style="position:absolute;left:0pt;margin-left:151pt;margin-top:668pt;height:12pt;width:116pt;z-index:25186406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49" o:spid="_x0000_s4249" o:spt="136" type="#_x0000_t136" style="position:absolute;left:0pt;margin-left:344pt;margin-top:56pt;height:12pt;width:116pt;z-index:25186508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50" o:spid="_x0000_s4250" o:spt="136" type="#_x0000_t136" style="position:absolute;left:0pt;margin-left:344pt;margin-top:264pt;height:12pt;width:116pt;z-index:25186611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51" o:spid="_x0000_s4251" o:spt="136" type="#_x0000_t136" style="position:absolute;left:0pt;margin-left:344pt;margin-top:459pt;height:12pt;width:116pt;z-index:25186713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52" o:spid="_x0000_s4252" o:spt="136" type="#_x0000_t136" style="position:absolute;left:0pt;margin-left:344pt;margin-top:669pt;height:12pt;width:116pt;z-index:25186816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53" o:spid="_x0000_s4253" o:spt="136" type="#_x0000_t136" style="position:absolute;left:0pt;margin-left:548pt;margin-top:69pt;height:12pt;width:116pt;z-index:25186918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54" o:spid="_x0000_s4254" o:spt="136" type="#_x0000_t136" style="position:absolute;left:0pt;margin-left:548pt;margin-top:263pt;height:12pt;width:116pt;z-index:25187020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55" o:spid="_x0000_s4255" o:spt="136" type="#_x0000_t136" style="position:absolute;left:0pt;margin-left:548pt;margin-top:460pt;height:12pt;width:116pt;z-index:25187123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56" o:spid="_x0000_s4256" o:spt="136" type="#_x0000_t136" style="position:absolute;left:0pt;margin-left:548pt;margin-top:662pt;height:12pt;width:116pt;z-index:25187225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p>
  <w:p w14:paraId="1ACD6ABA">
    <w:r>
      <w:pict>
        <v:shape id="_x0000_s4257" o:spid="_x0000_s4257" o:spt="136" type="#_x0000_t136" style="position:absolute;left:0pt;margin-left:-54pt;margin-top:60pt;height:12pt;width:116pt;z-index:25180774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58" o:spid="_x0000_s4258" o:spt="136" type="#_x0000_t136" style="position:absolute;left:0pt;margin-left:-54pt;margin-top:265pt;height:12pt;width:116pt;z-index:25180876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59" o:spid="_x0000_s4259" o:spt="136" type="#_x0000_t136" style="position:absolute;left:0pt;margin-left:-54pt;margin-top:465pt;height:12pt;width:116pt;z-index:25180979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60" o:spid="_x0000_s4260" o:spt="136" type="#_x0000_t136" style="position:absolute;left:0pt;margin-left:-54pt;margin-top:661pt;height:12pt;width:116pt;z-index:25181081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61" o:spid="_x0000_s4261" o:spt="136" type="#_x0000_t136" style="position:absolute;left:0pt;margin-left:141pt;margin-top:56pt;height:12pt;width:116pt;z-index:25181184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62" o:spid="_x0000_s4262" o:spt="136" type="#_x0000_t136" style="position:absolute;left:0pt;margin-left:141pt;margin-top:258pt;height:12pt;width:116pt;z-index:25181286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63" o:spid="_x0000_s4263" o:spt="136" type="#_x0000_t136" style="position:absolute;left:0pt;margin-left:141pt;margin-top:466pt;height:12pt;width:116pt;z-index:25181388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64" o:spid="_x0000_s4264" o:spt="136" type="#_x0000_t136" style="position:absolute;left:0pt;margin-left:141pt;margin-top:657pt;height:12pt;width:116pt;z-index:25181491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65" o:spid="_x0000_s4265" o:spt="136" type="#_x0000_t136" style="position:absolute;left:0pt;margin-left:342pt;margin-top:67pt;height:12pt;width:116pt;z-index:25181593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66" o:spid="_x0000_s4266" o:spt="136" type="#_x0000_t136" style="position:absolute;left:0pt;margin-left:342pt;margin-top:261pt;height:12pt;width:116pt;z-index:25181696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67" o:spid="_x0000_s4267" o:spt="136" type="#_x0000_t136" style="position:absolute;left:0pt;margin-left:342pt;margin-top:455pt;height:12pt;width:116pt;z-index:25181798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68" o:spid="_x0000_s4268" o:spt="136" type="#_x0000_t136" style="position:absolute;left:0pt;margin-left:342pt;margin-top:667pt;height:12pt;width:116pt;z-index:25181900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69" o:spid="_x0000_s4269" o:spt="136" type="#_x0000_t136" style="position:absolute;left:0pt;margin-left:545pt;margin-top:65pt;height:12pt;width:116pt;z-index:25182003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70" o:spid="_x0000_s4270" o:spt="136" type="#_x0000_t136" style="position:absolute;left:0pt;margin-left:545pt;margin-top:269pt;height:12pt;width:116pt;z-index:25182105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71" o:spid="_x0000_s4271" o:spt="136" type="#_x0000_t136" style="position:absolute;left:0pt;margin-left:545pt;margin-top:467pt;height:12pt;width:116pt;z-index:25182208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72" o:spid="_x0000_s4272" o:spt="136" type="#_x0000_t136" style="position:absolute;left:0pt;margin-left:545pt;margin-top:666pt;height:12pt;width:116pt;z-index:25182310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p w14:paraId="3D3D6172">
    <w:r>
      <w:pict>
        <v:shape id="_x0000_s4273" o:spid="_x0000_s4273" o:spt="136" type="#_x0000_t136" style="position:absolute;left:0pt;margin-left:-58pt;margin-top:69pt;height:12pt;width:116pt;rotation:-2621440f;z-index:25172582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74" o:spid="_x0000_s4274" o:spt="136" type="#_x0000_t136" style="position:absolute;left:0pt;margin-left:-58pt;margin-top:257pt;height:12pt;width:116pt;rotation:-2621440f;z-index:25172684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75" o:spid="_x0000_s4275" o:spt="136" type="#_x0000_t136" style="position:absolute;left:0pt;margin-left:-58pt;margin-top:463pt;height:12pt;width:116pt;rotation:-2621440f;z-index:25172787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76" o:spid="_x0000_s4276" o:spt="136" type="#_x0000_t136" style="position:absolute;left:0pt;margin-left:-58pt;margin-top:667pt;height:12pt;width:116pt;rotation:-2621440f;z-index:25172889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77" o:spid="_x0000_s4277" o:spt="136" type="#_x0000_t136" style="position:absolute;left:0pt;margin-left:143pt;margin-top:67pt;height:12pt;width:116pt;rotation:-2621440f;z-index:25172992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78" o:spid="_x0000_s4278" o:spt="136" type="#_x0000_t136" style="position:absolute;left:0pt;margin-left:143pt;margin-top:257pt;height:12pt;width:116pt;rotation:-2621440f;z-index:25173094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79" o:spid="_x0000_s4279" o:spt="136" type="#_x0000_t136" style="position:absolute;left:0pt;margin-left:143pt;margin-top:466pt;height:12pt;width:116pt;rotation:-2621440f;z-index:25173196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80" o:spid="_x0000_s4280" o:spt="136" type="#_x0000_t136" style="position:absolute;left:0pt;margin-left:143pt;margin-top:662pt;height:12pt;width:116pt;rotation:-2621440f;z-index:25173299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81" o:spid="_x0000_s4281" o:spt="136" type="#_x0000_t136" style="position:absolute;left:0pt;margin-left:348pt;margin-top:69pt;height:12pt;width:116pt;rotation:-2621440f;z-index:25173401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82" o:spid="_x0000_s4282" o:spt="136" type="#_x0000_t136" style="position:absolute;left:0pt;margin-left:348pt;margin-top:262pt;height:12pt;width:116pt;rotation:-2621440f;z-index:25173504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83" o:spid="_x0000_s4283" o:spt="136" type="#_x0000_t136" style="position:absolute;left:0pt;margin-left:348pt;margin-top:463pt;height:12pt;width:116pt;rotation:-2621440f;z-index:25173606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84" o:spid="_x0000_s4284" o:spt="136" type="#_x0000_t136" style="position:absolute;left:0pt;margin-left:348pt;margin-top:658pt;height:12pt;width:116pt;rotation:-2621440f;z-index:25173708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85" o:spid="_x0000_s4285" o:spt="136" type="#_x0000_t136" style="position:absolute;left:0pt;margin-left:552pt;margin-top:69pt;height:12pt;width:116pt;rotation:-2621440f;z-index:25173811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86" o:spid="_x0000_s4286" o:spt="136" type="#_x0000_t136" style="position:absolute;left:0pt;margin-left:552pt;margin-top:269pt;height:12pt;width:116pt;rotation:-2621440f;z-index:25173913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87" o:spid="_x0000_s4287" o:spt="136" type="#_x0000_t136" style="position:absolute;left:0pt;margin-left:552pt;margin-top:458pt;height:12pt;width:116pt;rotation:-2621440f;z-index:25174016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88" o:spid="_x0000_s4288" o:spt="136" type="#_x0000_t136" style="position:absolute;left:0pt;margin-left:552pt;margin-top:669pt;height:12pt;width:116pt;rotation:-2621440f;z-index:25174118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p>
  <w:p w14:paraId="566F4F2A">
    <w:r>
      <w:pict>
        <v:shape id="_x0000_s4289" o:spid="_x0000_s4289" o:spt="136" type="#_x0000_t136" style="position:absolute;left:0pt;margin-left:-57pt;margin-top:55pt;height:12pt;width:116pt;rotation:-2621440f;z-index:25167667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90" o:spid="_x0000_s4290" o:spt="136" type="#_x0000_t136" style="position:absolute;left:0pt;margin-left:-57pt;margin-top:261pt;height:12pt;width:116pt;rotation:-2621440f;z-index:25167769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91" o:spid="_x0000_s4291" o:spt="136" type="#_x0000_t136" style="position:absolute;left:0pt;margin-left:-57pt;margin-top:460pt;height:12pt;width:116pt;rotation:-2621440f;z-index:25167872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92" o:spid="_x0000_s4292" o:spt="136" type="#_x0000_t136" style="position:absolute;left:0pt;margin-left:-57pt;margin-top:657pt;height:12pt;width:116pt;rotation:-2621440f;z-index:25167974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93" o:spid="_x0000_s4293" o:spt="136" type="#_x0000_t136" style="position:absolute;left:0pt;margin-left:151pt;margin-top:70pt;height:12pt;width:116pt;rotation:-2621440f;z-index:25168076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94" o:spid="_x0000_s4294" o:spt="136" type="#_x0000_t136" style="position:absolute;left:0pt;margin-left:151pt;margin-top:259pt;height:12pt;width:116pt;rotation:-2621440f;z-index:25168179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95" o:spid="_x0000_s4295" o:spt="136" type="#_x0000_t136" style="position:absolute;left:0pt;margin-left:151pt;margin-top:459pt;height:12pt;width:116pt;rotation:-2621440f;z-index:25168281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96" o:spid="_x0000_s4296" o:spt="136" type="#_x0000_t136" style="position:absolute;left:0pt;margin-left:151pt;margin-top:670pt;height:12pt;width:116pt;rotation:-2621440f;z-index:25168384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97" o:spid="_x0000_s4297" o:spt="136" type="#_x0000_t136" style="position:absolute;left:0pt;margin-left:343pt;margin-top:56pt;height:12pt;width:116pt;rotation:-2621440f;z-index:25168486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98" o:spid="_x0000_s4298" o:spt="136" type="#_x0000_t136" style="position:absolute;left:0pt;margin-left:343pt;margin-top:257pt;height:12pt;width:116pt;rotation:-2621440f;z-index:25168588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99" o:spid="_x0000_s4299" o:spt="136" type="#_x0000_t136" style="position:absolute;left:0pt;margin-left:343pt;margin-top:460pt;height:12pt;width:116pt;rotation:-2621440f;z-index:25168691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00" o:spid="_x0000_s4300" o:spt="136" type="#_x0000_t136" style="position:absolute;left:0pt;margin-left:343pt;margin-top:655pt;height:12pt;width:116pt;rotation:-2621440f;z-index:25168793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01" o:spid="_x0000_s4301" o:spt="136" type="#_x0000_t136" style="position:absolute;left:0pt;margin-left:552pt;margin-top:67pt;height:12pt;width:116pt;rotation:-2621440f;z-index:25168896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02" o:spid="_x0000_s4302" o:spt="136" type="#_x0000_t136" style="position:absolute;left:0pt;margin-left:552pt;margin-top:266pt;height:12pt;width:116pt;rotation:-2621440f;z-index:25168998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03" o:spid="_x0000_s4303" o:spt="136" type="#_x0000_t136" style="position:absolute;left:0pt;margin-left:552pt;margin-top:457pt;height:12pt;width:116pt;rotation:-2621440f;z-index:25169100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04" o:spid="_x0000_s4304" o:spt="136" type="#_x0000_t136" style="position:absolute;left:0pt;margin-left:552pt;margin-top:655pt;height:12pt;width:116pt;rotation:-2621440f;z-index:25169203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D583B5">
    <w:r>
      <w:pict>
        <v:shape id="_x0000_s4305" o:spid="_x0000_s4305" o:spt="136" type="#_x0000_t136" style="position:absolute;left:0pt;margin-left:-45pt;margin-top:68pt;height:12pt;width:116pt;z-index:25226649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06" o:spid="_x0000_s4306" o:spt="136" type="#_x0000_t136" style="position:absolute;left:0pt;margin-left:-45pt;margin-top:256pt;height:12pt;width:116pt;z-index:25226752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07" o:spid="_x0000_s4307" o:spt="136" type="#_x0000_t136" style="position:absolute;left:0pt;margin-left:-45pt;margin-top:457pt;height:12pt;width:116pt;z-index:25226854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08" o:spid="_x0000_s4308" o:spt="136" type="#_x0000_t136" style="position:absolute;left:0pt;margin-left:-45pt;margin-top:670pt;height:12pt;width:116pt;z-index:25226956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09" o:spid="_x0000_s4309" o:spt="136" type="#_x0000_t136" style="position:absolute;left:0pt;margin-left:145pt;margin-top:57pt;height:12pt;width:116pt;z-index:25227059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10" o:spid="_x0000_s4310" o:spt="136" type="#_x0000_t136" style="position:absolute;left:0pt;margin-left:145pt;margin-top:268pt;height:12pt;width:116pt;z-index:25227161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11" o:spid="_x0000_s4311" o:spt="136" type="#_x0000_t136" style="position:absolute;left:0pt;margin-left:145pt;margin-top:458pt;height:12pt;width:116pt;z-index:25227264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12" o:spid="_x0000_s4312" o:spt="136" type="#_x0000_t136" style="position:absolute;left:0pt;margin-left:145pt;margin-top:670pt;height:12pt;width:116pt;z-index:25227366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13" o:spid="_x0000_s4313" o:spt="136" type="#_x0000_t136" style="position:absolute;left:0pt;margin-left:341pt;margin-top:57pt;height:12pt;width:116pt;z-index:25227468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14" o:spid="_x0000_s4314" o:spt="136" type="#_x0000_t136" style="position:absolute;left:0pt;margin-left:341pt;margin-top:269pt;height:12pt;width:116pt;z-index:25227571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15" o:spid="_x0000_s4315" o:spt="136" type="#_x0000_t136" style="position:absolute;left:0pt;margin-left:341pt;margin-top:461pt;height:12pt;width:116pt;z-index:25227673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16" o:spid="_x0000_s4316" o:spt="136" type="#_x0000_t136" style="position:absolute;left:0pt;margin-left:341pt;margin-top:659pt;height:12pt;width:116pt;z-index:25227776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17" o:spid="_x0000_s4317" o:spt="136" type="#_x0000_t136" style="position:absolute;left:0pt;margin-left:545pt;margin-top:67pt;height:12pt;width:116pt;z-index:25227878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18" o:spid="_x0000_s4318" o:spt="136" type="#_x0000_t136" style="position:absolute;left:0pt;margin-left:545pt;margin-top:265pt;height:12pt;width:116pt;z-index:25227980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19" o:spid="_x0000_s4319" o:spt="136" type="#_x0000_t136" style="position:absolute;left:0pt;margin-left:545pt;margin-top:457pt;height:12pt;width:116pt;z-index:25228083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20" o:spid="_x0000_s4320" o:spt="136" type="#_x0000_t136" style="position:absolute;left:0pt;margin-left:545pt;margin-top:657pt;height:12pt;width:116pt;z-index:25228185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p w14:paraId="79454194">
    <w:r>
      <w:pict>
        <v:shape id="_x0000_s4321" o:spid="_x0000_s4321" o:spt="136" type="#_x0000_t136" style="position:absolute;left:0pt;margin-left:-59pt;margin-top:68pt;height:12pt;width:116pt;z-index:25220096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22" o:spid="_x0000_s4322" o:spt="136" type="#_x0000_t136" style="position:absolute;left:0pt;margin-left:-59pt;margin-top:268pt;height:12pt;width:116pt;z-index:25220198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23" o:spid="_x0000_s4323" o:spt="136" type="#_x0000_t136" style="position:absolute;left:0pt;margin-left:-59pt;margin-top:456pt;height:12pt;width:116pt;z-index:25220300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24" o:spid="_x0000_s4324" o:spt="136" type="#_x0000_t136" style="position:absolute;left:0pt;margin-left:-59pt;margin-top:656pt;height:12pt;width:116pt;z-index:25220403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25" o:spid="_x0000_s4325" o:spt="136" type="#_x0000_t136" style="position:absolute;left:0pt;margin-left:151pt;margin-top:65pt;height:12pt;width:116pt;z-index:25220505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26" o:spid="_x0000_s4326" o:spt="136" type="#_x0000_t136" style="position:absolute;left:0pt;margin-left:151pt;margin-top:267pt;height:12pt;width:116pt;z-index:25220608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27" o:spid="_x0000_s4327" o:spt="136" type="#_x0000_t136" style="position:absolute;left:0pt;margin-left:151pt;margin-top:460pt;height:12pt;width:116pt;z-index:25220710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28" o:spid="_x0000_s4328" o:spt="136" type="#_x0000_t136" style="position:absolute;left:0pt;margin-left:151pt;margin-top:663pt;height:12pt;width:116pt;z-index:25220812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29" o:spid="_x0000_s4329" o:spt="136" type="#_x0000_t136" style="position:absolute;left:0pt;margin-left:342pt;margin-top:59pt;height:12pt;width:116pt;z-index:25220915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30" o:spid="_x0000_s4330" o:spt="136" type="#_x0000_t136" style="position:absolute;left:0pt;margin-left:342pt;margin-top:267pt;height:12pt;width:116pt;z-index:25221017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31" o:spid="_x0000_s4331" o:spt="136" type="#_x0000_t136" style="position:absolute;left:0pt;margin-left:342pt;margin-top:457pt;height:12pt;width:116pt;z-index:25221120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32" o:spid="_x0000_s4332" o:spt="136" type="#_x0000_t136" style="position:absolute;left:0pt;margin-left:342pt;margin-top:659pt;height:12pt;width:116pt;z-index:25221222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33" o:spid="_x0000_s4333" o:spt="136" type="#_x0000_t136" style="position:absolute;left:0pt;margin-left:554pt;margin-top:60pt;height:12pt;width:116pt;z-index:25221324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34" o:spid="_x0000_s4334" o:spt="136" type="#_x0000_t136" style="position:absolute;left:0pt;margin-left:554pt;margin-top:256pt;height:12pt;width:116pt;z-index:25221427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35" o:spid="_x0000_s4335" o:spt="136" type="#_x0000_t136" style="position:absolute;left:0pt;margin-left:554pt;margin-top:462pt;height:12pt;width:116pt;z-index:25221529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36" o:spid="_x0000_s4336" o:spt="136" type="#_x0000_t136" style="position:absolute;left:0pt;margin-left:554pt;margin-top:659pt;height:12pt;width:116pt;z-index:25221632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p>
  <w:p w14:paraId="42A795B1">
    <w:r>
      <w:pict>
        <v:shape id="_x0000_s4337" o:spid="_x0000_s4337" o:spt="136" type="#_x0000_t136" style="position:absolute;left:0pt;margin-left:-51pt;margin-top:59pt;height:12pt;width:116pt;z-index:25211904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38" o:spid="_x0000_s4338" o:spt="136" type="#_x0000_t136" style="position:absolute;left:0pt;margin-left:-51pt;margin-top:256pt;height:12pt;width:116pt;z-index:25212006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39" o:spid="_x0000_s4339" o:spt="136" type="#_x0000_t136" style="position:absolute;left:0pt;margin-left:-51pt;margin-top:464pt;height:12pt;width:116pt;z-index:25212108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40" o:spid="_x0000_s4340" o:spt="136" type="#_x0000_t136" style="position:absolute;left:0pt;margin-left:-51pt;margin-top:657pt;height:12pt;width:116pt;z-index:25212211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41" o:spid="_x0000_s4341" o:spt="136" type="#_x0000_t136" style="position:absolute;left:0pt;margin-left:150pt;margin-top:65pt;height:12pt;width:116pt;z-index:25212313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42" o:spid="_x0000_s4342" o:spt="136" type="#_x0000_t136" style="position:absolute;left:0pt;margin-left:150pt;margin-top:268pt;height:12pt;width:116pt;z-index:25212416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43" o:spid="_x0000_s4343" o:spt="136" type="#_x0000_t136" style="position:absolute;left:0pt;margin-left:150pt;margin-top:457pt;height:12pt;width:116pt;z-index:25212518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44" o:spid="_x0000_s4344" o:spt="136" type="#_x0000_t136" style="position:absolute;left:0pt;margin-left:150pt;margin-top:662pt;height:12pt;width:116pt;z-index:25212620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45" o:spid="_x0000_s4345" o:spt="136" type="#_x0000_t136" style="position:absolute;left:0pt;margin-left:350pt;margin-top:56pt;height:12pt;width:116pt;z-index:25212723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46" o:spid="_x0000_s4346" o:spt="136" type="#_x0000_t136" style="position:absolute;left:0pt;margin-left:350pt;margin-top:261pt;height:12pt;width:116pt;z-index:25212825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47" o:spid="_x0000_s4347" o:spt="136" type="#_x0000_t136" style="position:absolute;left:0pt;margin-left:350pt;margin-top:465pt;height:12pt;width:116pt;z-index:25212928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48" o:spid="_x0000_s4348" o:spt="136" type="#_x0000_t136" style="position:absolute;left:0pt;margin-left:350pt;margin-top:658pt;height:12pt;width:116pt;z-index:25213030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49" o:spid="_x0000_s4349" o:spt="136" type="#_x0000_t136" style="position:absolute;left:0pt;margin-left:543pt;margin-top:57pt;height:12pt;width:116pt;z-index:25213132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50" o:spid="_x0000_s4350" o:spt="136" type="#_x0000_t136" style="position:absolute;left:0pt;margin-left:543pt;margin-top:268pt;height:12pt;width:116pt;z-index:25213235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51" o:spid="_x0000_s4351" o:spt="136" type="#_x0000_t136" style="position:absolute;left:0pt;margin-left:543pt;margin-top:456pt;height:12pt;width:116pt;z-index:25213337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52" o:spid="_x0000_s4352" o:spt="136" type="#_x0000_t136" style="position:absolute;left:0pt;margin-left:543pt;margin-top:658pt;height:12pt;width:116pt;z-index:25213440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p>
  <w:p w14:paraId="66212FD1">
    <w:r>
      <w:pict>
        <v:shape id="_x0000_s4353" o:spid="_x0000_s4353" o:spt="136" type="#_x0000_t136" style="position:absolute;left:0pt;margin-left:-49pt;margin-top:57pt;height:12pt;width:116pt;z-index:25205350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54" o:spid="_x0000_s4354" o:spt="136" type="#_x0000_t136" style="position:absolute;left:0pt;margin-left:-49pt;margin-top:259pt;height:12pt;width:116pt;z-index:25205452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55" o:spid="_x0000_s4355" o:spt="136" type="#_x0000_t136" style="position:absolute;left:0pt;margin-left:-49pt;margin-top:456pt;height:12pt;width:116pt;z-index:25205555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56" o:spid="_x0000_s4356" o:spt="136" type="#_x0000_t136" style="position:absolute;left:0pt;margin-left:-49pt;margin-top:656pt;height:12pt;width:116pt;z-index:25205657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57" o:spid="_x0000_s4357" o:spt="136" type="#_x0000_t136" style="position:absolute;left:0pt;margin-left:141pt;margin-top:63pt;height:12pt;width:116pt;z-index:25205760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58" o:spid="_x0000_s4358" o:spt="136" type="#_x0000_t136" style="position:absolute;left:0pt;margin-left:141pt;margin-top:262pt;height:12pt;width:116pt;z-index:25205862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59" o:spid="_x0000_s4359" o:spt="136" type="#_x0000_t136" style="position:absolute;left:0pt;margin-left:141pt;margin-top:460pt;height:12pt;width:116pt;z-index:25205964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60" o:spid="_x0000_s4360" o:spt="136" type="#_x0000_t136" style="position:absolute;left:0pt;margin-left:141pt;margin-top:670pt;height:12pt;width:116pt;z-index:25206067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61" o:spid="_x0000_s4361" o:spt="136" type="#_x0000_t136" style="position:absolute;left:0pt;margin-left:344pt;margin-top:61pt;height:12pt;width:116pt;z-index:25206169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62" o:spid="_x0000_s4362" o:spt="136" type="#_x0000_t136" style="position:absolute;left:0pt;margin-left:344pt;margin-top:265pt;height:12pt;width:116pt;z-index:25206272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63" o:spid="_x0000_s4363" o:spt="136" type="#_x0000_t136" style="position:absolute;left:0pt;margin-left:344pt;margin-top:468pt;height:12pt;width:116pt;z-index:25206374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64" o:spid="_x0000_s4364" o:spt="136" type="#_x0000_t136" style="position:absolute;left:0pt;margin-left:344pt;margin-top:670pt;height:12pt;width:116pt;z-index:25206476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65" o:spid="_x0000_s4365" o:spt="136" type="#_x0000_t136" style="position:absolute;left:0pt;margin-left:543pt;margin-top:59pt;height:12pt;width:116pt;z-index:25206579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66" o:spid="_x0000_s4366" o:spt="136" type="#_x0000_t136" style="position:absolute;left:0pt;margin-left:543pt;margin-top:256pt;height:12pt;width:116pt;z-index:25206681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67" o:spid="_x0000_s4367" o:spt="136" type="#_x0000_t136" style="position:absolute;left:0pt;margin-left:543pt;margin-top:461pt;height:12pt;width:116pt;z-index:25206784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68" o:spid="_x0000_s4368" o:spt="136" type="#_x0000_t136" style="position:absolute;left:0pt;margin-left:543pt;margin-top:670pt;height:12pt;width:116pt;z-index:25206886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p w14:paraId="06EAC196">
    <w:r>
      <w:pict>
        <v:shape id="_x0000_s4369" o:spid="_x0000_s4369" o:spt="136" type="#_x0000_t136" style="position:absolute;left:0pt;margin-left:-60pt;margin-top:57pt;height:12pt;width:116pt;z-index:25200435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70" o:spid="_x0000_s4370" o:spt="136" type="#_x0000_t136" style="position:absolute;left:0pt;margin-left:-60pt;margin-top:260pt;height:12pt;width:116pt;z-index:25200537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71" o:spid="_x0000_s4371" o:spt="136" type="#_x0000_t136" style="position:absolute;left:0pt;margin-left:-60pt;margin-top:458pt;height:12pt;width:116pt;z-index:25200640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72" o:spid="_x0000_s4372" o:spt="136" type="#_x0000_t136" style="position:absolute;left:0pt;margin-left:-60pt;margin-top:665pt;height:12pt;width:116pt;z-index:25200742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73" o:spid="_x0000_s4373" o:spt="136" type="#_x0000_t136" style="position:absolute;left:0pt;margin-left:145pt;margin-top:55pt;height:12pt;width:116pt;z-index:25200844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74" o:spid="_x0000_s4374" o:spt="136" type="#_x0000_t136" style="position:absolute;left:0pt;margin-left:145pt;margin-top:256pt;height:12pt;width:116pt;z-index:25200947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75" o:spid="_x0000_s4375" o:spt="136" type="#_x0000_t136" style="position:absolute;left:0pt;margin-left:145pt;margin-top:462pt;height:12pt;width:116pt;z-index:25201049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76" o:spid="_x0000_s4376" o:spt="136" type="#_x0000_t136" style="position:absolute;left:0pt;margin-left:145pt;margin-top:670pt;height:12pt;width:116pt;z-index:25201152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77" o:spid="_x0000_s4377" o:spt="136" type="#_x0000_t136" style="position:absolute;left:0pt;margin-left:349pt;margin-top:68pt;height:12pt;width:116pt;z-index:25201254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78" o:spid="_x0000_s4378" o:spt="136" type="#_x0000_t136" style="position:absolute;left:0pt;margin-left:349pt;margin-top:265pt;height:12pt;width:116pt;z-index:25201356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79" o:spid="_x0000_s4379" o:spt="136" type="#_x0000_t136" style="position:absolute;left:0pt;margin-left:349pt;margin-top:462pt;height:12pt;width:116pt;z-index:25201459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80" o:spid="_x0000_s4380" o:spt="136" type="#_x0000_t136" style="position:absolute;left:0pt;margin-left:349pt;margin-top:663pt;height:12pt;width:116pt;z-index:25201561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81" o:spid="_x0000_s4381" o:spt="136" type="#_x0000_t136" style="position:absolute;left:0pt;margin-left:551pt;margin-top:57pt;height:12pt;width:116pt;z-index:25201664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82" o:spid="_x0000_s4382" o:spt="136" type="#_x0000_t136" style="position:absolute;left:0pt;margin-left:551pt;margin-top:260pt;height:12pt;width:116pt;z-index:25201766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83" o:spid="_x0000_s4383" o:spt="136" type="#_x0000_t136" style="position:absolute;left:0pt;margin-left:551pt;margin-top:457pt;height:12pt;width:116pt;z-index:25201868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84" o:spid="_x0000_s4384" o:spt="136" type="#_x0000_t136" style="position:absolute;left:0pt;margin-left:551pt;margin-top:659pt;height:12pt;width:116pt;z-index:25201971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p>
  <w:p w14:paraId="57ACB153">
    <w:r>
      <w:pict>
        <v:shape id="_x0000_s4385" o:spid="_x0000_s4385" o:spt="136" type="#_x0000_t136" style="position:absolute;left:0pt;margin-left:-60pt;margin-top:67pt;height:12pt;width:116pt;z-index:25192243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86" o:spid="_x0000_s4386" o:spt="136" type="#_x0000_t136" style="position:absolute;left:0pt;margin-left:-60pt;margin-top:256pt;height:12pt;width:116pt;z-index:25192345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87" o:spid="_x0000_s4387" o:spt="136" type="#_x0000_t136" style="position:absolute;left:0pt;margin-left:-60pt;margin-top:466pt;height:12pt;width:116pt;z-index:25192448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88" o:spid="_x0000_s4388" o:spt="136" type="#_x0000_t136" style="position:absolute;left:0pt;margin-left:-60pt;margin-top:668pt;height:12pt;width:116pt;z-index:25192550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89" o:spid="_x0000_s4389" o:spt="136" type="#_x0000_t136" style="position:absolute;left:0pt;margin-left:140pt;margin-top:59pt;height:12pt;width:116pt;z-index:25192652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90" o:spid="_x0000_s4390" o:spt="136" type="#_x0000_t136" style="position:absolute;left:0pt;margin-left:140pt;margin-top:261pt;height:12pt;width:116pt;z-index:25192755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91" o:spid="_x0000_s4391" o:spt="136" type="#_x0000_t136" style="position:absolute;left:0pt;margin-left:140pt;margin-top:465pt;height:12pt;width:116pt;z-index:25192857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92" o:spid="_x0000_s4392" o:spt="136" type="#_x0000_t136" style="position:absolute;left:0pt;margin-left:140pt;margin-top:657pt;height:12pt;width:116pt;z-index:25192960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93" o:spid="_x0000_s4393" o:spt="136" type="#_x0000_t136" style="position:absolute;left:0pt;margin-left:350pt;margin-top:63pt;height:12pt;width:116pt;z-index:25193062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94" o:spid="_x0000_s4394" o:spt="136" type="#_x0000_t136" style="position:absolute;left:0pt;margin-left:350pt;margin-top:265pt;height:12pt;width:116pt;z-index:25193164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95" o:spid="_x0000_s4395" o:spt="136" type="#_x0000_t136" style="position:absolute;left:0pt;margin-left:350pt;margin-top:457pt;height:12pt;width:116pt;z-index:25193267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96" o:spid="_x0000_s4396" o:spt="136" type="#_x0000_t136" style="position:absolute;left:0pt;margin-left:350pt;margin-top:664pt;height:12pt;width:116pt;z-index:25193369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97" o:spid="_x0000_s4397" o:spt="136" type="#_x0000_t136" style="position:absolute;left:0pt;margin-left:554pt;margin-top:68pt;height:12pt;width:116pt;z-index:25193472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98" o:spid="_x0000_s4398" o:spt="136" type="#_x0000_t136" style="position:absolute;left:0pt;margin-left:554pt;margin-top:269pt;height:12pt;width:116pt;z-index:25193574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99" o:spid="_x0000_s4399" o:spt="136" type="#_x0000_t136" style="position:absolute;left:0pt;margin-left:554pt;margin-top:457pt;height:12pt;width:116pt;z-index:25193676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00" o:spid="_x0000_s4400" o:spt="136" type="#_x0000_t136" style="position:absolute;left:0pt;margin-left:554pt;margin-top:658pt;height:12pt;width:116pt;z-index:25193779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p w14:paraId="5CA2C631">
    <w:r>
      <w:pict>
        <v:shape id="_x0000_s4401" o:spid="_x0000_s4401" o:spt="136" type="#_x0000_t136" style="position:absolute;left:0pt;margin-left:-51pt;margin-top:64pt;height:12pt;width:116pt;z-index:25187328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02" o:spid="_x0000_s4402" o:spt="136" type="#_x0000_t136" style="position:absolute;left:0pt;margin-left:-51pt;margin-top:265pt;height:12pt;width:116pt;z-index:25187430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03" o:spid="_x0000_s4403" o:spt="136" type="#_x0000_t136" style="position:absolute;left:0pt;margin-left:-51pt;margin-top:463pt;height:12pt;width:116pt;z-index:25187532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04" o:spid="_x0000_s4404" o:spt="136" type="#_x0000_t136" style="position:absolute;left:0pt;margin-left:-51pt;margin-top:668pt;height:12pt;width:116pt;z-index:25187635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05" o:spid="_x0000_s4405" o:spt="136" type="#_x0000_t136" style="position:absolute;left:0pt;margin-left:151pt;margin-top:60pt;height:12pt;width:116pt;z-index:25187737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06" o:spid="_x0000_s4406" o:spt="136" type="#_x0000_t136" style="position:absolute;left:0pt;margin-left:151pt;margin-top:265pt;height:12pt;width:116pt;z-index:25187840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07" o:spid="_x0000_s4407" o:spt="136" type="#_x0000_t136" style="position:absolute;left:0pt;margin-left:151pt;margin-top:464pt;height:12pt;width:116pt;z-index:25187942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08" o:spid="_x0000_s4408" o:spt="136" type="#_x0000_t136" style="position:absolute;left:0pt;margin-left:151pt;margin-top:668pt;height:12pt;width:116pt;z-index:25188044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09" o:spid="_x0000_s4409" o:spt="136" type="#_x0000_t136" style="position:absolute;left:0pt;margin-left:344pt;margin-top:56pt;height:12pt;width:116pt;z-index:25188147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10" o:spid="_x0000_s4410" o:spt="136" type="#_x0000_t136" style="position:absolute;left:0pt;margin-left:344pt;margin-top:264pt;height:12pt;width:116pt;z-index:25188249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11" o:spid="_x0000_s4411" o:spt="136" type="#_x0000_t136" style="position:absolute;left:0pt;margin-left:344pt;margin-top:459pt;height:12pt;width:116pt;z-index:25188352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12" o:spid="_x0000_s4412" o:spt="136" type="#_x0000_t136" style="position:absolute;left:0pt;margin-left:344pt;margin-top:669pt;height:12pt;width:116pt;z-index:25188454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13" o:spid="_x0000_s4413" o:spt="136" type="#_x0000_t136" style="position:absolute;left:0pt;margin-left:548pt;margin-top:69pt;height:12pt;width:116pt;z-index:25188556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14" o:spid="_x0000_s4414" o:spt="136" type="#_x0000_t136" style="position:absolute;left:0pt;margin-left:548pt;margin-top:263pt;height:12pt;width:116pt;z-index:25188659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15" o:spid="_x0000_s4415" o:spt="136" type="#_x0000_t136" style="position:absolute;left:0pt;margin-left:548pt;margin-top:460pt;height:12pt;width:116pt;z-index:25188761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16" o:spid="_x0000_s4416" o:spt="136" type="#_x0000_t136" style="position:absolute;left:0pt;margin-left:548pt;margin-top:662pt;height:12pt;width:116pt;z-index:25188864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p>
  <w:p w14:paraId="19E2F08B">
    <w:r>
      <w:pict>
        <v:shape id="_x0000_s4417" o:spid="_x0000_s4417" o:spt="136" type="#_x0000_t136" style="position:absolute;left:0pt;margin-left:-54pt;margin-top:60pt;height:12pt;width:116pt;z-index:25179136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18" o:spid="_x0000_s4418" o:spt="136" type="#_x0000_t136" style="position:absolute;left:0pt;margin-left:-54pt;margin-top:265pt;height:12pt;width:116pt;z-index:25179238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19" o:spid="_x0000_s4419" o:spt="136" type="#_x0000_t136" style="position:absolute;left:0pt;margin-left:-54pt;margin-top:465pt;height:12pt;width:116pt;z-index:25179340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20" o:spid="_x0000_s4420" o:spt="136" type="#_x0000_t136" style="position:absolute;left:0pt;margin-left:-54pt;margin-top:661pt;height:12pt;width:116pt;z-index:25179443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21" o:spid="_x0000_s4421" o:spt="136" type="#_x0000_t136" style="position:absolute;left:0pt;margin-left:141pt;margin-top:56pt;height:12pt;width:116pt;z-index:25179545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22" o:spid="_x0000_s4422" o:spt="136" type="#_x0000_t136" style="position:absolute;left:0pt;margin-left:141pt;margin-top:258pt;height:12pt;width:116pt;z-index:25179648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23" o:spid="_x0000_s4423" o:spt="136" type="#_x0000_t136" style="position:absolute;left:0pt;margin-left:141pt;margin-top:466pt;height:12pt;width:116pt;z-index:25179750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24" o:spid="_x0000_s4424" o:spt="136" type="#_x0000_t136" style="position:absolute;left:0pt;margin-left:141pt;margin-top:657pt;height:12pt;width:116pt;z-index:25179852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25" o:spid="_x0000_s4425" o:spt="136" type="#_x0000_t136" style="position:absolute;left:0pt;margin-left:342pt;margin-top:67pt;height:12pt;width:116pt;z-index:25179955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26" o:spid="_x0000_s4426" o:spt="136" type="#_x0000_t136" style="position:absolute;left:0pt;margin-left:342pt;margin-top:261pt;height:12pt;width:116pt;z-index:25180057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27" o:spid="_x0000_s4427" o:spt="136" type="#_x0000_t136" style="position:absolute;left:0pt;margin-left:342pt;margin-top:455pt;height:12pt;width:116pt;z-index:25180160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28" o:spid="_x0000_s4428" o:spt="136" type="#_x0000_t136" style="position:absolute;left:0pt;margin-left:342pt;margin-top:667pt;height:12pt;width:116pt;z-index:25180262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29" o:spid="_x0000_s4429" o:spt="136" type="#_x0000_t136" style="position:absolute;left:0pt;margin-left:545pt;margin-top:65pt;height:12pt;width:116pt;z-index:25180364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30" o:spid="_x0000_s4430" o:spt="136" type="#_x0000_t136" style="position:absolute;left:0pt;margin-left:545pt;margin-top:269pt;height:12pt;width:116pt;z-index:25180467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31" o:spid="_x0000_s4431" o:spt="136" type="#_x0000_t136" style="position:absolute;left:0pt;margin-left:545pt;margin-top:467pt;height:12pt;width:116pt;z-index:25180569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32" o:spid="_x0000_s4432" o:spt="136" type="#_x0000_t136" style="position:absolute;left:0pt;margin-left:545pt;margin-top:666pt;height:12pt;width:116pt;z-index:25180672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p w14:paraId="0E3FC4D4">
    <w:r>
      <w:pict>
        <v:shape id="_x0000_s4433" o:spid="_x0000_s4433" o:spt="136" type="#_x0000_t136" style="position:absolute;left:0pt;margin-left:-58pt;margin-top:69pt;height:12pt;width:116pt;rotation:-2621440f;z-index:25174220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34" o:spid="_x0000_s4434" o:spt="136" type="#_x0000_t136" style="position:absolute;left:0pt;margin-left:-58pt;margin-top:257pt;height:12pt;width:116pt;rotation:-2621440f;z-index:25174323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35" o:spid="_x0000_s4435" o:spt="136" type="#_x0000_t136" style="position:absolute;left:0pt;margin-left:-58pt;margin-top:463pt;height:12pt;width:116pt;rotation:-2621440f;z-index:25174425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36" o:spid="_x0000_s4436" o:spt="136" type="#_x0000_t136" style="position:absolute;left:0pt;margin-left:-58pt;margin-top:667pt;height:12pt;width:116pt;rotation:-2621440f;z-index:25174528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37" o:spid="_x0000_s4437" o:spt="136" type="#_x0000_t136" style="position:absolute;left:0pt;margin-left:143pt;margin-top:67pt;height:12pt;width:116pt;rotation:-2621440f;z-index:25174630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38" o:spid="_x0000_s4438" o:spt="136" type="#_x0000_t136" style="position:absolute;left:0pt;margin-left:143pt;margin-top:257pt;height:12pt;width:116pt;rotation:-2621440f;z-index:25174732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39" o:spid="_x0000_s4439" o:spt="136" type="#_x0000_t136" style="position:absolute;left:0pt;margin-left:143pt;margin-top:466pt;height:12pt;width:116pt;rotation:-2621440f;z-index:25174835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40" o:spid="_x0000_s4440" o:spt="136" type="#_x0000_t136" style="position:absolute;left:0pt;margin-left:143pt;margin-top:662pt;height:12pt;width:116pt;rotation:-2621440f;z-index:25174937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41" o:spid="_x0000_s4441" o:spt="136" type="#_x0000_t136" style="position:absolute;left:0pt;margin-left:348pt;margin-top:69pt;height:12pt;width:116pt;rotation:-2621440f;z-index:25175040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42" o:spid="_x0000_s4442" o:spt="136" type="#_x0000_t136" style="position:absolute;left:0pt;margin-left:348pt;margin-top:262pt;height:12pt;width:116pt;rotation:-2621440f;z-index:25175142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43" o:spid="_x0000_s4443" o:spt="136" type="#_x0000_t136" style="position:absolute;left:0pt;margin-left:348pt;margin-top:463pt;height:12pt;width:116pt;rotation:-2621440f;z-index:25175244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44" o:spid="_x0000_s4444" o:spt="136" type="#_x0000_t136" style="position:absolute;left:0pt;margin-left:348pt;margin-top:658pt;height:12pt;width:116pt;rotation:-2621440f;z-index:25175347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45" o:spid="_x0000_s4445" o:spt="136" type="#_x0000_t136" style="position:absolute;left:0pt;margin-left:552pt;margin-top:69pt;height:12pt;width:116pt;rotation:-2621440f;z-index:25175449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46" o:spid="_x0000_s4446" o:spt="136" type="#_x0000_t136" style="position:absolute;left:0pt;margin-left:552pt;margin-top:269pt;height:12pt;width:116pt;rotation:-2621440f;z-index:25175552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47" o:spid="_x0000_s4447" o:spt="136" type="#_x0000_t136" style="position:absolute;left:0pt;margin-left:552pt;margin-top:458pt;height:12pt;width:116pt;rotation:-2621440f;z-index:25175654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48" o:spid="_x0000_s4448" o:spt="136" type="#_x0000_t136" style="position:absolute;left:0pt;margin-left:552pt;margin-top:669pt;height:12pt;width:116pt;rotation:-2621440f;z-index:25175756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p>
  <w:p w14:paraId="5C4DD25A">
    <w:r>
      <w:pict>
        <v:shape id="_x0000_s4449" o:spid="_x0000_s4449" o:spt="136" type="#_x0000_t136" style="position:absolute;left:0pt;margin-left:-57pt;margin-top:55pt;height:12pt;width:116pt;rotation:-2621440f;z-index:25166028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50" o:spid="_x0000_s4450" o:spt="136" type="#_x0000_t136" style="position:absolute;left:0pt;margin-left:-57pt;margin-top:261pt;height:12pt;width:116pt;rotation:-2621440f;z-index:25166131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51" o:spid="_x0000_s4451" o:spt="136" type="#_x0000_t136" style="position:absolute;left:0pt;margin-left:-57pt;margin-top:460pt;height:12pt;width:116pt;rotation:-2621440f;z-index:25166233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52" o:spid="_x0000_s4452" o:spt="136" type="#_x0000_t136" style="position:absolute;left:0pt;margin-left:-57pt;margin-top:657pt;height:12pt;width:116pt;rotation:-2621440f;z-index:25166336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53" o:spid="_x0000_s4453" o:spt="136" type="#_x0000_t136" style="position:absolute;left:0pt;margin-left:151pt;margin-top:70pt;height:12pt;width:116pt;rotation:-2621440f;z-index:25166438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54" o:spid="_x0000_s4454" o:spt="136" type="#_x0000_t136" style="position:absolute;left:0pt;margin-left:151pt;margin-top:259pt;height:12pt;width:116pt;rotation:-2621440f;z-index:25166540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55" o:spid="_x0000_s4455" o:spt="136" type="#_x0000_t136" style="position:absolute;left:0pt;margin-left:151pt;margin-top:459pt;height:12pt;width:116pt;rotation:-2621440f;z-index:25166643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56" o:spid="_x0000_s4456" o:spt="136" type="#_x0000_t136" style="position:absolute;left:0pt;margin-left:151pt;margin-top:670pt;height:12pt;width:116pt;rotation:-2621440f;z-index:25166745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57" o:spid="_x0000_s4457" o:spt="136" type="#_x0000_t136" style="position:absolute;left:0pt;margin-left:343pt;margin-top:56pt;height:12pt;width:116pt;rotation:-2621440f;z-index:25166848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58" o:spid="_x0000_s4458" o:spt="136" type="#_x0000_t136" style="position:absolute;left:0pt;margin-left:343pt;margin-top:257pt;height:12pt;width:116pt;rotation:-2621440f;z-index:25166950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59" o:spid="_x0000_s4459" o:spt="136" type="#_x0000_t136" style="position:absolute;left:0pt;margin-left:343pt;margin-top:460pt;height:12pt;width:116pt;rotation:-2621440f;z-index:25167052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60" o:spid="_x0000_s4460" o:spt="136" type="#_x0000_t136" style="position:absolute;left:0pt;margin-left:343pt;margin-top:655pt;height:12pt;width:116pt;rotation:-2621440f;z-index:25167155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61" o:spid="_x0000_s4461" o:spt="136" type="#_x0000_t136" style="position:absolute;left:0pt;margin-left:552pt;margin-top:67pt;height:12pt;width:116pt;rotation:-2621440f;z-index:25167257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62" o:spid="_x0000_s4462" o:spt="136" type="#_x0000_t136" style="position:absolute;left:0pt;margin-left:552pt;margin-top:266pt;height:12pt;width:116pt;rotation:-2621440f;z-index:25167360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63" o:spid="_x0000_s4463" o:spt="136" type="#_x0000_t136" style="position:absolute;left:0pt;margin-left:552pt;margin-top:457pt;height:12pt;width:116pt;rotation:-2621440f;z-index:25167462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64" o:spid="_x0000_s4464" o:spt="136" type="#_x0000_t136" style="position:absolute;left:0pt;margin-left:552pt;margin-top:655pt;height:12pt;width:116pt;rotation:-2621440f;z-index:25167564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4E7D44">
    <w:pPr>
      <w:pStyle w:val="7"/>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09DB3B">
    <w:pPr>
      <w:pStyle w:val="7"/>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9A1829">
    <w:r>
      <w:pict>
        <v:shape id="_x0000_s4673" o:spid="_x0000_s4673" o:spt="136" type="#_x0000_t136" style="position:absolute;left:0pt;margin-left:-45pt;margin-top:68pt;height:12pt;width:116pt;z-index:25229926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674" o:spid="_x0000_s4674" o:spt="136" type="#_x0000_t136" style="position:absolute;left:0pt;margin-left:-45pt;margin-top:256pt;height:12pt;width:116pt;z-index:25230028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675" o:spid="_x0000_s4675" o:spt="136" type="#_x0000_t136" style="position:absolute;left:0pt;margin-left:-45pt;margin-top:457pt;height:12pt;width:116pt;z-index:25230131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676" o:spid="_x0000_s4676" o:spt="136" type="#_x0000_t136" style="position:absolute;left:0pt;margin-left:-45pt;margin-top:670pt;height:12pt;width:116pt;z-index:25230233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677" o:spid="_x0000_s4677" o:spt="136" type="#_x0000_t136" style="position:absolute;left:0pt;margin-left:145pt;margin-top:57pt;height:12pt;width:116pt;z-index:25230336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678" o:spid="_x0000_s4678" o:spt="136" type="#_x0000_t136" style="position:absolute;left:0pt;margin-left:145pt;margin-top:268pt;height:12pt;width:116pt;z-index:25230438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679" o:spid="_x0000_s4679" o:spt="136" type="#_x0000_t136" style="position:absolute;left:0pt;margin-left:145pt;margin-top:458pt;height:12pt;width:116pt;z-index:25230540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680" o:spid="_x0000_s4680" o:spt="136" type="#_x0000_t136" style="position:absolute;left:0pt;margin-left:145pt;margin-top:670pt;height:12pt;width:116pt;z-index:25230643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681" o:spid="_x0000_s4681" o:spt="136" type="#_x0000_t136" style="position:absolute;left:0pt;margin-left:341pt;margin-top:57pt;height:12pt;width:116pt;z-index:25230745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682" o:spid="_x0000_s4682" o:spt="136" type="#_x0000_t136" style="position:absolute;left:0pt;margin-left:341pt;margin-top:269pt;height:12pt;width:116pt;z-index:25230848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683" o:spid="_x0000_s4683" o:spt="136" type="#_x0000_t136" style="position:absolute;left:0pt;margin-left:341pt;margin-top:461pt;height:12pt;width:116pt;z-index:25230950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684" o:spid="_x0000_s4684" o:spt="136" type="#_x0000_t136" style="position:absolute;left:0pt;margin-left:341pt;margin-top:659pt;height:12pt;width:116pt;z-index:25231052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685" o:spid="_x0000_s4685" o:spt="136" type="#_x0000_t136" style="position:absolute;left:0pt;margin-left:545pt;margin-top:67pt;height:12pt;width:116pt;z-index:25231155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686" o:spid="_x0000_s4686" o:spt="136" type="#_x0000_t136" style="position:absolute;left:0pt;margin-left:545pt;margin-top:265pt;height:12pt;width:116pt;z-index:25231257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687" o:spid="_x0000_s4687" o:spt="136" type="#_x0000_t136" style="position:absolute;left:0pt;margin-left:545pt;margin-top:457pt;height:12pt;width:116pt;z-index:25231360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688" o:spid="_x0000_s4688" o:spt="136" type="#_x0000_t136" style="position:absolute;left:0pt;margin-left:545pt;margin-top:657pt;height:12pt;width:116pt;z-index:25231462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p w14:paraId="3AB11A68">
    <w:r>
      <w:pict>
        <v:shape id="_x0000_s4689" o:spid="_x0000_s4689" o:spt="136" type="#_x0000_t136" style="position:absolute;left:0pt;margin-left:-59pt;margin-top:68pt;height:12pt;width:116pt;z-index:25223372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690" o:spid="_x0000_s4690" o:spt="136" type="#_x0000_t136" style="position:absolute;left:0pt;margin-left:-59pt;margin-top:268pt;height:12pt;width:116pt;z-index:25223475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691" o:spid="_x0000_s4691" o:spt="136" type="#_x0000_t136" style="position:absolute;left:0pt;margin-left:-59pt;margin-top:456pt;height:12pt;width:116pt;z-index:25223577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692" o:spid="_x0000_s4692" o:spt="136" type="#_x0000_t136" style="position:absolute;left:0pt;margin-left:-59pt;margin-top:656pt;height:12pt;width:116pt;z-index:25223680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693" o:spid="_x0000_s4693" o:spt="136" type="#_x0000_t136" style="position:absolute;left:0pt;margin-left:151pt;margin-top:65pt;height:12pt;width:116pt;z-index:25223782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694" o:spid="_x0000_s4694" o:spt="136" type="#_x0000_t136" style="position:absolute;left:0pt;margin-left:151pt;margin-top:267pt;height:12pt;width:116pt;z-index:25223884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695" o:spid="_x0000_s4695" o:spt="136" type="#_x0000_t136" style="position:absolute;left:0pt;margin-left:151pt;margin-top:460pt;height:12pt;width:116pt;z-index:25223987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696" o:spid="_x0000_s4696" o:spt="136" type="#_x0000_t136" style="position:absolute;left:0pt;margin-left:151pt;margin-top:663pt;height:12pt;width:116pt;z-index:25224089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697" o:spid="_x0000_s4697" o:spt="136" type="#_x0000_t136" style="position:absolute;left:0pt;margin-left:342pt;margin-top:59pt;height:12pt;width:116pt;z-index:25224192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698" o:spid="_x0000_s4698" o:spt="136" type="#_x0000_t136" style="position:absolute;left:0pt;margin-left:342pt;margin-top:267pt;height:12pt;width:116pt;z-index:25224294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699" o:spid="_x0000_s4699" o:spt="136" type="#_x0000_t136" style="position:absolute;left:0pt;margin-left:342pt;margin-top:457pt;height:12pt;width:116pt;z-index:25224396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00" o:spid="_x0000_s4700" o:spt="136" type="#_x0000_t136" style="position:absolute;left:0pt;margin-left:342pt;margin-top:659pt;height:12pt;width:116pt;z-index:25224499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01" o:spid="_x0000_s4701" o:spt="136" type="#_x0000_t136" style="position:absolute;left:0pt;margin-left:554pt;margin-top:60pt;height:12pt;width:116pt;z-index:25224601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02" o:spid="_x0000_s4702" o:spt="136" type="#_x0000_t136" style="position:absolute;left:0pt;margin-left:554pt;margin-top:256pt;height:12pt;width:116pt;z-index:25224704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03" o:spid="_x0000_s4703" o:spt="136" type="#_x0000_t136" style="position:absolute;left:0pt;margin-left:554pt;margin-top:462pt;height:12pt;width:116pt;z-index:25224806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04" o:spid="_x0000_s4704" o:spt="136" type="#_x0000_t136" style="position:absolute;left:0pt;margin-left:554pt;margin-top:659pt;height:12pt;width:116pt;z-index:25224908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p>
  <w:p w14:paraId="6697C133">
    <w:r>
      <w:pict>
        <v:shape id="_x0000_s4705" o:spid="_x0000_s4705" o:spt="136" type="#_x0000_t136" style="position:absolute;left:0pt;margin-left:-51pt;margin-top:59pt;height:12pt;width:116pt;z-index:25215180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06" o:spid="_x0000_s4706" o:spt="136" type="#_x0000_t136" style="position:absolute;left:0pt;margin-left:-51pt;margin-top:256pt;height:12pt;width:116pt;z-index:25215283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07" o:spid="_x0000_s4707" o:spt="136" type="#_x0000_t136" style="position:absolute;left:0pt;margin-left:-51pt;margin-top:464pt;height:12pt;width:116pt;z-index:25215385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08" o:spid="_x0000_s4708" o:spt="136" type="#_x0000_t136" style="position:absolute;left:0pt;margin-left:-51pt;margin-top:657pt;height:12pt;width:116pt;z-index:25215488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09" o:spid="_x0000_s4709" o:spt="136" type="#_x0000_t136" style="position:absolute;left:0pt;margin-left:150pt;margin-top:65pt;height:12pt;width:116pt;z-index:25215590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10" o:spid="_x0000_s4710" o:spt="136" type="#_x0000_t136" style="position:absolute;left:0pt;margin-left:150pt;margin-top:268pt;height:12pt;width:116pt;z-index:25215692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11" o:spid="_x0000_s4711" o:spt="136" type="#_x0000_t136" style="position:absolute;left:0pt;margin-left:150pt;margin-top:457pt;height:12pt;width:116pt;z-index:25215795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12" o:spid="_x0000_s4712" o:spt="136" type="#_x0000_t136" style="position:absolute;left:0pt;margin-left:150pt;margin-top:662pt;height:12pt;width:116pt;z-index:25215897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13" o:spid="_x0000_s4713" o:spt="136" type="#_x0000_t136" style="position:absolute;left:0pt;margin-left:350pt;margin-top:56pt;height:12pt;width:116pt;z-index:25216000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14" o:spid="_x0000_s4714" o:spt="136" type="#_x0000_t136" style="position:absolute;left:0pt;margin-left:350pt;margin-top:261pt;height:12pt;width:116pt;z-index:25216102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15" o:spid="_x0000_s4715" o:spt="136" type="#_x0000_t136" style="position:absolute;left:0pt;margin-left:350pt;margin-top:465pt;height:12pt;width:116pt;z-index:25216204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16" o:spid="_x0000_s4716" o:spt="136" type="#_x0000_t136" style="position:absolute;left:0pt;margin-left:350pt;margin-top:658pt;height:12pt;width:116pt;z-index:25216307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17" o:spid="_x0000_s4717" o:spt="136" type="#_x0000_t136" style="position:absolute;left:0pt;margin-left:543pt;margin-top:57pt;height:12pt;width:116pt;z-index:25216409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18" o:spid="_x0000_s4718" o:spt="136" type="#_x0000_t136" style="position:absolute;left:0pt;margin-left:543pt;margin-top:268pt;height:12pt;width:116pt;z-index:25216512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19" o:spid="_x0000_s4719" o:spt="136" type="#_x0000_t136" style="position:absolute;left:0pt;margin-left:543pt;margin-top:456pt;height:12pt;width:116pt;z-index:25216614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20" o:spid="_x0000_s4720" o:spt="136" type="#_x0000_t136" style="position:absolute;left:0pt;margin-left:543pt;margin-top:658pt;height:12pt;width:116pt;z-index:25216716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p>
  <w:p w14:paraId="195F4448">
    <w:r>
      <w:pict>
        <v:shape id="_x0000_s4721" o:spid="_x0000_s4721" o:spt="136" type="#_x0000_t136" style="position:absolute;left:0pt;margin-left:-49pt;margin-top:57pt;height:12pt;width:116pt;z-index:25208627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22" o:spid="_x0000_s4722" o:spt="136" type="#_x0000_t136" style="position:absolute;left:0pt;margin-left:-49pt;margin-top:259pt;height:12pt;width:116pt;z-index:25208729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23" o:spid="_x0000_s4723" o:spt="136" type="#_x0000_t136" style="position:absolute;left:0pt;margin-left:-49pt;margin-top:456pt;height:12pt;width:116pt;z-index:25208832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24" o:spid="_x0000_s4724" o:spt="136" type="#_x0000_t136" style="position:absolute;left:0pt;margin-left:-49pt;margin-top:656pt;height:12pt;width:116pt;z-index:25208934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25" o:spid="_x0000_s4725" o:spt="136" type="#_x0000_t136" style="position:absolute;left:0pt;margin-left:141pt;margin-top:63pt;height:12pt;width:116pt;z-index:25209036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26" o:spid="_x0000_s4726" o:spt="136" type="#_x0000_t136" style="position:absolute;left:0pt;margin-left:141pt;margin-top:262pt;height:12pt;width:116pt;z-index:25209139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27" o:spid="_x0000_s4727" o:spt="136" type="#_x0000_t136" style="position:absolute;left:0pt;margin-left:141pt;margin-top:460pt;height:12pt;width:116pt;z-index:25209241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28" o:spid="_x0000_s4728" o:spt="136" type="#_x0000_t136" style="position:absolute;left:0pt;margin-left:141pt;margin-top:670pt;height:12pt;width:116pt;z-index:25209344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29" o:spid="_x0000_s4729" o:spt="136" type="#_x0000_t136" style="position:absolute;left:0pt;margin-left:344pt;margin-top:61pt;height:12pt;width:116pt;z-index:25209446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30" o:spid="_x0000_s4730" o:spt="136" type="#_x0000_t136" style="position:absolute;left:0pt;margin-left:344pt;margin-top:265pt;height:12pt;width:116pt;z-index:25209548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31" o:spid="_x0000_s4731" o:spt="136" type="#_x0000_t136" style="position:absolute;left:0pt;margin-left:344pt;margin-top:468pt;height:12pt;width:116pt;z-index:25209651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32" o:spid="_x0000_s4732" o:spt="136" type="#_x0000_t136" style="position:absolute;left:0pt;margin-left:344pt;margin-top:670pt;height:12pt;width:116pt;z-index:25209753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33" o:spid="_x0000_s4733" o:spt="136" type="#_x0000_t136" style="position:absolute;left:0pt;margin-left:543pt;margin-top:59pt;height:12pt;width:116pt;z-index:25209856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34" o:spid="_x0000_s4734" o:spt="136" type="#_x0000_t136" style="position:absolute;left:0pt;margin-left:543pt;margin-top:256pt;height:12pt;width:116pt;z-index:25209958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35" o:spid="_x0000_s4735" o:spt="136" type="#_x0000_t136" style="position:absolute;left:0pt;margin-left:543pt;margin-top:461pt;height:12pt;width:116pt;z-index:25210060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36" o:spid="_x0000_s4736" o:spt="136" type="#_x0000_t136" style="position:absolute;left:0pt;margin-left:543pt;margin-top:670pt;height:12pt;width:116pt;z-index:25210163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p w14:paraId="3ECDE823">
    <w:r>
      <w:pict>
        <v:shape id="_x0000_s4737" o:spid="_x0000_s4737" o:spt="136" type="#_x0000_t136" style="position:absolute;left:0pt;margin-left:-60pt;margin-top:57pt;height:12pt;width:116pt;z-index:25203712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38" o:spid="_x0000_s4738" o:spt="136" type="#_x0000_t136" style="position:absolute;left:0pt;margin-left:-60pt;margin-top:260pt;height:12pt;width:116pt;z-index:25203814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39" o:spid="_x0000_s4739" o:spt="136" type="#_x0000_t136" style="position:absolute;left:0pt;margin-left:-60pt;margin-top:458pt;height:12pt;width:116pt;z-index:25203916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40" o:spid="_x0000_s4740" o:spt="136" type="#_x0000_t136" style="position:absolute;left:0pt;margin-left:-60pt;margin-top:665pt;height:12pt;width:116pt;z-index:25204019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41" o:spid="_x0000_s4741" o:spt="136" type="#_x0000_t136" style="position:absolute;left:0pt;margin-left:145pt;margin-top:55pt;height:12pt;width:116pt;z-index:25204121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42" o:spid="_x0000_s4742" o:spt="136" type="#_x0000_t136" style="position:absolute;left:0pt;margin-left:145pt;margin-top:256pt;height:12pt;width:116pt;z-index:25204224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43" o:spid="_x0000_s4743" o:spt="136" type="#_x0000_t136" style="position:absolute;left:0pt;margin-left:145pt;margin-top:462pt;height:12pt;width:116pt;z-index:25204326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44" o:spid="_x0000_s4744" o:spt="136" type="#_x0000_t136" style="position:absolute;left:0pt;margin-left:145pt;margin-top:670pt;height:12pt;width:116pt;z-index:25204428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45" o:spid="_x0000_s4745" o:spt="136" type="#_x0000_t136" style="position:absolute;left:0pt;margin-left:349pt;margin-top:68pt;height:12pt;width:116pt;z-index:25204531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46" o:spid="_x0000_s4746" o:spt="136" type="#_x0000_t136" style="position:absolute;left:0pt;margin-left:349pt;margin-top:265pt;height:12pt;width:116pt;z-index:25204633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47" o:spid="_x0000_s4747" o:spt="136" type="#_x0000_t136" style="position:absolute;left:0pt;margin-left:349pt;margin-top:462pt;height:12pt;width:116pt;z-index:25204736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48" o:spid="_x0000_s4748" o:spt="136" type="#_x0000_t136" style="position:absolute;left:0pt;margin-left:349pt;margin-top:663pt;height:12pt;width:116pt;z-index:25204838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49" o:spid="_x0000_s4749" o:spt="136" type="#_x0000_t136" style="position:absolute;left:0pt;margin-left:551pt;margin-top:57pt;height:12pt;width:116pt;z-index:25204940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50" o:spid="_x0000_s4750" o:spt="136" type="#_x0000_t136" style="position:absolute;left:0pt;margin-left:551pt;margin-top:260pt;height:12pt;width:116pt;z-index:25205043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51" o:spid="_x0000_s4751" o:spt="136" type="#_x0000_t136" style="position:absolute;left:0pt;margin-left:551pt;margin-top:457pt;height:12pt;width:116pt;z-index:25205145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52" o:spid="_x0000_s4752" o:spt="136" type="#_x0000_t136" style="position:absolute;left:0pt;margin-left:551pt;margin-top:659pt;height:12pt;width:116pt;z-index:25205248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p>
  <w:p w14:paraId="6436B81C">
    <w:r>
      <w:pict>
        <v:shape id="_x0000_s4753" o:spid="_x0000_s4753" o:spt="136" type="#_x0000_t136" style="position:absolute;left:0pt;margin-left:-60pt;margin-top:67pt;height:12pt;width:116pt;z-index:25195520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54" o:spid="_x0000_s4754" o:spt="136" type="#_x0000_t136" style="position:absolute;left:0pt;margin-left:-60pt;margin-top:256pt;height:12pt;width:116pt;z-index:25195622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55" o:spid="_x0000_s4755" o:spt="136" type="#_x0000_t136" style="position:absolute;left:0pt;margin-left:-60pt;margin-top:466pt;height:12pt;width:116pt;z-index:25195724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56" o:spid="_x0000_s4756" o:spt="136" type="#_x0000_t136" style="position:absolute;left:0pt;margin-left:-60pt;margin-top:668pt;height:12pt;width:116pt;z-index:25195827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57" o:spid="_x0000_s4757" o:spt="136" type="#_x0000_t136" style="position:absolute;left:0pt;margin-left:140pt;margin-top:59pt;height:12pt;width:116pt;z-index:25195929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58" o:spid="_x0000_s4758" o:spt="136" type="#_x0000_t136" style="position:absolute;left:0pt;margin-left:140pt;margin-top:261pt;height:12pt;width:116pt;z-index:25196032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59" o:spid="_x0000_s4759" o:spt="136" type="#_x0000_t136" style="position:absolute;left:0pt;margin-left:140pt;margin-top:465pt;height:12pt;width:116pt;z-index:25196134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60" o:spid="_x0000_s4760" o:spt="136" type="#_x0000_t136" style="position:absolute;left:0pt;margin-left:140pt;margin-top:657pt;height:12pt;width:116pt;z-index:25196236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61" o:spid="_x0000_s4761" o:spt="136" type="#_x0000_t136" style="position:absolute;left:0pt;margin-left:350pt;margin-top:63pt;height:12pt;width:116pt;z-index:25196339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62" o:spid="_x0000_s4762" o:spt="136" type="#_x0000_t136" style="position:absolute;left:0pt;margin-left:350pt;margin-top:265pt;height:12pt;width:116pt;z-index:25196441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63" o:spid="_x0000_s4763" o:spt="136" type="#_x0000_t136" style="position:absolute;left:0pt;margin-left:350pt;margin-top:457pt;height:12pt;width:116pt;z-index:25196544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64" o:spid="_x0000_s4764" o:spt="136" type="#_x0000_t136" style="position:absolute;left:0pt;margin-left:350pt;margin-top:664pt;height:12pt;width:116pt;z-index:25196646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65" o:spid="_x0000_s4765" o:spt="136" type="#_x0000_t136" style="position:absolute;left:0pt;margin-left:554pt;margin-top:68pt;height:12pt;width:116pt;z-index:25196748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66" o:spid="_x0000_s4766" o:spt="136" type="#_x0000_t136" style="position:absolute;left:0pt;margin-left:554pt;margin-top:269pt;height:12pt;width:116pt;z-index:25196851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67" o:spid="_x0000_s4767" o:spt="136" type="#_x0000_t136" style="position:absolute;left:0pt;margin-left:554pt;margin-top:457pt;height:12pt;width:116pt;z-index:25196953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68" o:spid="_x0000_s4768" o:spt="136" type="#_x0000_t136" style="position:absolute;left:0pt;margin-left:554pt;margin-top:658pt;height:12pt;width:116pt;z-index:25197056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p w14:paraId="2F52CB19">
    <w:r>
      <w:pict>
        <v:shape id="_x0000_s4769" o:spid="_x0000_s4769" o:spt="136" type="#_x0000_t136" style="position:absolute;left:0pt;margin-left:-51pt;margin-top:64pt;height:12pt;width:116pt;z-index:25190604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70" o:spid="_x0000_s4770" o:spt="136" type="#_x0000_t136" style="position:absolute;left:0pt;margin-left:-51pt;margin-top:265pt;height:12pt;width:116pt;z-index:25190707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71" o:spid="_x0000_s4771" o:spt="136" type="#_x0000_t136" style="position:absolute;left:0pt;margin-left:-51pt;margin-top:463pt;height:12pt;width:116pt;z-index:25190809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72" o:spid="_x0000_s4772" o:spt="136" type="#_x0000_t136" style="position:absolute;left:0pt;margin-left:-51pt;margin-top:668pt;height:12pt;width:116pt;z-index:25190912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73" o:spid="_x0000_s4773" o:spt="136" type="#_x0000_t136" style="position:absolute;left:0pt;margin-left:151pt;margin-top:60pt;height:12pt;width:116pt;z-index:25191014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74" o:spid="_x0000_s4774" o:spt="136" type="#_x0000_t136" style="position:absolute;left:0pt;margin-left:151pt;margin-top:265pt;height:12pt;width:116pt;z-index:25191116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75" o:spid="_x0000_s4775" o:spt="136" type="#_x0000_t136" style="position:absolute;left:0pt;margin-left:151pt;margin-top:464pt;height:12pt;width:116pt;z-index:25191219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76" o:spid="_x0000_s4776" o:spt="136" type="#_x0000_t136" style="position:absolute;left:0pt;margin-left:151pt;margin-top:668pt;height:12pt;width:116pt;z-index:25191321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77" o:spid="_x0000_s4777" o:spt="136" type="#_x0000_t136" style="position:absolute;left:0pt;margin-left:344pt;margin-top:56pt;height:12pt;width:116pt;z-index:25191424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78" o:spid="_x0000_s4778" o:spt="136" type="#_x0000_t136" style="position:absolute;left:0pt;margin-left:344pt;margin-top:264pt;height:12pt;width:116pt;z-index:25191526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79" o:spid="_x0000_s4779" o:spt="136" type="#_x0000_t136" style="position:absolute;left:0pt;margin-left:344pt;margin-top:459pt;height:12pt;width:116pt;z-index:25191628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80" o:spid="_x0000_s4780" o:spt="136" type="#_x0000_t136" style="position:absolute;left:0pt;margin-left:344pt;margin-top:669pt;height:12pt;width:116pt;z-index:25191731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81" o:spid="_x0000_s4781" o:spt="136" type="#_x0000_t136" style="position:absolute;left:0pt;margin-left:548pt;margin-top:69pt;height:12pt;width:116pt;z-index:25191833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82" o:spid="_x0000_s4782" o:spt="136" type="#_x0000_t136" style="position:absolute;left:0pt;margin-left:548pt;margin-top:263pt;height:12pt;width:116pt;z-index:25191936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83" o:spid="_x0000_s4783" o:spt="136" type="#_x0000_t136" style="position:absolute;left:0pt;margin-left:548pt;margin-top:460pt;height:12pt;width:116pt;z-index:25192038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84" o:spid="_x0000_s4784" o:spt="136" type="#_x0000_t136" style="position:absolute;left:0pt;margin-left:548pt;margin-top:662pt;height:12pt;width:116pt;z-index:25192140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p>
  <w:p w14:paraId="5FDCFFDD">
    <w:r>
      <w:pict>
        <v:shape id="_x0000_s4785" o:spid="_x0000_s4785" o:spt="136" type="#_x0000_t136" style="position:absolute;left:0pt;margin-left:-54pt;margin-top:60pt;height:12pt;width:116pt;z-index:25182412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86" o:spid="_x0000_s4786" o:spt="136" type="#_x0000_t136" style="position:absolute;left:0pt;margin-left:-54pt;margin-top:265pt;height:12pt;width:116pt;z-index:25182515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87" o:spid="_x0000_s4787" o:spt="136" type="#_x0000_t136" style="position:absolute;left:0pt;margin-left:-54pt;margin-top:465pt;height:12pt;width:116pt;z-index:25182617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88" o:spid="_x0000_s4788" o:spt="136" type="#_x0000_t136" style="position:absolute;left:0pt;margin-left:-54pt;margin-top:661pt;height:12pt;width:116pt;z-index:25182720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89" o:spid="_x0000_s4789" o:spt="136" type="#_x0000_t136" style="position:absolute;left:0pt;margin-left:141pt;margin-top:56pt;height:12pt;width:116pt;z-index:25182822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90" o:spid="_x0000_s4790" o:spt="136" type="#_x0000_t136" style="position:absolute;left:0pt;margin-left:141pt;margin-top:258pt;height:12pt;width:116pt;z-index:25182924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91" o:spid="_x0000_s4791" o:spt="136" type="#_x0000_t136" style="position:absolute;left:0pt;margin-left:141pt;margin-top:466pt;height:12pt;width:116pt;z-index:25183027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92" o:spid="_x0000_s4792" o:spt="136" type="#_x0000_t136" style="position:absolute;left:0pt;margin-left:141pt;margin-top:657pt;height:12pt;width:116pt;z-index:25183129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93" o:spid="_x0000_s4793" o:spt="136" type="#_x0000_t136" style="position:absolute;left:0pt;margin-left:342pt;margin-top:67pt;height:12pt;width:116pt;z-index:25183232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94" o:spid="_x0000_s4794" o:spt="136" type="#_x0000_t136" style="position:absolute;left:0pt;margin-left:342pt;margin-top:261pt;height:12pt;width:116pt;z-index:25183334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95" o:spid="_x0000_s4795" o:spt="136" type="#_x0000_t136" style="position:absolute;left:0pt;margin-left:342pt;margin-top:455pt;height:12pt;width:116pt;z-index:25183436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96" o:spid="_x0000_s4796" o:spt="136" type="#_x0000_t136" style="position:absolute;left:0pt;margin-left:342pt;margin-top:667pt;height:12pt;width:116pt;z-index:25183539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97" o:spid="_x0000_s4797" o:spt="136" type="#_x0000_t136" style="position:absolute;left:0pt;margin-left:545pt;margin-top:65pt;height:12pt;width:116pt;z-index:25183641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98" o:spid="_x0000_s4798" o:spt="136" type="#_x0000_t136" style="position:absolute;left:0pt;margin-left:545pt;margin-top:269pt;height:12pt;width:116pt;z-index:25183744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99" o:spid="_x0000_s4799" o:spt="136" type="#_x0000_t136" style="position:absolute;left:0pt;margin-left:545pt;margin-top:467pt;height:12pt;width:116pt;z-index:25183846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800" o:spid="_x0000_s4800" o:spt="136" type="#_x0000_t136" style="position:absolute;left:0pt;margin-left:545pt;margin-top:666pt;height:12pt;width:116pt;z-index:25183948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p w14:paraId="0BC669D5">
    <w:r>
      <w:pict>
        <v:shape id="_x0000_s4801" o:spid="_x0000_s4801" o:spt="136" type="#_x0000_t136" style="position:absolute;left:0pt;margin-left:-58pt;margin-top:69pt;height:12pt;width:116pt;rotation:-2621440f;z-index:25177497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802" o:spid="_x0000_s4802" o:spt="136" type="#_x0000_t136" style="position:absolute;left:0pt;margin-left:-58pt;margin-top:257pt;height:12pt;width:116pt;rotation:-2621440f;z-index:25177600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803" o:spid="_x0000_s4803" o:spt="136" type="#_x0000_t136" style="position:absolute;left:0pt;margin-left:-58pt;margin-top:463pt;height:12pt;width:116pt;rotation:-2621440f;z-index:25177702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804" o:spid="_x0000_s4804" o:spt="136" type="#_x0000_t136" style="position:absolute;left:0pt;margin-left:-58pt;margin-top:667pt;height:12pt;width:116pt;rotation:-2621440f;z-index:25177804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805" o:spid="_x0000_s4805" o:spt="136" type="#_x0000_t136" style="position:absolute;left:0pt;margin-left:143pt;margin-top:67pt;height:12pt;width:116pt;rotation:-2621440f;z-index:25177907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806" o:spid="_x0000_s4806" o:spt="136" type="#_x0000_t136" style="position:absolute;left:0pt;margin-left:143pt;margin-top:257pt;height:12pt;width:116pt;rotation:-2621440f;z-index:25178009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807" o:spid="_x0000_s4807" o:spt="136" type="#_x0000_t136" style="position:absolute;left:0pt;margin-left:143pt;margin-top:466pt;height:12pt;width:116pt;rotation:-2621440f;z-index:25178112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808" o:spid="_x0000_s4808" o:spt="136" type="#_x0000_t136" style="position:absolute;left:0pt;margin-left:143pt;margin-top:662pt;height:12pt;width:116pt;rotation:-2621440f;z-index:25178214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809" o:spid="_x0000_s4809" o:spt="136" type="#_x0000_t136" style="position:absolute;left:0pt;margin-left:348pt;margin-top:69pt;height:12pt;width:116pt;rotation:-2621440f;z-index:25178316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810" o:spid="_x0000_s4810" o:spt="136" type="#_x0000_t136" style="position:absolute;left:0pt;margin-left:348pt;margin-top:262pt;height:12pt;width:116pt;rotation:-2621440f;z-index:25178419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811" o:spid="_x0000_s4811" o:spt="136" type="#_x0000_t136" style="position:absolute;left:0pt;margin-left:348pt;margin-top:463pt;height:12pt;width:116pt;rotation:-2621440f;z-index:25178521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812" o:spid="_x0000_s4812" o:spt="136" type="#_x0000_t136" style="position:absolute;left:0pt;margin-left:348pt;margin-top:658pt;height:12pt;width:116pt;rotation:-2621440f;z-index:25178624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813" o:spid="_x0000_s4813" o:spt="136" type="#_x0000_t136" style="position:absolute;left:0pt;margin-left:552pt;margin-top:69pt;height:12pt;width:116pt;rotation:-2621440f;z-index:25178726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814" o:spid="_x0000_s4814" o:spt="136" type="#_x0000_t136" style="position:absolute;left:0pt;margin-left:552pt;margin-top:269pt;height:12pt;width:116pt;rotation:-2621440f;z-index:25178828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815" o:spid="_x0000_s4815" o:spt="136" type="#_x0000_t136" style="position:absolute;left:0pt;margin-left:552pt;margin-top:458pt;height:12pt;width:116pt;rotation:-2621440f;z-index:25178931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816" o:spid="_x0000_s4816" o:spt="136" type="#_x0000_t136" style="position:absolute;left:0pt;margin-left:552pt;margin-top:669pt;height:12pt;width:116pt;rotation:-2621440f;z-index:25179033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p>
  <w:p w14:paraId="7A6E9800">
    <w:r>
      <w:pict>
        <v:shape id="_x0000_s4817" o:spid="_x0000_s4817" o:spt="136" type="#_x0000_t136" style="position:absolute;left:0pt;margin-left:-57pt;margin-top:55pt;height:12pt;width:116pt;rotation:-2621440f;z-index:25169305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818" o:spid="_x0000_s4818" o:spt="136" type="#_x0000_t136" style="position:absolute;left:0pt;margin-left:-57pt;margin-top:261pt;height:12pt;width:116pt;rotation:-2621440f;z-index:25169408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819" o:spid="_x0000_s4819" o:spt="136" type="#_x0000_t136" style="position:absolute;left:0pt;margin-left:-57pt;margin-top:460pt;height:12pt;width:116pt;rotation:-2621440f;z-index:25169510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820" o:spid="_x0000_s4820" o:spt="136" type="#_x0000_t136" style="position:absolute;left:0pt;margin-left:-57pt;margin-top:657pt;height:12pt;width:116pt;rotation:-2621440f;z-index:25169612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821" o:spid="_x0000_s4821" o:spt="136" type="#_x0000_t136" style="position:absolute;left:0pt;margin-left:151pt;margin-top:70pt;height:12pt;width:116pt;rotation:-2621440f;z-index:25169715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822" o:spid="_x0000_s4822" o:spt="136" type="#_x0000_t136" style="position:absolute;left:0pt;margin-left:151pt;margin-top:259pt;height:12pt;width:116pt;rotation:-2621440f;z-index:25169817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823" o:spid="_x0000_s4823" o:spt="136" type="#_x0000_t136" style="position:absolute;left:0pt;margin-left:151pt;margin-top:459pt;height:12pt;width:116pt;rotation:-2621440f;z-index:25169920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824" o:spid="_x0000_s4824" o:spt="136" type="#_x0000_t136" style="position:absolute;left:0pt;margin-left:151pt;margin-top:670pt;height:12pt;width:116pt;rotation:-2621440f;z-index:25170022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825" o:spid="_x0000_s4825" o:spt="136" type="#_x0000_t136" style="position:absolute;left:0pt;margin-left:343pt;margin-top:56pt;height:12pt;width:116pt;rotation:-2621440f;z-index:25170124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826" o:spid="_x0000_s4826" o:spt="136" type="#_x0000_t136" style="position:absolute;left:0pt;margin-left:343pt;margin-top:257pt;height:12pt;width:116pt;rotation:-2621440f;z-index:25170227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827" o:spid="_x0000_s4827" o:spt="136" type="#_x0000_t136" style="position:absolute;left:0pt;margin-left:343pt;margin-top:460pt;height:12pt;width:116pt;rotation:-2621440f;z-index:25170329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828" o:spid="_x0000_s4828" o:spt="136" type="#_x0000_t136" style="position:absolute;left:0pt;margin-left:343pt;margin-top:655pt;height:12pt;width:116pt;rotation:-2621440f;z-index:25170432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829" o:spid="_x0000_s4829" o:spt="136" type="#_x0000_t136" style="position:absolute;left:0pt;margin-left:552pt;margin-top:67pt;height:12pt;width:116pt;rotation:-2621440f;z-index:25170534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830" o:spid="_x0000_s4830" o:spt="136" type="#_x0000_t136" style="position:absolute;left:0pt;margin-left:552pt;margin-top:266pt;height:12pt;width:116pt;rotation:-2621440f;z-index:25170636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831" o:spid="_x0000_s4831" o:spt="136" type="#_x0000_t136" style="position:absolute;left:0pt;margin-left:552pt;margin-top:457pt;height:12pt;width:116pt;rotation:-2621440f;z-index:25170739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832" o:spid="_x0000_s4832" o:spt="136" type="#_x0000_t136" style="position:absolute;left:0pt;margin-left:552pt;margin-top:655pt;height:12pt;width:116pt;rotation:-2621440f;z-index:25170841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CC145D">
    <w:r>
      <w:pict>
        <v:shape id="_x0000_s4465" o:spid="_x0000_s4465" o:spt="136" type="#_x0000_t136" style="position:absolute;left:0pt;margin-left:-45pt;margin-top:68pt;height:12pt;width:116pt;z-index:25228288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66" o:spid="_x0000_s4466" o:spt="136" type="#_x0000_t136" style="position:absolute;left:0pt;margin-left:-45pt;margin-top:256pt;height:12pt;width:116pt;z-index:25228390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67" o:spid="_x0000_s4467" o:spt="136" type="#_x0000_t136" style="position:absolute;left:0pt;margin-left:-45pt;margin-top:457pt;height:12pt;width:116pt;z-index:25228492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68" o:spid="_x0000_s4468" o:spt="136" type="#_x0000_t136" style="position:absolute;left:0pt;margin-left:-45pt;margin-top:670pt;height:12pt;width:116pt;z-index:25228595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69" o:spid="_x0000_s4469" o:spt="136" type="#_x0000_t136" style="position:absolute;left:0pt;margin-left:145pt;margin-top:57pt;height:12pt;width:116pt;z-index:25228697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70" o:spid="_x0000_s4470" o:spt="136" type="#_x0000_t136" style="position:absolute;left:0pt;margin-left:145pt;margin-top:268pt;height:12pt;width:116pt;z-index:25228800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71" o:spid="_x0000_s4471" o:spt="136" type="#_x0000_t136" style="position:absolute;left:0pt;margin-left:145pt;margin-top:458pt;height:12pt;width:116pt;z-index:25228902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72" o:spid="_x0000_s4472" o:spt="136" type="#_x0000_t136" style="position:absolute;left:0pt;margin-left:145pt;margin-top:670pt;height:12pt;width:116pt;z-index:25229004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73" o:spid="_x0000_s4473" o:spt="136" type="#_x0000_t136" style="position:absolute;left:0pt;margin-left:341pt;margin-top:57pt;height:12pt;width:116pt;z-index:25229107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74" o:spid="_x0000_s4474" o:spt="136" type="#_x0000_t136" style="position:absolute;left:0pt;margin-left:341pt;margin-top:269pt;height:12pt;width:116pt;z-index:25229209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75" o:spid="_x0000_s4475" o:spt="136" type="#_x0000_t136" style="position:absolute;left:0pt;margin-left:341pt;margin-top:461pt;height:12pt;width:116pt;z-index:25229312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76" o:spid="_x0000_s4476" o:spt="136" type="#_x0000_t136" style="position:absolute;left:0pt;margin-left:341pt;margin-top:659pt;height:12pt;width:116pt;z-index:25229414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77" o:spid="_x0000_s4477" o:spt="136" type="#_x0000_t136" style="position:absolute;left:0pt;margin-left:545pt;margin-top:67pt;height:12pt;width:116pt;z-index:25229516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78" o:spid="_x0000_s4478" o:spt="136" type="#_x0000_t136" style="position:absolute;left:0pt;margin-left:545pt;margin-top:265pt;height:12pt;width:116pt;z-index:25229619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79" o:spid="_x0000_s4479" o:spt="136" type="#_x0000_t136" style="position:absolute;left:0pt;margin-left:545pt;margin-top:457pt;height:12pt;width:116pt;z-index:25229721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80" o:spid="_x0000_s4480" o:spt="136" type="#_x0000_t136" style="position:absolute;left:0pt;margin-left:545pt;margin-top:657pt;height:12pt;width:116pt;z-index:25229824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p w14:paraId="21C01026">
    <w:r>
      <w:pict>
        <v:shape id="_x0000_s4481" o:spid="_x0000_s4481" o:spt="136" type="#_x0000_t136" style="position:absolute;left:0pt;margin-left:-59pt;margin-top:68pt;height:12pt;width:116pt;z-index:25221734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82" o:spid="_x0000_s4482" o:spt="136" type="#_x0000_t136" style="position:absolute;left:0pt;margin-left:-59pt;margin-top:268pt;height:12pt;width:116pt;z-index:25221836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83" o:spid="_x0000_s4483" o:spt="136" type="#_x0000_t136" style="position:absolute;left:0pt;margin-left:-59pt;margin-top:456pt;height:12pt;width:116pt;z-index:25221939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84" o:spid="_x0000_s4484" o:spt="136" type="#_x0000_t136" style="position:absolute;left:0pt;margin-left:-59pt;margin-top:656pt;height:12pt;width:116pt;z-index:25222041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85" o:spid="_x0000_s4485" o:spt="136" type="#_x0000_t136" style="position:absolute;left:0pt;margin-left:151pt;margin-top:65pt;height:12pt;width:116pt;z-index:25222144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86" o:spid="_x0000_s4486" o:spt="136" type="#_x0000_t136" style="position:absolute;left:0pt;margin-left:151pt;margin-top:267pt;height:12pt;width:116pt;z-index:25222246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87" o:spid="_x0000_s4487" o:spt="136" type="#_x0000_t136" style="position:absolute;left:0pt;margin-left:151pt;margin-top:460pt;height:12pt;width:116pt;z-index:25222348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88" o:spid="_x0000_s4488" o:spt="136" type="#_x0000_t136" style="position:absolute;left:0pt;margin-left:151pt;margin-top:663pt;height:12pt;width:116pt;z-index:25222451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89" o:spid="_x0000_s4489" o:spt="136" type="#_x0000_t136" style="position:absolute;left:0pt;margin-left:342pt;margin-top:59pt;height:12pt;width:116pt;z-index:25222553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90" o:spid="_x0000_s4490" o:spt="136" type="#_x0000_t136" style="position:absolute;left:0pt;margin-left:342pt;margin-top:267pt;height:12pt;width:116pt;z-index:25222656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91" o:spid="_x0000_s4491" o:spt="136" type="#_x0000_t136" style="position:absolute;left:0pt;margin-left:342pt;margin-top:457pt;height:12pt;width:116pt;z-index:25222758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92" o:spid="_x0000_s4492" o:spt="136" type="#_x0000_t136" style="position:absolute;left:0pt;margin-left:342pt;margin-top:659pt;height:12pt;width:116pt;z-index:25222860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93" o:spid="_x0000_s4493" o:spt="136" type="#_x0000_t136" style="position:absolute;left:0pt;margin-left:554pt;margin-top:60pt;height:12pt;width:116pt;z-index:25222963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94" o:spid="_x0000_s4494" o:spt="136" type="#_x0000_t136" style="position:absolute;left:0pt;margin-left:554pt;margin-top:256pt;height:12pt;width:116pt;z-index:25223065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95" o:spid="_x0000_s4495" o:spt="136" type="#_x0000_t136" style="position:absolute;left:0pt;margin-left:554pt;margin-top:462pt;height:12pt;width:116pt;z-index:25223168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96" o:spid="_x0000_s4496" o:spt="136" type="#_x0000_t136" style="position:absolute;left:0pt;margin-left:554pt;margin-top:659pt;height:12pt;width:116pt;z-index:25223270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p>
  <w:p w14:paraId="2B724391">
    <w:r>
      <w:pict>
        <v:shape id="_x0000_s4497" o:spid="_x0000_s4497" o:spt="136" type="#_x0000_t136" style="position:absolute;left:0pt;margin-left:-51pt;margin-top:59pt;height:12pt;width:116pt;z-index:25216819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98" o:spid="_x0000_s4498" o:spt="136" type="#_x0000_t136" style="position:absolute;left:0pt;margin-left:-51pt;margin-top:256pt;height:12pt;width:116pt;z-index:25216921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99" o:spid="_x0000_s4499" o:spt="136" type="#_x0000_t136" style="position:absolute;left:0pt;margin-left:-51pt;margin-top:464pt;height:12pt;width:116pt;z-index:25217024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00" o:spid="_x0000_s4500" o:spt="136" type="#_x0000_t136" style="position:absolute;left:0pt;margin-left:-51pt;margin-top:657pt;height:12pt;width:116pt;z-index:25217126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01" o:spid="_x0000_s4501" o:spt="136" type="#_x0000_t136" style="position:absolute;left:0pt;margin-left:150pt;margin-top:65pt;height:12pt;width:116pt;z-index:25217228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02" o:spid="_x0000_s4502" o:spt="136" type="#_x0000_t136" style="position:absolute;left:0pt;margin-left:150pt;margin-top:268pt;height:12pt;width:116pt;z-index:25217331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03" o:spid="_x0000_s4503" o:spt="136" type="#_x0000_t136" style="position:absolute;left:0pt;margin-left:150pt;margin-top:457pt;height:12pt;width:116pt;z-index:25217433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04" o:spid="_x0000_s4504" o:spt="136" type="#_x0000_t136" style="position:absolute;left:0pt;margin-left:150pt;margin-top:662pt;height:12pt;width:116pt;z-index:25217536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05" o:spid="_x0000_s4505" o:spt="136" type="#_x0000_t136" style="position:absolute;left:0pt;margin-left:350pt;margin-top:56pt;height:12pt;width:116pt;z-index:25217638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06" o:spid="_x0000_s4506" o:spt="136" type="#_x0000_t136" style="position:absolute;left:0pt;margin-left:350pt;margin-top:261pt;height:12pt;width:116pt;z-index:25217740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07" o:spid="_x0000_s4507" o:spt="136" type="#_x0000_t136" style="position:absolute;left:0pt;margin-left:350pt;margin-top:465pt;height:12pt;width:116pt;z-index:25217843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08" o:spid="_x0000_s4508" o:spt="136" type="#_x0000_t136" style="position:absolute;left:0pt;margin-left:350pt;margin-top:658pt;height:12pt;width:116pt;z-index:25217945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09" o:spid="_x0000_s4509" o:spt="136" type="#_x0000_t136" style="position:absolute;left:0pt;margin-left:543pt;margin-top:57pt;height:12pt;width:116pt;z-index:25218048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10" o:spid="_x0000_s4510" o:spt="136" type="#_x0000_t136" style="position:absolute;left:0pt;margin-left:543pt;margin-top:268pt;height:12pt;width:116pt;z-index:25218150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11" o:spid="_x0000_s4511" o:spt="136" type="#_x0000_t136" style="position:absolute;left:0pt;margin-left:543pt;margin-top:456pt;height:12pt;width:116pt;z-index:25218252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12" o:spid="_x0000_s4512" o:spt="136" type="#_x0000_t136" style="position:absolute;left:0pt;margin-left:543pt;margin-top:658pt;height:12pt;width:116pt;z-index:25218355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p>
  <w:p w14:paraId="45EB3E2D">
    <w:r>
      <w:pict>
        <v:shape id="_x0000_s4513" o:spid="_x0000_s4513" o:spt="136" type="#_x0000_t136" style="position:absolute;left:0pt;margin-left:-49pt;margin-top:57pt;height:12pt;width:116pt;z-index:25210265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14" o:spid="_x0000_s4514" o:spt="136" type="#_x0000_t136" style="position:absolute;left:0pt;margin-left:-49pt;margin-top:259pt;height:12pt;width:116pt;z-index:25210368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15" o:spid="_x0000_s4515" o:spt="136" type="#_x0000_t136" style="position:absolute;left:0pt;margin-left:-49pt;margin-top:456pt;height:12pt;width:116pt;z-index:25210470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16" o:spid="_x0000_s4516" o:spt="136" type="#_x0000_t136" style="position:absolute;left:0pt;margin-left:-49pt;margin-top:656pt;height:12pt;width:116pt;z-index:25210572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17" o:spid="_x0000_s4517" o:spt="136" type="#_x0000_t136" style="position:absolute;left:0pt;margin-left:141pt;margin-top:63pt;height:12pt;width:116pt;z-index:25210675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18" o:spid="_x0000_s4518" o:spt="136" type="#_x0000_t136" style="position:absolute;left:0pt;margin-left:141pt;margin-top:262pt;height:12pt;width:116pt;z-index:25210777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19" o:spid="_x0000_s4519" o:spt="136" type="#_x0000_t136" style="position:absolute;left:0pt;margin-left:141pt;margin-top:460pt;height:12pt;width:116pt;z-index:25210880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20" o:spid="_x0000_s4520" o:spt="136" type="#_x0000_t136" style="position:absolute;left:0pt;margin-left:141pt;margin-top:670pt;height:12pt;width:116pt;z-index:25210982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21" o:spid="_x0000_s4521" o:spt="136" type="#_x0000_t136" style="position:absolute;left:0pt;margin-left:344pt;margin-top:61pt;height:12pt;width:116pt;z-index:25211084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22" o:spid="_x0000_s4522" o:spt="136" type="#_x0000_t136" style="position:absolute;left:0pt;margin-left:344pt;margin-top:265pt;height:12pt;width:116pt;z-index:25211187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23" o:spid="_x0000_s4523" o:spt="136" type="#_x0000_t136" style="position:absolute;left:0pt;margin-left:344pt;margin-top:468pt;height:12pt;width:116pt;z-index:25211289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24" o:spid="_x0000_s4524" o:spt="136" type="#_x0000_t136" style="position:absolute;left:0pt;margin-left:344pt;margin-top:670pt;height:12pt;width:116pt;z-index:25211392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25" o:spid="_x0000_s4525" o:spt="136" type="#_x0000_t136" style="position:absolute;left:0pt;margin-left:543pt;margin-top:59pt;height:12pt;width:116pt;z-index:25211494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26" o:spid="_x0000_s4526" o:spt="136" type="#_x0000_t136" style="position:absolute;left:0pt;margin-left:543pt;margin-top:256pt;height:12pt;width:116pt;z-index:25211596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27" o:spid="_x0000_s4527" o:spt="136" type="#_x0000_t136" style="position:absolute;left:0pt;margin-left:543pt;margin-top:461pt;height:12pt;width:116pt;z-index:25211699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28" o:spid="_x0000_s4528" o:spt="136" type="#_x0000_t136" style="position:absolute;left:0pt;margin-left:543pt;margin-top:670pt;height:12pt;width:116pt;z-index:25211801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p w14:paraId="3DC6D78B">
    <w:r>
      <w:pict>
        <v:shape id="_x0000_s4529" o:spid="_x0000_s4529" o:spt="136" type="#_x0000_t136" style="position:absolute;left:0pt;margin-left:-60pt;margin-top:57pt;height:12pt;width:116pt;z-index:25202073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30" o:spid="_x0000_s4530" o:spt="136" type="#_x0000_t136" style="position:absolute;left:0pt;margin-left:-60pt;margin-top:260pt;height:12pt;width:116pt;z-index:25202176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31" o:spid="_x0000_s4531" o:spt="136" type="#_x0000_t136" style="position:absolute;left:0pt;margin-left:-60pt;margin-top:458pt;height:12pt;width:116pt;z-index:25202278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32" o:spid="_x0000_s4532" o:spt="136" type="#_x0000_t136" style="position:absolute;left:0pt;margin-left:-60pt;margin-top:665pt;height:12pt;width:116pt;z-index:25202380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33" o:spid="_x0000_s4533" o:spt="136" type="#_x0000_t136" style="position:absolute;left:0pt;margin-left:145pt;margin-top:55pt;height:12pt;width:116pt;z-index:25202483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34" o:spid="_x0000_s4534" o:spt="136" type="#_x0000_t136" style="position:absolute;left:0pt;margin-left:145pt;margin-top:256pt;height:12pt;width:116pt;z-index:25202585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35" o:spid="_x0000_s4535" o:spt="136" type="#_x0000_t136" style="position:absolute;left:0pt;margin-left:145pt;margin-top:462pt;height:12pt;width:116pt;z-index:25202688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36" o:spid="_x0000_s4536" o:spt="136" type="#_x0000_t136" style="position:absolute;left:0pt;margin-left:145pt;margin-top:670pt;height:12pt;width:116pt;z-index:25202790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37" o:spid="_x0000_s4537" o:spt="136" type="#_x0000_t136" style="position:absolute;left:0pt;margin-left:349pt;margin-top:68pt;height:12pt;width:116pt;z-index:25202892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38" o:spid="_x0000_s4538" o:spt="136" type="#_x0000_t136" style="position:absolute;left:0pt;margin-left:349pt;margin-top:265pt;height:12pt;width:116pt;z-index:25202995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39" o:spid="_x0000_s4539" o:spt="136" type="#_x0000_t136" style="position:absolute;left:0pt;margin-left:349pt;margin-top:462pt;height:12pt;width:116pt;z-index:25203097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40" o:spid="_x0000_s4540" o:spt="136" type="#_x0000_t136" style="position:absolute;left:0pt;margin-left:349pt;margin-top:663pt;height:12pt;width:116pt;z-index:25203200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41" o:spid="_x0000_s4541" o:spt="136" type="#_x0000_t136" style="position:absolute;left:0pt;margin-left:551pt;margin-top:57pt;height:12pt;width:116pt;z-index:25203302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42" o:spid="_x0000_s4542" o:spt="136" type="#_x0000_t136" style="position:absolute;left:0pt;margin-left:551pt;margin-top:260pt;height:12pt;width:116pt;z-index:25203404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43" o:spid="_x0000_s4543" o:spt="136" type="#_x0000_t136" style="position:absolute;left:0pt;margin-left:551pt;margin-top:457pt;height:12pt;width:116pt;z-index:25203507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44" o:spid="_x0000_s4544" o:spt="136" type="#_x0000_t136" style="position:absolute;left:0pt;margin-left:551pt;margin-top:659pt;height:12pt;width:116pt;z-index:25203609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p>
  <w:p w14:paraId="213CA9ED">
    <w:r>
      <w:pict>
        <v:shape id="_x0000_s4545" o:spid="_x0000_s4545" o:spt="136" type="#_x0000_t136" style="position:absolute;left:0pt;margin-left:-60pt;margin-top:67pt;height:12pt;width:116pt;z-index:25197158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46" o:spid="_x0000_s4546" o:spt="136" type="#_x0000_t136" style="position:absolute;left:0pt;margin-left:-60pt;margin-top:256pt;height:12pt;width:116pt;z-index:25197260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47" o:spid="_x0000_s4547" o:spt="136" type="#_x0000_t136" style="position:absolute;left:0pt;margin-left:-60pt;margin-top:466pt;height:12pt;width:116pt;z-index:25197363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48" o:spid="_x0000_s4548" o:spt="136" type="#_x0000_t136" style="position:absolute;left:0pt;margin-left:-60pt;margin-top:668pt;height:12pt;width:116pt;z-index:25197465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49" o:spid="_x0000_s4549" o:spt="136" type="#_x0000_t136" style="position:absolute;left:0pt;margin-left:140pt;margin-top:59pt;height:12pt;width:116pt;z-index:25197568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50" o:spid="_x0000_s4550" o:spt="136" type="#_x0000_t136" style="position:absolute;left:0pt;margin-left:140pt;margin-top:261pt;height:12pt;width:116pt;z-index:25197670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51" o:spid="_x0000_s4551" o:spt="136" type="#_x0000_t136" style="position:absolute;left:0pt;margin-left:140pt;margin-top:465pt;height:12pt;width:116pt;z-index:25197772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52" o:spid="_x0000_s4552" o:spt="136" type="#_x0000_t136" style="position:absolute;left:0pt;margin-left:140pt;margin-top:657pt;height:12pt;width:116pt;z-index:25197875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53" o:spid="_x0000_s4553" o:spt="136" type="#_x0000_t136" style="position:absolute;left:0pt;margin-left:350pt;margin-top:63pt;height:12pt;width:116pt;z-index:25197977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54" o:spid="_x0000_s4554" o:spt="136" type="#_x0000_t136" style="position:absolute;left:0pt;margin-left:350pt;margin-top:265pt;height:12pt;width:116pt;z-index:25198080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55" o:spid="_x0000_s4555" o:spt="136" type="#_x0000_t136" style="position:absolute;left:0pt;margin-left:350pt;margin-top:457pt;height:12pt;width:116pt;z-index:25198182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56" o:spid="_x0000_s4556" o:spt="136" type="#_x0000_t136" style="position:absolute;left:0pt;margin-left:350pt;margin-top:664pt;height:12pt;width:116pt;z-index:25198284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57" o:spid="_x0000_s4557" o:spt="136" type="#_x0000_t136" style="position:absolute;left:0pt;margin-left:554pt;margin-top:68pt;height:12pt;width:116pt;z-index:25198387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58" o:spid="_x0000_s4558" o:spt="136" type="#_x0000_t136" style="position:absolute;left:0pt;margin-left:554pt;margin-top:269pt;height:12pt;width:116pt;z-index:25198489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59" o:spid="_x0000_s4559" o:spt="136" type="#_x0000_t136" style="position:absolute;left:0pt;margin-left:554pt;margin-top:457pt;height:12pt;width:116pt;z-index:25198592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60" o:spid="_x0000_s4560" o:spt="136" type="#_x0000_t136" style="position:absolute;left:0pt;margin-left:554pt;margin-top:658pt;height:12pt;width:116pt;z-index:25198694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p w14:paraId="0E2828ED">
    <w:r>
      <w:pict>
        <v:shape id="_x0000_s4561" o:spid="_x0000_s4561" o:spt="136" type="#_x0000_t136" style="position:absolute;left:0pt;margin-left:-51pt;margin-top:64pt;height:12pt;width:116pt;z-index:25188966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62" o:spid="_x0000_s4562" o:spt="136" type="#_x0000_t136" style="position:absolute;left:0pt;margin-left:-51pt;margin-top:265pt;height:12pt;width:116pt;z-index:25189068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63" o:spid="_x0000_s4563" o:spt="136" type="#_x0000_t136" style="position:absolute;left:0pt;margin-left:-51pt;margin-top:463pt;height:12pt;width:116pt;z-index:25189171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64" o:spid="_x0000_s4564" o:spt="136" type="#_x0000_t136" style="position:absolute;left:0pt;margin-left:-51pt;margin-top:668pt;height:12pt;width:116pt;z-index:25189273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65" o:spid="_x0000_s4565" o:spt="136" type="#_x0000_t136" style="position:absolute;left:0pt;margin-left:151pt;margin-top:60pt;height:12pt;width:116pt;z-index:25189376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66" o:spid="_x0000_s4566" o:spt="136" type="#_x0000_t136" style="position:absolute;left:0pt;margin-left:151pt;margin-top:265pt;height:12pt;width:116pt;z-index:25189478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67" o:spid="_x0000_s4567" o:spt="136" type="#_x0000_t136" style="position:absolute;left:0pt;margin-left:151pt;margin-top:464pt;height:12pt;width:116pt;z-index:25189580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68" o:spid="_x0000_s4568" o:spt="136" type="#_x0000_t136" style="position:absolute;left:0pt;margin-left:151pt;margin-top:668pt;height:12pt;width:116pt;z-index:25189683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69" o:spid="_x0000_s4569" o:spt="136" type="#_x0000_t136" style="position:absolute;left:0pt;margin-left:344pt;margin-top:56pt;height:12pt;width:116pt;z-index:25189785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70" o:spid="_x0000_s4570" o:spt="136" type="#_x0000_t136" style="position:absolute;left:0pt;margin-left:344pt;margin-top:264pt;height:12pt;width:116pt;z-index:25189888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71" o:spid="_x0000_s4571" o:spt="136" type="#_x0000_t136" style="position:absolute;left:0pt;margin-left:344pt;margin-top:459pt;height:12pt;width:116pt;z-index:25189990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72" o:spid="_x0000_s4572" o:spt="136" type="#_x0000_t136" style="position:absolute;left:0pt;margin-left:344pt;margin-top:669pt;height:12pt;width:116pt;z-index:25190092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73" o:spid="_x0000_s4573" o:spt="136" type="#_x0000_t136" style="position:absolute;left:0pt;margin-left:548pt;margin-top:69pt;height:12pt;width:116pt;z-index:25190195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74" o:spid="_x0000_s4574" o:spt="136" type="#_x0000_t136" style="position:absolute;left:0pt;margin-left:548pt;margin-top:263pt;height:12pt;width:116pt;z-index:25190297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75" o:spid="_x0000_s4575" o:spt="136" type="#_x0000_t136" style="position:absolute;left:0pt;margin-left:548pt;margin-top:460pt;height:12pt;width:116pt;z-index:25190400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76" o:spid="_x0000_s4576" o:spt="136" type="#_x0000_t136" style="position:absolute;left:0pt;margin-left:548pt;margin-top:662pt;height:12pt;width:116pt;z-index:25190502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p>
  <w:p w14:paraId="2CE6DDF8">
    <w:r>
      <w:pict>
        <v:shape id="_x0000_s4577" o:spid="_x0000_s4577" o:spt="136" type="#_x0000_t136" style="position:absolute;left:0pt;margin-left:-54pt;margin-top:60pt;height:12pt;width:116pt;z-index:25184051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78" o:spid="_x0000_s4578" o:spt="136" type="#_x0000_t136" style="position:absolute;left:0pt;margin-left:-54pt;margin-top:265pt;height:12pt;width:116pt;z-index:25184153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79" o:spid="_x0000_s4579" o:spt="136" type="#_x0000_t136" style="position:absolute;left:0pt;margin-left:-54pt;margin-top:465pt;height:12pt;width:116pt;z-index:25184256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80" o:spid="_x0000_s4580" o:spt="136" type="#_x0000_t136" style="position:absolute;left:0pt;margin-left:-54pt;margin-top:661pt;height:12pt;width:116pt;z-index:25184358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81" o:spid="_x0000_s4581" o:spt="136" type="#_x0000_t136" style="position:absolute;left:0pt;margin-left:141pt;margin-top:56pt;height:12pt;width:116pt;z-index:25184460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82" o:spid="_x0000_s4582" o:spt="136" type="#_x0000_t136" style="position:absolute;left:0pt;margin-left:141pt;margin-top:258pt;height:12pt;width:116pt;z-index:25184563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83" o:spid="_x0000_s4583" o:spt="136" type="#_x0000_t136" style="position:absolute;left:0pt;margin-left:141pt;margin-top:466pt;height:12pt;width:116pt;z-index:25184665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84" o:spid="_x0000_s4584" o:spt="136" type="#_x0000_t136" style="position:absolute;left:0pt;margin-left:141pt;margin-top:657pt;height:12pt;width:116pt;z-index:25184768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85" o:spid="_x0000_s4585" o:spt="136" type="#_x0000_t136" style="position:absolute;left:0pt;margin-left:342pt;margin-top:67pt;height:12pt;width:116pt;z-index:25184870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86" o:spid="_x0000_s4586" o:spt="136" type="#_x0000_t136" style="position:absolute;left:0pt;margin-left:342pt;margin-top:261pt;height:12pt;width:116pt;z-index:25184972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87" o:spid="_x0000_s4587" o:spt="136" type="#_x0000_t136" style="position:absolute;left:0pt;margin-left:342pt;margin-top:455pt;height:12pt;width:116pt;z-index:25185075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88" o:spid="_x0000_s4588" o:spt="136" type="#_x0000_t136" style="position:absolute;left:0pt;margin-left:342pt;margin-top:667pt;height:12pt;width:116pt;z-index:25185177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89" o:spid="_x0000_s4589" o:spt="136" type="#_x0000_t136" style="position:absolute;left:0pt;margin-left:545pt;margin-top:65pt;height:12pt;width:116pt;z-index:25185280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90" o:spid="_x0000_s4590" o:spt="136" type="#_x0000_t136" style="position:absolute;left:0pt;margin-left:545pt;margin-top:269pt;height:12pt;width:116pt;z-index:25185382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91" o:spid="_x0000_s4591" o:spt="136" type="#_x0000_t136" style="position:absolute;left:0pt;margin-left:545pt;margin-top:467pt;height:12pt;width:116pt;z-index:25185484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92" o:spid="_x0000_s4592" o:spt="136" type="#_x0000_t136" style="position:absolute;left:0pt;margin-left:545pt;margin-top:666pt;height:12pt;width:116pt;z-index:25185587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p w14:paraId="10A947E0">
    <w:r>
      <w:pict>
        <v:shape id="_x0000_s4593" o:spid="_x0000_s4593" o:spt="136" type="#_x0000_t136" style="position:absolute;left:0pt;margin-left:-58pt;margin-top:69pt;height:12pt;width:116pt;rotation:-2621440f;z-index:25175859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94" o:spid="_x0000_s4594" o:spt="136" type="#_x0000_t136" style="position:absolute;left:0pt;margin-left:-58pt;margin-top:257pt;height:12pt;width:116pt;rotation:-2621440f;z-index:25175961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95" o:spid="_x0000_s4595" o:spt="136" type="#_x0000_t136" style="position:absolute;left:0pt;margin-left:-58pt;margin-top:463pt;height:12pt;width:116pt;rotation:-2621440f;z-index:25176064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96" o:spid="_x0000_s4596" o:spt="136" type="#_x0000_t136" style="position:absolute;left:0pt;margin-left:-58pt;margin-top:667pt;height:12pt;width:116pt;rotation:-2621440f;z-index:25176166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97" o:spid="_x0000_s4597" o:spt="136" type="#_x0000_t136" style="position:absolute;left:0pt;margin-left:143pt;margin-top:67pt;height:12pt;width:116pt;rotation:-2621440f;z-index:25176268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98" o:spid="_x0000_s4598" o:spt="136" type="#_x0000_t136" style="position:absolute;left:0pt;margin-left:143pt;margin-top:257pt;height:12pt;width:116pt;rotation:-2621440f;z-index:25176371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99" o:spid="_x0000_s4599" o:spt="136" type="#_x0000_t136" style="position:absolute;left:0pt;margin-left:143pt;margin-top:466pt;height:12pt;width:116pt;rotation:-2621440f;z-index:25176473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600" o:spid="_x0000_s4600" o:spt="136" type="#_x0000_t136" style="position:absolute;left:0pt;margin-left:143pt;margin-top:662pt;height:12pt;width:116pt;rotation:-2621440f;z-index:25176576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601" o:spid="_x0000_s4601" o:spt="136" type="#_x0000_t136" style="position:absolute;left:0pt;margin-left:348pt;margin-top:69pt;height:12pt;width:116pt;rotation:-2621440f;z-index:25176678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602" o:spid="_x0000_s4602" o:spt="136" type="#_x0000_t136" style="position:absolute;left:0pt;margin-left:348pt;margin-top:262pt;height:12pt;width:116pt;rotation:-2621440f;z-index:25176780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603" o:spid="_x0000_s4603" o:spt="136" type="#_x0000_t136" style="position:absolute;left:0pt;margin-left:348pt;margin-top:463pt;height:12pt;width:116pt;rotation:-2621440f;z-index:25176883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604" o:spid="_x0000_s4604" o:spt="136" type="#_x0000_t136" style="position:absolute;left:0pt;margin-left:348pt;margin-top:658pt;height:12pt;width:116pt;rotation:-2621440f;z-index:25176985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605" o:spid="_x0000_s4605" o:spt="136" type="#_x0000_t136" style="position:absolute;left:0pt;margin-left:552pt;margin-top:69pt;height:12pt;width:116pt;rotation:-2621440f;z-index:25177088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606" o:spid="_x0000_s4606" o:spt="136" type="#_x0000_t136" style="position:absolute;left:0pt;margin-left:552pt;margin-top:269pt;height:12pt;width:116pt;rotation:-2621440f;z-index:25177190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607" o:spid="_x0000_s4607" o:spt="136" type="#_x0000_t136" style="position:absolute;left:0pt;margin-left:552pt;margin-top:458pt;height:12pt;width:116pt;rotation:-2621440f;z-index:25177292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608" o:spid="_x0000_s4608" o:spt="136" type="#_x0000_t136" style="position:absolute;left:0pt;margin-left:552pt;margin-top:669pt;height:12pt;width:116pt;rotation:-2621440f;z-index:25177395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p>
  <w:p w14:paraId="2C984B42">
    <w:r>
      <w:pict>
        <v:shape id="_x0000_s4609" o:spid="_x0000_s4609" o:spt="136" type="#_x0000_t136" style="position:absolute;left:0pt;margin-left:-57pt;margin-top:55pt;height:12pt;width:116pt;rotation:-2621440f;z-index:25170944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610" o:spid="_x0000_s4610" o:spt="136" type="#_x0000_t136" style="position:absolute;left:0pt;margin-left:-57pt;margin-top:261pt;height:12pt;width:116pt;rotation:-2621440f;z-index:25171046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611" o:spid="_x0000_s4611" o:spt="136" type="#_x0000_t136" style="position:absolute;left:0pt;margin-left:-57pt;margin-top:460pt;height:12pt;width:116pt;rotation:-2621440f;z-index:25171148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612" o:spid="_x0000_s4612" o:spt="136" type="#_x0000_t136" style="position:absolute;left:0pt;margin-left:-57pt;margin-top:657pt;height:12pt;width:116pt;rotation:-2621440f;z-index:25171251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613" o:spid="_x0000_s4613" o:spt="136" type="#_x0000_t136" style="position:absolute;left:0pt;margin-left:151pt;margin-top:70pt;height:12pt;width:116pt;rotation:-2621440f;z-index:25171353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614" o:spid="_x0000_s4614" o:spt="136" type="#_x0000_t136" style="position:absolute;left:0pt;margin-left:151pt;margin-top:259pt;height:12pt;width:116pt;rotation:-2621440f;z-index:25171456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615" o:spid="_x0000_s4615" o:spt="136" type="#_x0000_t136" style="position:absolute;left:0pt;margin-left:151pt;margin-top:459pt;height:12pt;width:116pt;rotation:-2621440f;z-index:25171558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616" o:spid="_x0000_s4616" o:spt="136" type="#_x0000_t136" style="position:absolute;left:0pt;margin-left:151pt;margin-top:670pt;height:12pt;width:116pt;rotation:-2621440f;z-index:25171660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617" o:spid="_x0000_s4617" o:spt="136" type="#_x0000_t136" style="position:absolute;left:0pt;margin-left:343pt;margin-top:56pt;height:12pt;width:116pt;rotation:-2621440f;z-index:25171763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618" o:spid="_x0000_s4618" o:spt="136" type="#_x0000_t136" style="position:absolute;left:0pt;margin-left:343pt;margin-top:257pt;height:12pt;width:116pt;rotation:-2621440f;z-index:25171865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619" o:spid="_x0000_s4619" o:spt="136" type="#_x0000_t136" style="position:absolute;left:0pt;margin-left:343pt;margin-top:460pt;height:12pt;width:116pt;rotation:-2621440f;z-index:25171968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620" o:spid="_x0000_s4620" o:spt="136" type="#_x0000_t136" style="position:absolute;left:0pt;margin-left:343pt;margin-top:655pt;height:12pt;width:116pt;rotation:-2621440f;z-index:25172070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621" o:spid="_x0000_s4621" o:spt="136" type="#_x0000_t136" style="position:absolute;left:0pt;margin-left:552pt;margin-top:67pt;height:12pt;width:116pt;rotation:-2621440f;z-index:25172172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622" o:spid="_x0000_s4622" o:spt="136" type="#_x0000_t136" style="position:absolute;left:0pt;margin-left:552pt;margin-top:266pt;height:12pt;width:116pt;rotation:-2621440f;z-index:25172275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623" o:spid="_x0000_s4623" o:spt="136" type="#_x0000_t136" style="position:absolute;left:0pt;margin-left:552pt;margin-top:457pt;height:12pt;width:116pt;rotation:-2621440f;z-index:25172377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624" o:spid="_x0000_s4624" o:spt="136" type="#_x0000_t136" style="position:absolute;left:0pt;margin-left:552pt;margin-top:655pt;height:12pt;width:116pt;rotation:-2621440f;z-index:25172480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B1254C"/>
    <w:multiLevelType w:val="multilevel"/>
    <w:tmpl w:val="08B1254C"/>
    <w:lvl w:ilvl="0" w:tentative="0">
      <w:start w:val="1"/>
      <w:numFmt w:val="decimalEnclosedCircle"/>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JjODU1MjBkNWM1ZmVhYzE4MTdhODUyYmY0Mzk5YmYifQ=="/>
  </w:docVars>
  <w:rsids>
    <w:rsidRoot w:val="3F09578E"/>
    <w:rsid w:val="00007792"/>
    <w:rsid w:val="00042C52"/>
    <w:rsid w:val="000447B7"/>
    <w:rsid w:val="000568FF"/>
    <w:rsid w:val="00072C72"/>
    <w:rsid w:val="000765F3"/>
    <w:rsid w:val="0008214A"/>
    <w:rsid w:val="00082B94"/>
    <w:rsid w:val="000859FF"/>
    <w:rsid w:val="0009256F"/>
    <w:rsid w:val="000A49F8"/>
    <w:rsid w:val="000A4C28"/>
    <w:rsid w:val="000A508C"/>
    <w:rsid w:val="000B7A43"/>
    <w:rsid w:val="000C507F"/>
    <w:rsid w:val="000C6373"/>
    <w:rsid w:val="000D006F"/>
    <w:rsid w:val="000D472A"/>
    <w:rsid w:val="000D4D80"/>
    <w:rsid w:val="000D5AF5"/>
    <w:rsid w:val="000D6A9D"/>
    <w:rsid w:val="000E27BC"/>
    <w:rsid w:val="00111A9A"/>
    <w:rsid w:val="0011636C"/>
    <w:rsid w:val="00132A8B"/>
    <w:rsid w:val="00134E45"/>
    <w:rsid w:val="00145F55"/>
    <w:rsid w:val="00156E3B"/>
    <w:rsid w:val="001570FF"/>
    <w:rsid w:val="00161158"/>
    <w:rsid w:val="001729DA"/>
    <w:rsid w:val="0018380F"/>
    <w:rsid w:val="001A57B9"/>
    <w:rsid w:val="001D2495"/>
    <w:rsid w:val="001D32CD"/>
    <w:rsid w:val="001D5FB4"/>
    <w:rsid w:val="00212B37"/>
    <w:rsid w:val="00216DDB"/>
    <w:rsid w:val="00223723"/>
    <w:rsid w:val="002307F5"/>
    <w:rsid w:val="00233A6D"/>
    <w:rsid w:val="00236B02"/>
    <w:rsid w:val="00246D5D"/>
    <w:rsid w:val="00250823"/>
    <w:rsid w:val="00250FC5"/>
    <w:rsid w:val="00256A82"/>
    <w:rsid w:val="00263CCA"/>
    <w:rsid w:val="00265117"/>
    <w:rsid w:val="0027444E"/>
    <w:rsid w:val="00293C1C"/>
    <w:rsid w:val="002C1E53"/>
    <w:rsid w:val="002E24BD"/>
    <w:rsid w:val="002E6B1A"/>
    <w:rsid w:val="00305CE7"/>
    <w:rsid w:val="003145A6"/>
    <w:rsid w:val="00320D75"/>
    <w:rsid w:val="00321439"/>
    <w:rsid w:val="00323D3A"/>
    <w:rsid w:val="0032710F"/>
    <w:rsid w:val="003376E6"/>
    <w:rsid w:val="00351550"/>
    <w:rsid w:val="00351575"/>
    <w:rsid w:val="00360401"/>
    <w:rsid w:val="00362CF3"/>
    <w:rsid w:val="00377076"/>
    <w:rsid w:val="003770E1"/>
    <w:rsid w:val="0039026A"/>
    <w:rsid w:val="00397D2B"/>
    <w:rsid w:val="003A1E5E"/>
    <w:rsid w:val="003A3C4F"/>
    <w:rsid w:val="003A3C50"/>
    <w:rsid w:val="003A711D"/>
    <w:rsid w:val="003B191E"/>
    <w:rsid w:val="003D7315"/>
    <w:rsid w:val="003E1052"/>
    <w:rsid w:val="0041474A"/>
    <w:rsid w:val="004163FF"/>
    <w:rsid w:val="00417552"/>
    <w:rsid w:val="004213ED"/>
    <w:rsid w:val="00425D06"/>
    <w:rsid w:val="00426001"/>
    <w:rsid w:val="004277C9"/>
    <w:rsid w:val="004279B0"/>
    <w:rsid w:val="004319B2"/>
    <w:rsid w:val="0043769E"/>
    <w:rsid w:val="00441B19"/>
    <w:rsid w:val="00444E96"/>
    <w:rsid w:val="004516D4"/>
    <w:rsid w:val="00457E45"/>
    <w:rsid w:val="004678D0"/>
    <w:rsid w:val="004811EF"/>
    <w:rsid w:val="00481BA1"/>
    <w:rsid w:val="004874D5"/>
    <w:rsid w:val="004A3193"/>
    <w:rsid w:val="004B4840"/>
    <w:rsid w:val="004B7001"/>
    <w:rsid w:val="004C07C2"/>
    <w:rsid w:val="004C5866"/>
    <w:rsid w:val="004E616D"/>
    <w:rsid w:val="004E682C"/>
    <w:rsid w:val="004F70FE"/>
    <w:rsid w:val="004F755D"/>
    <w:rsid w:val="0052003B"/>
    <w:rsid w:val="0052007E"/>
    <w:rsid w:val="00522D24"/>
    <w:rsid w:val="005320AD"/>
    <w:rsid w:val="005320B2"/>
    <w:rsid w:val="00535018"/>
    <w:rsid w:val="00537C28"/>
    <w:rsid w:val="00540C96"/>
    <w:rsid w:val="00567FCA"/>
    <w:rsid w:val="005713EB"/>
    <w:rsid w:val="0057759D"/>
    <w:rsid w:val="00583C31"/>
    <w:rsid w:val="0058555E"/>
    <w:rsid w:val="0058596C"/>
    <w:rsid w:val="005A5883"/>
    <w:rsid w:val="005A624A"/>
    <w:rsid w:val="005B73C8"/>
    <w:rsid w:val="005B7F53"/>
    <w:rsid w:val="005C4AC7"/>
    <w:rsid w:val="005C7C41"/>
    <w:rsid w:val="005D1DB9"/>
    <w:rsid w:val="005D2429"/>
    <w:rsid w:val="005D6522"/>
    <w:rsid w:val="005E1CA7"/>
    <w:rsid w:val="005F38E5"/>
    <w:rsid w:val="00603585"/>
    <w:rsid w:val="00612035"/>
    <w:rsid w:val="00613932"/>
    <w:rsid w:val="00615B62"/>
    <w:rsid w:val="00637BB1"/>
    <w:rsid w:val="00641D7F"/>
    <w:rsid w:val="00645386"/>
    <w:rsid w:val="0066692C"/>
    <w:rsid w:val="00666DDA"/>
    <w:rsid w:val="00672A1F"/>
    <w:rsid w:val="0067392D"/>
    <w:rsid w:val="0069744B"/>
    <w:rsid w:val="006A5552"/>
    <w:rsid w:val="006B1D73"/>
    <w:rsid w:val="006D6ECD"/>
    <w:rsid w:val="006E5C1C"/>
    <w:rsid w:val="00700714"/>
    <w:rsid w:val="007024BE"/>
    <w:rsid w:val="00704336"/>
    <w:rsid w:val="00722B79"/>
    <w:rsid w:val="00740504"/>
    <w:rsid w:val="007444A9"/>
    <w:rsid w:val="00745344"/>
    <w:rsid w:val="007876A2"/>
    <w:rsid w:val="00795BCB"/>
    <w:rsid w:val="007A3725"/>
    <w:rsid w:val="007A6DEE"/>
    <w:rsid w:val="007B19F8"/>
    <w:rsid w:val="007B3600"/>
    <w:rsid w:val="007B6AE8"/>
    <w:rsid w:val="007B7B97"/>
    <w:rsid w:val="007C0F3A"/>
    <w:rsid w:val="007C534E"/>
    <w:rsid w:val="007D2152"/>
    <w:rsid w:val="007D29F4"/>
    <w:rsid w:val="007E5155"/>
    <w:rsid w:val="007F2EAE"/>
    <w:rsid w:val="00816E84"/>
    <w:rsid w:val="00823058"/>
    <w:rsid w:val="00827341"/>
    <w:rsid w:val="0084074E"/>
    <w:rsid w:val="00840DD8"/>
    <w:rsid w:val="008424A4"/>
    <w:rsid w:val="008501A5"/>
    <w:rsid w:val="0085273D"/>
    <w:rsid w:val="00853BCF"/>
    <w:rsid w:val="0087110C"/>
    <w:rsid w:val="00887673"/>
    <w:rsid w:val="008912C1"/>
    <w:rsid w:val="008962E7"/>
    <w:rsid w:val="008A3AC5"/>
    <w:rsid w:val="008A4BEE"/>
    <w:rsid w:val="008A7A82"/>
    <w:rsid w:val="008B112C"/>
    <w:rsid w:val="008B151E"/>
    <w:rsid w:val="008C44B5"/>
    <w:rsid w:val="008D138C"/>
    <w:rsid w:val="008D244E"/>
    <w:rsid w:val="008D3098"/>
    <w:rsid w:val="008E05C8"/>
    <w:rsid w:val="008E443B"/>
    <w:rsid w:val="008E7C92"/>
    <w:rsid w:val="008F6EB2"/>
    <w:rsid w:val="00904B61"/>
    <w:rsid w:val="009127B2"/>
    <w:rsid w:val="009313F3"/>
    <w:rsid w:val="00931A07"/>
    <w:rsid w:val="009331F5"/>
    <w:rsid w:val="0093769E"/>
    <w:rsid w:val="00941D96"/>
    <w:rsid w:val="00956F7E"/>
    <w:rsid w:val="0096048D"/>
    <w:rsid w:val="00961C7F"/>
    <w:rsid w:val="00964151"/>
    <w:rsid w:val="00964515"/>
    <w:rsid w:val="00966457"/>
    <w:rsid w:val="0097256A"/>
    <w:rsid w:val="009733CD"/>
    <w:rsid w:val="00986B22"/>
    <w:rsid w:val="009A3EB7"/>
    <w:rsid w:val="009A462C"/>
    <w:rsid w:val="009B315E"/>
    <w:rsid w:val="009C0507"/>
    <w:rsid w:val="009D3B17"/>
    <w:rsid w:val="009D6409"/>
    <w:rsid w:val="009D6EC2"/>
    <w:rsid w:val="009E19E7"/>
    <w:rsid w:val="009E2D09"/>
    <w:rsid w:val="009F14A2"/>
    <w:rsid w:val="009F1B77"/>
    <w:rsid w:val="009F2FE2"/>
    <w:rsid w:val="00A012E9"/>
    <w:rsid w:val="00A07470"/>
    <w:rsid w:val="00A11DCD"/>
    <w:rsid w:val="00A13CEE"/>
    <w:rsid w:val="00A22C73"/>
    <w:rsid w:val="00A31CE4"/>
    <w:rsid w:val="00A3588F"/>
    <w:rsid w:val="00A55D62"/>
    <w:rsid w:val="00A56E81"/>
    <w:rsid w:val="00A61530"/>
    <w:rsid w:val="00A61648"/>
    <w:rsid w:val="00A8716F"/>
    <w:rsid w:val="00A95D60"/>
    <w:rsid w:val="00AA2BC3"/>
    <w:rsid w:val="00AA2D08"/>
    <w:rsid w:val="00AA59CB"/>
    <w:rsid w:val="00AA7E0F"/>
    <w:rsid w:val="00AB6CBA"/>
    <w:rsid w:val="00AD2E9B"/>
    <w:rsid w:val="00AD7914"/>
    <w:rsid w:val="00AE6ECC"/>
    <w:rsid w:val="00AF169A"/>
    <w:rsid w:val="00AF2B09"/>
    <w:rsid w:val="00AF3730"/>
    <w:rsid w:val="00AF7E28"/>
    <w:rsid w:val="00B006A7"/>
    <w:rsid w:val="00B01DD1"/>
    <w:rsid w:val="00B02AE0"/>
    <w:rsid w:val="00B1006E"/>
    <w:rsid w:val="00B140DA"/>
    <w:rsid w:val="00B20485"/>
    <w:rsid w:val="00B213B6"/>
    <w:rsid w:val="00B27A4C"/>
    <w:rsid w:val="00B32474"/>
    <w:rsid w:val="00B61112"/>
    <w:rsid w:val="00B616ED"/>
    <w:rsid w:val="00B6289A"/>
    <w:rsid w:val="00B727CD"/>
    <w:rsid w:val="00B809AB"/>
    <w:rsid w:val="00B856CC"/>
    <w:rsid w:val="00B869C4"/>
    <w:rsid w:val="00B8700B"/>
    <w:rsid w:val="00B94F4E"/>
    <w:rsid w:val="00BA63BF"/>
    <w:rsid w:val="00BB353D"/>
    <w:rsid w:val="00BB6583"/>
    <w:rsid w:val="00BD0465"/>
    <w:rsid w:val="00BD1156"/>
    <w:rsid w:val="00BD5E91"/>
    <w:rsid w:val="00BD6102"/>
    <w:rsid w:val="00BD6C7B"/>
    <w:rsid w:val="00BF0E19"/>
    <w:rsid w:val="00BF1663"/>
    <w:rsid w:val="00BF55B4"/>
    <w:rsid w:val="00C33019"/>
    <w:rsid w:val="00C35F25"/>
    <w:rsid w:val="00C4159B"/>
    <w:rsid w:val="00C4379F"/>
    <w:rsid w:val="00C47A97"/>
    <w:rsid w:val="00C558B2"/>
    <w:rsid w:val="00C607B5"/>
    <w:rsid w:val="00C621A8"/>
    <w:rsid w:val="00C82587"/>
    <w:rsid w:val="00C86480"/>
    <w:rsid w:val="00C9335A"/>
    <w:rsid w:val="00C940EB"/>
    <w:rsid w:val="00CA1477"/>
    <w:rsid w:val="00CC22B3"/>
    <w:rsid w:val="00CD1423"/>
    <w:rsid w:val="00CD2B25"/>
    <w:rsid w:val="00CD4CA4"/>
    <w:rsid w:val="00CE1630"/>
    <w:rsid w:val="00CE4297"/>
    <w:rsid w:val="00CF5500"/>
    <w:rsid w:val="00D00D51"/>
    <w:rsid w:val="00D04905"/>
    <w:rsid w:val="00D052BD"/>
    <w:rsid w:val="00D224BC"/>
    <w:rsid w:val="00D302E4"/>
    <w:rsid w:val="00D40212"/>
    <w:rsid w:val="00D4366B"/>
    <w:rsid w:val="00D5216F"/>
    <w:rsid w:val="00D6511E"/>
    <w:rsid w:val="00D93404"/>
    <w:rsid w:val="00DA3E87"/>
    <w:rsid w:val="00DC605A"/>
    <w:rsid w:val="00DE6E89"/>
    <w:rsid w:val="00DF1A87"/>
    <w:rsid w:val="00DF7429"/>
    <w:rsid w:val="00E11053"/>
    <w:rsid w:val="00E20303"/>
    <w:rsid w:val="00E550E2"/>
    <w:rsid w:val="00E631AD"/>
    <w:rsid w:val="00E67405"/>
    <w:rsid w:val="00E71894"/>
    <w:rsid w:val="00E760DF"/>
    <w:rsid w:val="00E83BCE"/>
    <w:rsid w:val="00E85CEE"/>
    <w:rsid w:val="00EA12CE"/>
    <w:rsid w:val="00EA30D5"/>
    <w:rsid w:val="00EA40E8"/>
    <w:rsid w:val="00EB1A96"/>
    <w:rsid w:val="00EB1DD5"/>
    <w:rsid w:val="00EC730D"/>
    <w:rsid w:val="00EE6AC9"/>
    <w:rsid w:val="00EF01BA"/>
    <w:rsid w:val="00EF0831"/>
    <w:rsid w:val="00EF676A"/>
    <w:rsid w:val="00F014B9"/>
    <w:rsid w:val="00F016E3"/>
    <w:rsid w:val="00F04845"/>
    <w:rsid w:val="00F04A89"/>
    <w:rsid w:val="00F05291"/>
    <w:rsid w:val="00F066ED"/>
    <w:rsid w:val="00F11F37"/>
    <w:rsid w:val="00F133F6"/>
    <w:rsid w:val="00F3107B"/>
    <w:rsid w:val="00F35015"/>
    <w:rsid w:val="00F35305"/>
    <w:rsid w:val="00F35902"/>
    <w:rsid w:val="00F44DA4"/>
    <w:rsid w:val="00F51364"/>
    <w:rsid w:val="00F527B6"/>
    <w:rsid w:val="00F63E29"/>
    <w:rsid w:val="00F66A22"/>
    <w:rsid w:val="00F66F31"/>
    <w:rsid w:val="00F67B04"/>
    <w:rsid w:val="00F71B2F"/>
    <w:rsid w:val="00F81B6B"/>
    <w:rsid w:val="00F82FDC"/>
    <w:rsid w:val="00F8347F"/>
    <w:rsid w:val="00F868B4"/>
    <w:rsid w:val="00FA3DE6"/>
    <w:rsid w:val="00FB03C8"/>
    <w:rsid w:val="00FB4DB8"/>
    <w:rsid w:val="00FB62F5"/>
    <w:rsid w:val="00FE6057"/>
    <w:rsid w:val="00FE7B94"/>
    <w:rsid w:val="00FE7FE1"/>
    <w:rsid w:val="00FF1715"/>
    <w:rsid w:val="0112363F"/>
    <w:rsid w:val="0136557F"/>
    <w:rsid w:val="015123B9"/>
    <w:rsid w:val="01546FA1"/>
    <w:rsid w:val="01561AA9"/>
    <w:rsid w:val="0159301C"/>
    <w:rsid w:val="01687703"/>
    <w:rsid w:val="016F45ED"/>
    <w:rsid w:val="017460A8"/>
    <w:rsid w:val="017B5688"/>
    <w:rsid w:val="01AC5842"/>
    <w:rsid w:val="01B77F27"/>
    <w:rsid w:val="01D34B7C"/>
    <w:rsid w:val="01D6466C"/>
    <w:rsid w:val="01D9415D"/>
    <w:rsid w:val="01E66FA5"/>
    <w:rsid w:val="01F525FC"/>
    <w:rsid w:val="01FE5971"/>
    <w:rsid w:val="023615AF"/>
    <w:rsid w:val="0236335D"/>
    <w:rsid w:val="023C4E17"/>
    <w:rsid w:val="024A6D3D"/>
    <w:rsid w:val="024C492F"/>
    <w:rsid w:val="02B074BA"/>
    <w:rsid w:val="02DA018C"/>
    <w:rsid w:val="02E37041"/>
    <w:rsid w:val="02EF1E8A"/>
    <w:rsid w:val="02F33118"/>
    <w:rsid w:val="032D4760"/>
    <w:rsid w:val="03557185"/>
    <w:rsid w:val="03575C81"/>
    <w:rsid w:val="03724869"/>
    <w:rsid w:val="03800D34"/>
    <w:rsid w:val="03A03184"/>
    <w:rsid w:val="03B24C65"/>
    <w:rsid w:val="03B94246"/>
    <w:rsid w:val="03E219EE"/>
    <w:rsid w:val="0406225A"/>
    <w:rsid w:val="041D47D5"/>
    <w:rsid w:val="042A0CA0"/>
    <w:rsid w:val="042E253E"/>
    <w:rsid w:val="04365896"/>
    <w:rsid w:val="043D6C25"/>
    <w:rsid w:val="0467129C"/>
    <w:rsid w:val="048D195A"/>
    <w:rsid w:val="04912ACD"/>
    <w:rsid w:val="04A4119D"/>
    <w:rsid w:val="04B50EB1"/>
    <w:rsid w:val="04C37B86"/>
    <w:rsid w:val="04C44C50"/>
    <w:rsid w:val="04CD61FB"/>
    <w:rsid w:val="04D31337"/>
    <w:rsid w:val="04DD3F64"/>
    <w:rsid w:val="04DD5D12"/>
    <w:rsid w:val="04E6106A"/>
    <w:rsid w:val="04FF3EDA"/>
    <w:rsid w:val="05045994"/>
    <w:rsid w:val="052F2A11"/>
    <w:rsid w:val="05542478"/>
    <w:rsid w:val="05740424"/>
    <w:rsid w:val="05832D5D"/>
    <w:rsid w:val="05A36F5B"/>
    <w:rsid w:val="05A54A82"/>
    <w:rsid w:val="05C91B55"/>
    <w:rsid w:val="05CF3715"/>
    <w:rsid w:val="05DD246D"/>
    <w:rsid w:val="06173D21"/>
    <w:rsid w:val="062C0CFF"/>
    <w:rsid w:val="062D2DA5"/>
    <w:rsid w:val="06450013"/>
    <w:rsid w:val="06451DC1"/>
    <w:rsid w:val="06473986"/>
    <w:rsid w:val="064E058F"/>
    <w:rsid w:val="06540256"/>
    <w:rsid w:val="065B3392"/>
    <w:rsid w:val="06622973"/>
    <w:rsid w:val="066606B5"/>
    <w:rsid w:val="067D77AC"/>
    <w:rsid w:val="069468A4"/>
    <w:rsid w:val="06B01930"/>
    <w:rsid w:val="06B86A37"/>
    <w:rsid w:val="06C23411"/>
    <w:rsid w:val="06D118A6"/>
    <w:rsid w:val="06E415DA"/>
    <w:rsid w:val="06F47713"/>
    <w:rsid w:val="06F85085"/>
    <w:rsid w:val="07261BF2"/>
    <w:rsid w:val="073B4D09"/>
    <w:rsid w:val="073C1416"/>
    <w:rsid w:val="074D53D1"/>
    <w:rsid w:val="074D717F"/>
    <w:rsid w:val="07585D35"/>
    <w:rsid w:val="0768220B"/>
    <w:rsid w:val="07972AF0"/>
    <w:rsid w:val="07A1396F"/>
    <w:rsid w:val="07A70F85"/>
    <w:rsid w:val="07AA56E8"/>
    <w:rsid w:val="07D63618"/>
    <w:rsid w:val="07D653C6"/>
    <w:rsid w:val="07E15B19"/>
    <w:rsid w:val="07E37AE3"/>
    <w:rsid w:val="07F35424"/>
    <w:rsid w:val="083C408B"/>
    <w:rsid w:val="084E1401"/>
    <w:rsid w:val="084F5179"/>
    <w:rsid w:val="086724C2"/>
    <w:rsid w:val="0878022B"/>
    <w:rsid w:val="0878647D"/>
    <w:rsid w:val="087F5A5E"/>
    <w:rsid w:val="089D0784"/>
    <w:rsid w:val="08B1168A"/>
    <w:rsid w:val="08BF22FE"/>
    <w:rsid w:val="08E104C7"/>
    <w:rsid w:val="08FC0E5C"/>
    <w:rsid w:val="08FD6983"/>
    <w:rsid w:val="090441B5"/>
    <w:rsid w:val="0935611C"/>
    <w:rsid w:val="094B3B92"/>
    <w:rsid w:val="096A65E2"/>
    <w:rsid w:val="097A7FD3"/>
    <w:rsid w:val="09807584"/>
    <w:rsid w:val="09862E1C"/>
    <w:rsid w:val="09886B94"/>
    <w:rsid w:val="09AB2883"/>
    <w:rsid w:val="09E35745"/>
    <w:rsid w:val="09ED4C49"/>
    <w:rsid w:val="09EF451D"/>
    <w:rsid w:val="09F707CE"/>
    <w:rsid w:val="0A1641A0"/>
    <w:rsid w:val="0A3B59B5"/>
    <w:rsid w:val="0A4C1970"/>
    <w:rsid w:val="0A6842D0"/>
    <w:rsid w:val="0A73514E"/>
    <w:rsid w:val="0A825391"/>
    <w:rsid w:val="0A8F3F52"/>
    <w:rsid w:val="0A967CC0"/>
    <w:rsid w:val="0A9D47E0"/>
    <w:rsid w:val="0ABB4D47"/>
    <w:rsid w:val="0AC41E4E"/>
    <w:rsid w:val="0ACE4A7B"/>
    <w:rsid w:val="0ADB2CF4"/>
    <w:rsid w:val="0ADD081A"/>
    <w:rsid w:val="0AEC7FF8"/>
    <w:rsid w:val="0AEE2A27"/>
    <w:rsid w:val="0B100BEF"/>
    <w:rsid w:val="0B1A1A6E"/>
    <w:rsid w:val="0B310B66"/>
    <w:rsid w:val="0B41524D"/>
    <w:rsid w:val="0B422D73"/>
    <w:rsid w:val="0B4B60CB"/>
    <w:rsid w:val="0B554409"/>
    <w:rsid w:val="0B754EF6"/>
    <w:rsid w:val="0B776EC0"/>
    <w:rsid w:val="0BAF6137"/>
    <w:rsid w:val="0BB84DE3"/>
    <w:rsid w:val="0BBC2B25"/>
    <w:rsid w:val="0BBF43C3"/>
    <w:rsid w:val="0BC33EB3"/>
    <w:rsid w:val="0BC96FF0"/>
    <w:rsid w:val="0BCF5714"/>
    <w:rsid w:val="0BD065D0"/>
    <w:rsid w:val="0BD240F7"/>
    <w:rsid w:val="0BD465DB"/>
    <w:rsid w:val="0C185F66"/>
    <w:rsid w:val="0C2801BA"/>
    <w:rsid w:val="0C2B1A59"/>
    <w:rsid w:val="0C601702"/>
    <w:rsid w:val="0C6D3E1F"/>
    <w:rsid w:val="0C7E7DDA"/>
    <w:rsid w:val="0C8F1FE8"/>
    <w:rsid w:val="0CAD246E"/>
    <w:rsid w:val="0CAF0367"/>
    <w:rsid w:val="0CB11F5E"/>
    <w:rsid w:val="0CB33F28"/>
    <w:rsid w:val="0CBB2DDD"/>
    <w:rsid w:val="0CC55A09"/>
    <w:rsid w:val="0CE265BB"/>
    <w:rsid w:val="0CE41AC4"/>
    <w:rsid w:val="0D076022"/>
    <w:rsid w:val="0D1349C7"/>
    <w:rsid w:val="0D15043A"/>
    <w:rsid w:val="0D2B61B4"/>
    <w:rsid w:val="0D553231"/>
    <w:rsid w:val="0D6671EC"/>
    <w:rsid w:val="0D7505C0"/>
    <w:rsid w:val="0D8956FA"/>
    <w:rsid w:val="0D977873"/>
    <w:rsid w:val="0DA10224"/>
    <w:rsid w:val="0DA908D2"/>
    <w:rsid w:val="0DBC505E"/>
    <w:rsid w:val="0DEF71E2"/>
    <w:rsid w:val="0E042561"/>
    <w:rsid w:val="0E0B7D94"/>
    <w:rsid w:val="0E0D1416"/>
    <w:rsid w:val="0E197DBB"/>
    <w:rsid w:val="0E1F1149"/>
    <w:rsid w:val="0E39045D"/>
    <w:rsid w:val="0E39220B"/>
    <w:rsid w:val="0E4A4418"/>
    <w:rsid w:val="0E511C4A"/>
    <w:rsid w:val="0E544711"/>
    <w:rsid w:val="0E5C239D"/>
    <w:rsid w:val="0E6A5AEC"/>
    <w:rsid w:val="0E7375BE"/>
    <w:rsid w:val="0ED9579C"/>
    <w:rsid w:val="0EE859DF"/>
    <w:rsid w:val="0EF40828"/>
    <w:rsid w:val="0F16254C"/>
    <w:rsid w:val="0F242EBB"/>
    <w:rsid w:val="0F4672D5"/>
    <w:rsid w:val="0F4B669A"/>
    <w:rsid w:val="0F6038E0"/>
    <w:rsid w:val="0F713C26"/>
    <w:rsid w:val="0F7D081D"/>
    <w:rsid w:val="0F8860E6"/>
    <w:rsid w:val="0F8A24EE"/>
    <w:rsid w:val="0FA062BA"/>
    <w:rsid w:val="0FA45DAA"/>
    <w:rsid w:val="0FB0474F"/>
    <w:rsid w:val="0FB35FED"/>
    <w:rsid w:val="0FC85F3C"/>
    <w:rsid w:val="0FCB3337"/>
    <w:rsid w:val="0FCE2E27"/>
    <w:rsid w:val="0FD82147"/>
    <w:rsid w:val="0FEB39D9"/>
    <w:rsid w:val="0FEB4D67"/>
    <w:rsid w:val="0FFA223C"/>
    <w:rsid w:val="0FFC5BE6"/>
    <w:rsid w:val="102B0279"/>
    <w:rsid w:val="10376C1E"/>
    <w:rsid w:val="105E064F"/>
    <w:rsid w:val="10725EA8"/>
    <w:rsid w:val="108300B5"/>
    <w:rsid w:val="10A73DA4"/>
    <w:rsid w:val="10A83678"/>
    <w:rsid w:val="10DB3A4D"/>
    <w:rsid w:val="10F1501F"/>
    <w:rsid w:val="10FE598E"/>
    <w:rsid w:val="110A60E1"/>
    <w:rsid w:val="11230F50"/>
    <w:rsid w:val="11274EE5"/>
    <w:rsid w:val="11335637"/>
    <w:rsid w:val="115B2DE0"/>
    <w:rsid w:val="117417AC"/>
    <w:rsid w:val="11991213"/>
    <w:rsid w:val="11992861"/>
    <w:rsid w:val="11A007F3"/>
    <w:rsid w:val="11A6405B"/>
    <w:rsid w:val="11B03C20"/>
    <w:rsid w:val="11BF511D"/>
    <w:rsid w:val="11CE746F"/>
    <w:rsid w:val="11E22A31"/>
    <w:rsid w:val="11ED1C8A"/>
    <w:rsid w:val="11F36B75"/>
    <w:rsid w:val="11FE6E0B"/>
    <w:rsid w:val="120925F8"/>
    <w:rsid w:val="12170AB5"/>
    <w:rsid w:val="123C676E"/>
    <w:rsid w:val="12463148"/>
    <w:rsid w:val="12474DCB"/>
    <w:rsid w:val="12695089"/>
    <w:rsid w:val="126C6B5F"/>
    <w:rsid w:val="1272218F"/>
    <w:rsid w:val="12A8795F"/>
    <w:rsid w:val="12AB56A1"/>
    <w:rsid w:val="12B04A66"/>
    <w:rsid w:val="12C02EFB"/>
    <w:rsid w:val="12EC0194"/>
    <w:rsid w:val="12F31522"/>
    <w:rsid w:val="12F436B4"/>
    <w:rsid w:val="1303060A"/>
    <w:rsid w:val="13225964"/>
    <w:rsid w:val="1328578C"/>
    <w:rsid w:val="13357985"/>
    <w:rsid w:val="133833D9"/>
    <w:rsid w:val="13516249"/>
    <w:rsid w:val="13517FF7"/>
    <w:rsid w:val="13623FB2"/>
    <w:rsid w:val="13685340"/>
    <w:rsid w:val="1378546A"/>
    <w:rsid w:val="13871C6A"/>
    <w:rsid w:val="138C7281"/>
    <w:rsid w:val="13906D71"/>
    <w:rsid w:val="13985C26"/>
    <w:rsid w:val="13AC347F"/>
    <w:rsid w:val="13BA5B9C"/>
    <w:rsid w:val="13C7650B"/>
    <w:rsid w:val="13DA4490"/>
    <w:rsid w:val="13DA7FEC"/>
    <w:rsid w:val="13E64BE3"/>
    <w:rsid w:val="13EC5F71"/>
    <w:rsid w:val="13FA068E"/>
    <w:rsid w:val="140137CB"/>
    <w:rsid w:val="140337F8"/>
    <w:rsid w:val="14157276"/>
    <w:rsid w:val="1421738D"/>
    <w:rsid w:val="142B6A9A"/>
    <w:rsid w:val="143D057B"/>
    <w:rsid w:val="143F42F3"/>
    <w:rsid w:val="14694189"/>
    <w:rsid w:val="148B451C"/>
    <w:rsid w:val="14A10B0A"/>
    <w:rsid w:val="14D00791"/>
    <w:rsid w:val="14D82CC8"/>
    <w:rsid w:val="14FA10C2"/>
    <w:rsid w:val="15023C9F"/>
    <w:rsid w:val="15051099"/>
    <w:rsid w:val="1505553D"/>
    <w:rsid w:val="15100A58"/>
    <w:rsid w:val="153100E0"/>
    <w:rsid w:val="15363948"/>
    <w:rsid w:val="154532F3"/>
    <w:rsid w:val="15512530"/>
    <w:rsid w:val="15712BD2"/>
    <w:rsid w:val="158F12AA"/>
    <w:rsid w:val="159B48F0"/>
    <w:rsid w:val="15B559EE"/>
    <w:rsid w:val="15B605E5"/>
    <w:rsid w:val="1606331B"/>
    <w:rsid w:val="161D0664"/>
    <w:rsid w:val="16290DB7"/>
    <w:rsid w:val="16315EBE"/>
    <w:rsid w:val="163F682C"/>
    <w:rsid w:val="164174F0"/>
    <w:rsid w:val="16461969"/>
    <w:rsid w:val="16473F21"/>
    <w:rsid w:val="165A18B8"/>
    <w:rsid w:val="166938A9"/>
    <w:rsid w:val="167B7F56"/>
    <w:rsid w:val="168801D3"/>
    <w:rsid w:val="168E1562"/>
    <w:rsid w:val="16970417"/>
    <w:rsid w:val="16AB073F"/>
    <w:rsid w:val="16B9038D"/>
    <w:rsid w:val="16BC1C2B"/>
    <w:rsid w:val="16CF7BB0"/>
    <w:rsid w:val="16D43419"/>
    <w:rsid w:val="16DB6FDB"/>
    <w:rsid w:val="16DF3B6C"/>
    <w:rsid w:val="16E3365C"/>
    <w:rsid w:val="16EA0BC1"/>
    <w:rsid w:val="16EB42BE"/>
    <w:rsid w:val="172D0D7B"/>
    <w:rsid w:val="17340ABE"/>
    <w:rsid w:val="17375756"/>
    <w:rsid w:val="174D3223"/>
    <w:rsid w:val="174D6D27"/>
    <w:rsid w:val="175B1444"/>
    <w:rsid w:val="1768590F"/>
    <w:rsid w:val="177A6B0C"/>
    <w:rsid w:val="179E57D5"/>
    <w:rsid w:val="17AE7407"/>
    <w:rsid w:val="17B648CC"/>
    <w:rsid w:val="17C3523B"/>
    <w:rsid w:val="17D42FA4"/>
    <w:rsid w:val="17E05DED"/>
    <w:rsid w:val="17E551B2"/>
    <w:rsid w:val="18055854"/>
    <w:rsid w:val="18117D55"/>
    <w:rsid w:val="181635BD"/>
    <w:rsid w:val="181D2B9D"/>
    <w:rsid w:val="18291542"/>
    <w:rsid w:val="183C74C7"/>
    <w:rsid w:val="184B14B9"/>
    <w:rsid w:val="185D2A7F"/>
    <w:rsid w:val="1865740C"/>
    <w:rsid w:val="187C78C4"/>
    <w:rsid w:val="18876269"/>
    <w:rsid w:val="189A41EE"/>
    <w:rsid w:val="18A24E51"/>
    <w:rsid w:val="18B84674"/>
    <w:rsid w:val="18C15C1F"/>
    <w:rsid w:val="18D55226"/>
    <w:rsid w:val="18DF7E53"/>
    <w:rsid w:val="19061883"/>
    <w:rsid w:val="19144018"/>
    <w:rsid w:val="191467DC"/>
    <w:rsid w:val="19211AEE"/>
    <w:rsid w:val="192B3098"/>
    <w:rsid w:val="19341F4D"/>
    <w:rsid w:val="1937422F"/>
    <w:rsid w:val="19434886"/>
    <w:rsid w:val="19445F08"/>
    <w:rsid w:val="19597C05"/>
    <w:rsid w:val="19827115"/>
    <w:rsid w:val="19A370D2"/>
    <w:rsid w:val="19AA66B3"/>
    <w:rsid w:val="19CF7EC7"/>
    <w:rsid w:val="19D21766"/>
    <w:rsid w:val="19F4792E"/>
    <w:rsid w:val="1A197394"/>
    <w:rsid w:val="1A1B135F"/>
    <w:rsid w:val="1A226249"/>
    <w:rsid w:val="1A246465"/>
    <w:rsid w:val="1A382EA8"/>
    <w:rsid w:val="1A495ECC"/>
    <w:rsid w:val="1A4E703E"/>
    <w:rsid w:val="1A502353"/>
    <w:rsid w:val="1A503572"/>
    <w:rsid w:val="1A536DB3"/>
    <w:rsid w:val="1A8E38DF"/>
    <w:rsid w:val="1A9C424D"/>
    <w:rsid w:val="1ABF2385"/>
    <w:rsid w:val="1AC35C7E"/>
    <w:rsid w:val="1AD44F4C"/>
    <w:rsid w:val="1AE17EB2"/>
    <w:rsid w:val="1AF10B7F"/>
    <w:rsid w:val="1AF5570C"/>
    <w:rsid w:val="1AFA5418"/>
    <w:rsid w:val="1AFC1190"/>
    <w:rsid w:val="1B03607B"/>
    <w:rsid w:val="1B0D514B"/>
    <w:rsid w:val="1B140288"/>
    <w:rsid w:val="1B3C158C"/>
    <w:rsid w:val="1B4F12C0"/>
    <w:rsid w:val="1B59213E"/>
    <w:rsid w:val="1B5F12B0"/>
    <w:rsid w:val="1B8F5B60"/>
    <w:rsid w:val="1BA17641"/>
    <w:rsid w:val="1BA57132"/>
    <w:rsid w:val="1BD21EF1"/>
    <w:rsid w:val="1BD45C69"/>
    <w:rsid w:val="1BDE43F2"/>
    <w:rsid w:val="1BFD0D1C"/>
    <w:rsid w:val="1C0A51E7"/>
    <w:rsid w:val="1C0C71B1"/>
    <w:rsid w:val="1C222756"/>
    <w:rsid w:val="1C4050AC"/>
    <w:rsid w:val="1C56667E"/>
    <w:rsid w:val="1C5F73AC"/>
    <w:rsid w:val="1C6C5EA1"/>
    <w:rsid w:val="1C7174C4"/>
    <w:rsid w:val="1C782A98"/>
    <w:rsid w:val="1C7D00AF"/>
    <w:rsid w:val="1CA63263"/>
    <w:rsid w:val="1CA7512B"/>
    <w:rsid w:val="1CC17F9B"/>
    <w:rsid w:val="1CD83537"/>
    <w:rsid w:val="1CE819CC"/>
    <w:rsid w:val="1CF10155"/>
    <w:rsid w:val="1CF55E97"/>
    <w:rsid w:val="1D100F23"/>
    <w:rsid w:val="1D331864"/>
    <w:rsid w:val="1D352737"/>
    <w:rsid w:val="1D3E783E"/>
    <w:rsid w:val="1D4604A0"/>
    <w:rsid w:val="1D557C9F"/>
    <w:rsid w:val="1D660B43"/>
    <w:rsid w:val="1D752371"/>
    <w:rsid w:val="1D8D2573"/>
    <w:rsid w:val="1D954F84"/>
    <w:rsid w:val="1DA376A1"/>
    <w:rsid w:val="1DA653E3"/>
    <w:rsid w:val="1DAA6C81"/>
    <w:rsid w:val="1DAD6772"/>
    <w:rsid w:val="1DBB3E80"/>
    <w:rsid w:val="1DC53ABB"/>
    <w:rsid w:val="1DDD4CB8"/>
    <w:rsid w:val="1DEB1048"/>
    <w:rsid w:val="1DF27029"/>
    <w:rsid w:val="1E130A2A"/>
    <w:rsid w:val="1E403142"/>
    <w:rsid w:val="1E5906A7"/>
    <w:rsid w:val="1E6A6411"/>
    <w:rsid w:val="1E6FCD7B"/>
    <w:rsid w:val="1E7A2AF8"/>
    <w:rsid w:val="1E935967"/>
    <w:rsid w:val="1EA5569B"/>
    <w:rsid w:val="1EA57449"/>
    <w:rsid w:val="1EA71413"/>
    <w:rsid w:val="1EB53B30"/>
    <w:rsid w:val="1EBF04A3"/>
    <w:rsid w:val="1EBF050A"/>
    <w:rsid w:val="1ED55F80"/>
    <w:rsid w:val="1F3A2287"/>
    <w:rsid w:val="1F444EB4"/>
    <w:rsid w:val="1F4D3D68"/>
    <w:rsid w:val="1F5C21FD"/>
    <w:rsid w:val="1F615A66"/>
    <w:rsid w:val="1F7237CF"/>
    <w:rsid w:val="1F7312F5"/>
    <w:rsid w:val="1F86727A"/>
    <w:rsid w:val="1F881244"/>
    <w:rsid w:val="1F9A2D26"/>
    <w:rsid w:val="1FC81641"/>
    <w:rsid w:val="1FCA53B9"/>
    <w:rsid w:val="1FE521F3"/>
    <w:rsid w:val="1FF57F5C"/>
    <w:rsid w:val="20104D96"/>
    <w:rsid w:val="20225E77"/>
    <w:rsid w:val="203211B0"/>
    <w:rsid w:val="203767C6"/>
    <w:rsid w:val="2043516B"/>
    <w:rsid w:val="204573F4"/>
    <w:rsid w:val="205D447F"/>
    <w:rsid w:val="205E01F7"/>
    <w:rsid w:val="20786B94"/>
    <w:rsid w:val="2079293B"/>
    <w:rsid w:val="20797AEC"/>
    <w:rsid w:val="208C6B12"/>
    <w:rsid w:val="208E4849"/>
    <w:rsid w:val="209D3040"/>
    <w:rsid w:val="20A35C0A"/>
    <w:rsid w:val="20B35E4D"/>
    <w:rsid w:val="20B9542D"/>
    <w:rsid w:val="20BA367F"/>
    <w:rsid w:val="20C31E08"/>
    <w:rsid w:val="20C718F8"/>
    <w:rsid w:val="20C77B4A"/>
    <w:rsid w:val="21162880"/>
    <w:rsid w:val="211A411E"/>
    <w:rsid w:val="214178FD"/>
    <w:rsid w:val="21425423"/>
    <w:rsid w:val="216435EB"/>
    <w:rsid w:val="2190618E"/>
    <w:rsid w:val="21D02A2F"/>
    <w:rsid w:val="21D6321E"/>
    <w:rsid w:val="21D73DBD"/>
    <w:rsid w:val="21D97B35"/>
    <w:rsid w:val="21E32762"/>
    <w:rsid w:val="21FA5CFD"/>
    <w:rsid w:val="220A4192"/>
    <w:rsid w:val="220F17A9"/>
    <w:rsid w:val="221A573C"/>
    <w:rsid w:val="222F2508"/>
    <w:rsid w:val="222F70DD"/>
    <w:rsid w:val="2230171F"/>
    <w:rsid w:val="22484CBB"/>
    <w:rsid w:val="224D407F"/>
    <w:rsid w:val="22552F34"/>
    <w:rsid w:val="227B299A"/>
    <w:rsid w:val="228133C5"/>
    <w:rsid w:val="2297354C"/>
    <w:rsid w:val="22B440FE"/>
    <w:rsid w:val="22BB36DF"/>
    <w:rsid w:val="22C5455D"/>
    <w:rsid w:val="22F05877"/>
    <w:rsid w:val="23045086"/>
    <w:rsid w:val="231057D9"/>
    <w:rsid w:val="23241284"/>
    <w:rsid w:val="233314C7"/>
    <w:rsid w:val="233F305D"/>
    <w:rsid w:val="234B21C2"/>
    <w:rsid w:val="2393640A"/>
    <w:rsid w:val="23AD1279"/>
    <w:rsid w:val="23E17175"/>
    <w:rsid w:val="23ED3D6C"/>
    <w:rsid w:val="23F76998"/>
    <w:rsid w:val="24042E63"/>
    <w:rsid w:val="242D14B2"/>
    <w:rsid w:val="24443260"/>
    <w:rsid w:val="246D3214"/>
    <w:rsid w:val="247753E3"/>
    <w:rsid w:val="248F4E23"/>
    <w:rsid w:val="249441E7"/>
    <w:rsid w:val="249656FE"/>
    <w:rsid w:val="249716D9"/>
    <w:rsid w:val="24A563F4"/>
    <w:rsid w:val="24B65F0C"/>
    <w:rsid w:val="24CD76F9"/>
    <w:rsid w:val="24F15196"/>
    <w:rsid w:val="25162E4E"/>
    <w:rsid w:val="2551032A"/>
    <w:rsid w:val="25513E86"/>
    <w:rsid w:val="255552F4"/>
    <w:rsid w:val="255E0351"/>
    <w:rsid w:val="256040C9"/>
    <w:rsid w:val="257162D7"/>
    <w:rsid w:val="25777D91"/>
    <w:rsid w:val="259721E1"/>
    <w:rsid w:val="259F1096"/>
    <w:rsid w:val="25A71B4A"/>
    <w:rsid w:val="25BA1A2C"/>
    <w:rsid w:val="25E1345C"/>
    <w:rsid w:val="2604714B"/>
    <w:rsid w:val="260E3B25"/>
    <w:rsid w:val="2613129A"/>
    <w:rsid w:val="261E020C"/>
    <w:rsid w:val="26301CEE"/>
    <w:rsid w:val="2630659C"/>
    <w:rsid w:val="263537A8"/>
    <w:rsid w:val="263A491A"/>
    <w:rsid w:val="26413EFB"/>
    <w:rsid w:val="265E4AAD"/>
    <w:rsid w:val="266320C3"/>
    <w:rsid w:val="26760048"/>
    <w:rsid w:val="26BC7A25"/>
    <w:rsid w:val="26CD578F"/>
    <w:rsid w:val="26CF1507"/>
    <w:rsid w:val="26CF7759"/>
    <w:rsid w:val="26EA00EF"/>
    <w:rsid w:val="26F15921"/>
    <w:rsid w:val="26FC7B2B"/>
    <w:rsid w:val="270218DC"/>
    <w:rsid w:val="27277595"/>
    <w:rsid w:val="273245C8"/>
    <w:rsid w:val="274610A6"/>
    <w:rsid w:val="27600550"/>
    <w:rsid w:val="27637EA1"/>
    <w:rsid w:val="27767BD4"/>
    <w:rsid w:val="277B343D"/>
    <w:rsid w:val="27AA526B"/>
    <w:rsid w:val="27AE736E"/>
    <w:rsid w:val="27C070A1"/>
    <w:rsid w:val="27CC3C98"/>
    <w:rsid w:val="27D668C5"/>
    <w:rsid w:val="27E965F8"/>
    <w:rsid w:val="27EC60E8"/>
    <w:rsid w:val="27FD02F5"/>
    <w:rsid w:val="28015DED"/>
    <w:rsid w:val="28247630"/>
    <w:rsid w:val="28292E99"/>
    <w:rsid w:val="2829733C"/>
    <w:rsid w:val="282C4737"/>
    <w:rsid w:val="284D302B"/>
    <w:rsid w:val="28553C8E"/>
    <w:rsid w:val="2865609B"/>
    <w:rsid w:val="28766B82"/>
    <w:rsid w:val="28893937"/>
    <w:rsid w:val="288D1679"/>
    <w:rsid w:val="28940C5A"/>
    <w:rsid w:val="289522DC"/>
    <w:rsid w:val="28D92B11"/>
    <w:rsid w:val="28DC615D"/>
    <w:rsid w:val="28E079FB"/>
    <w:rsid w:val="28ED3EC6"/>
    <w:rsid w:val="2919115F"/>
    <w:rsid w:val="291B6C85"/>
    <w:rsid w:val="293B10D5"/>
    <w:rsid w:val="29434921"/>
    <w:rsid w:val="295C3E2E"/>
    <w:rsid w:val="2976035F"/>
    <w:rsid w:val="298C30ED"/>
    <w:rsid w:val="29A73940"/>
    <w:rsid w:val="29C72969"/>
    <w:rsid w:val="29CE5AA6"/>
    <w:rsid w:val="29D4796F"/>
    <w:rsid w:val="29D55086"/>
    <w:rsid w:val="29DA269C"/>
    <w:rsid w:val="29EB48A9"/>
    <w:rsid w:val="2A1831C5"/>
    <w:rsid w:val="2A25183E"/>
    <w:rsid w:val="2A257690"/>
    <w:rsid w:val="2A2D2BC7"/>
    <w:rsid w:val="2A2D7A6C"/>
    <w:rsid w:val="2A582EE5"/>
    <w:rsid w:val="2A5E32CD"/>
    <w:rsid w:val="2A8D5961"/>
    <w:rsid w:val="2AA8279A"/>
    <w:rsid w:val="2AAD415F"/>
    <w:rsid w:val="2AB27175"/>
    <w:rsid w:val="2ACA2711"/>
    <w:rsid w:val="2AE82B97"/>
    <w:rsid w:val="2AF27EBA"/>
    <w:rsid w:val="2AFD71FE"/>
    <w:rsid w:val="2AFE685E"/>
    <w:rsid w:val="2B110340"/>
    <w:rsid w:val="2B3945CF"/>
    <w:rsid w:val="2B5446D0"/>
    <w:rsid w:val="2B852ADC"/>
    <w:rsid w:val="2B8E7BE2"/>
    <w:rsid w:val="2B920D55"/>
    <w:rsid w:val="2B9351F9"/>
    <w:rsid w:val="2B955C38"/>
    <w:rsid w:val="2BB4516F"/>
    <w:rsid w:val="2BBF5FEE"/>
    <w:rsid w:val="2BC07D04"/>
    <w:rsid w:val="2C1B6F9C"/>
    <w:rsid w:val="2C35005E"/>
    <w:rsid w:val="2C424529"/>
    <w:rsid w:val="2C583D4C"/>
    <w:rsid w:val="2C604166"/>
    <w:rsid w:val="2C752B50"/>
    <w:rsid w:val="2CA86A82"/>
    <w:rsid w:val="2CBE62A5"/>
    <w:rsid w:val="2CC76D42"/>
    <w:rsid w:val="2CCA2CCE"/>
    <w:rsid w:val="2CF51881"/>
    <w:rsid w:val="2CFB12A7"/>
    <w:rsid w:val="2D0B2762"/>
    <w:rsid w:val="2D197980"/>
    <w:rsid w:val="2D1C7470"/>
    <w:rsid w:val="2D480265"/>
    <w:rsid w:val="2D7574BA"/>
    <w:rsid w:val="2D8A262B"/>
    <w:rsid w:val="2DB256DE"/>
    <w:rsid w:val="2DB74B3B"/>
    <w:rsid w:val="2DB80F46"/>
    <w:rsid w:val="2DCB242A"/>
    <w:rsid w:val="2DCC3CC6"/>
    <w:rsid w:val="2DE25FC3"/>
    <w:rsid w:val="2DE974C1"/>
    <w:rsid w:val="2DEC299E"/>
    <w:rsid w:val="2DF31F7F"/>
    <w:rsid w:val="2E0E6DB8"/>
    <w:rsid w:val="2E1D524D"/>
    <w:rsid w:val="2E2B58B0"/>
    <w:rsid w:val="2E6966E5"/>
    <w:rsid w:val="2E731311"/>
    <w:rsid w:val="2E782484"/>
    <w:rsid w:val="2E8B54FB"/>
    <w:rsid w:val="2E9A689E"/>
    <w:rsid w:val="2EB01C1E"/>
    <w:rsid w:val="2EB711FE"/>
    <w:rsid w:val="2EE23DA1"/>
    <w:rsid w:val="2EE737B2"/>
    <w:rsid w:val="2EF064BE"/>
    <w:rsid w:val="2F2B5748"/>
    <w:rsid w:val="2F4A3E20"/>
    <w:rsid w:val="2F4B5DEA"/>
    <w:rsid w:val="2F4D56BE"/>
    <w:rsid w:val="2F544C9F"/>
    <w:rsid w:val="2F603644"/>
    <w:rsid w:val="2F7261C8"/>
    <w:rsid w:val="2F827A5E"/>
    <w:rsid w:val="2F911A4F"/>
    <w:rsid w:val="2F9432ED"/>
    <w:rsid w:val="2FAD49C1"/>
    <w:rsid w:val="2FB15C4D"/>
    <w:rsid w:val="2FB4573E"/>
    <w:rsid w:val="2FC02334"/>
    <w:rsid w:val="2FC33BD3"/>
    <w:rsid w:val="2FC5794B"/>
    <w:rsid w:val="2FD951A4"/>
    <w:rsid w:val="2FF036A1"/>
    <w:rsid w:val="30136908"/>
    <w:rsid w:val="30297EDA"/>
    <w:rsid w:val="3049057C"/>
    <w:rsid w:val="305C23E5"/>
    <w:rsid w:val="30890DB9"/>
    <w:rsid w:val="308B46F0"/>
    <w:rsid w:val="3098505F"/>
    <w:rsid w:val="30B17ECF"/>
    <w:rsid w:val="30B67293"/>
    <w:rsid w:val="30C16364"/>
    <w:rsid w:val="30C23E8A"/>
    <w:rsid w:val="30DC4F4C"/>
    <w:rsid w:val="30FA7AC8"/>
    <w:rsid w:val="30FB7538"/>
    <w:rsid w:val="311346E6"/>
    <w:rsid w:val="312F300D"/>
    <w:rsid w:val="312F7772"/>
    <w:rsid w:val="31305298"/>
    <w:rsid w:val="31363C3A"/>
    <w:rsid w:val="31411253"/>
    <w:rsid w:val="31457369"/>
    <w:rsid w:val="31491E01"/>
    <w:rsid w:val="31592A40"/>
    <w:rsid w:val="31682C84"/>
    <w:rsid w:val="31903F88"/>
    <w:rsid w:val="31994BEB"/>
    <w:rsid w:val="31A712C9"/>
    <w:rsid w:val="31AA504A"/>
    <w:rsid w:val="31B163D9"/>
    <w:rsid w:val="31C0486E"/>
    <w:rsid w:val="31DE6AA2"/>
    <w:rsid w:val="31E56082"/>
    <w:rsid w:val="31E85B72"/>
    <w:rsid w:val="31F9297F"/>
    <w:rsid w:val="31F97D80"/>
    <w:rsid w:val="31FB51DA"/>
    <w:rsid w:val="3200233A"/>
    <w:rsid w:val="32026C34"/>
    <w:rsid w:val="321D581C"/>
    <w:rsid w:val="32211625"/>
    <w:rsid w:val="323304E9"/>
    <w:rsid w:val="32560D2E"/>
    <w:rsid w:val="326649B8"/>
    <w:rsid w:val="3272469C"/>
    <w:rsid w:val="32805DAB"/>
    <w:rsid w:val="3284589B"/>
    <w:rsid w:val="32935ADE"/>
    <w:rsid w:val="32A61CB5"/>
    <w:rsid w:val="32C1089D"/>
    <w:rsid w:val="32C97752"/>
    <w:rsid w:val="32D81743"/>
    <w:rsid w:val="32E12CEE"/>
    <w:rsid w:val="32E75E2A"/>
    <w:rsid w:val="32E77BD8"/>
    <w:rsid w:val="32F742BF"/>
    <w:rsid w:val="330C763F"/>
    <w:rsid w:val="332130EA"/>
    <w:rsid w:val="335039CF"/>
    <w:rsid w:val="3355548A"/>
    <w:rsid w:val="335C4122"/>
    <w:rsid w:val="3361798A"/>
    <w:rsid w:val="336254B1"/>
    <w:rsid w:val="33712E8C"/>
    <w:rsid w:val="338D69D1"/>
    <w:rsid w:val="339C743B"/>
    <w:rsid w:val="33CF6FEA"/>
    <w:rsid w:val="33EC7B9C"/>
    <w:rsid w:val="33F64577"/>
    <w:rsid w:val="33F97BC3"/>
    <w:rsid w:val="34086058"/>
    <w:rsid w:val="340A0022"/>
    <w:rsid w:val="34164C19"/>
    <w:rsid w:val="34192F7E"/>
    <w:rsid w:val="342804A8"/>
    <w:rsid w:val="34390907"/>
    <w:rsid w:val="344D7F0F"/>
    <w:rsid w:val="34593874"/>
    <w:rsid w:val="347100A1"/>
    <w:rsid w:val="348C744F"/>
    <w:rsid w:val="349124F1"/>
    <w:rsid w:val="34993154"/>
    <w:rsid w:val="34B166F0"/>
    <w:rsid w:val="34D428AC"/>
    <w:rsid w:val="34DA5C46"/>
    <w:rsid w:val="34F52A80"/>
    <w:rsid w:val="35004F81"/>
    <w:rsid w:val="3509652C"/>
    <w:rsid w:val="35101668"/>
    <w:rsid w:val="353510CF"/>
    <w:rsid w:val="3538296D"/>
    <w:rsid w:val="353C245D"/>
    <w:rsid w:val="3542545C"/>
    <w:rsid w:val="35494B7A"/>
    <w:rsid w:val="355D23D3"/>
    <w:rsid w:val="35611EC4"/>
    <w:rsid w:val="35635C3C"/>
    <w:rsid w:val="35683252"/>
    <w:rsid w:val="356D6ABA"/>
    <w:rsid w:val="358E6A31"/>
    <w:rsid w:val="35944047"/>
    <w:rsid w:val="359C73A0"/>
    <w:rsid w:val="35B53FBD"/>
    <w:rsid w:val="35B77D36"/>
    <w:rsid w:val="35EC651F"/>
    <w:rsid w:val="35EF127D"/>
    <w:rsid w:val="360D3DFA"/>
    <w:rsid w:val="36244111"/>
    <w:rsid w:val="362A675A"/>
    <w:rsid w:val="36372C24"/>
    <w:rsid w:val="363C648D"/>
    <w:rsid w:val="363E2205"/>
    <w:rsid w:val="36453593"/>
    <w:rsid w:val="36483084"/>
    <w:rsid w:val="364C4922"/>
    <w:rsid w:val="3652180C"/>
    <w:rsid w:val="3680281D"/>
    <w:rsid w:val="368E4F3A"/>
    <w:rsid w:val="3698148D"/>
    <w:rsid w:val="36987B67"/>
    <w:rsid w:val="369D117B"/>
    <w:rsid w:val="369E4318"/>
    <w:rsid w:val="36A030A0"/>
    <w:rsid w:val="36A93B22"/>
    <w:rsid w:val="36C24BE4"/>
    <w:rsid w:val="36C253CD"/>
    <w:rsid w:val="36FD6771"/>
    <w:rsid w:val="37197DF1"/>
    <w:rsid w:val="372C02AF"/>
    <w:rsid w:val="374750E9"/>
    <w:rsid w:val="376B702A"/>
    <w:rsid w:val="3785292A"/>
    <w:rsid w:val="37A023AF"/>
    <w:rsid w:val="37BC7BE1"/>
    <w:rsid w:val="37D361D6"/>
    <w:rsid w:val="37D7646D"/>
    <w:rsid w:val="37DF3574"/>
    <w:rsid w:val="37EF6ACE"/>
    <w:rsid w:val="3812280E"/>
    <w:rsid w:val="381A45AC"/>
    <w:rsid w:val="3821593A"/>
    <w:rsid w:val="386F2B4A"/>
    <w:rsid w:val="387B14EE"/>
    <w:rsid w:val="3885198A"/>
    <w:rsid w:val="388859B9"/>
    <w:rsid w:val="38A04AB1"/>
    <w:rsid w:val="38A54F9A"/>
    <w:rsid w:val="38AF1198"/>
    <w:rsid w:val="38C34C43"/>
    <w:rsid w:val="38C56C0D"/>
    <w:rsid w:val="38E01351"/>
    <w:rsid w:val="38E47094"/>
    <w:rsid w:val="38FE7A29"/>
    <w:rsid w:val="38FFDB23"/>
    <w:rsid w:val="390128F1"/>
    <w:rsid w:val="391060DB"/>
    <w:rsid w:val="39207584"/>
    <w:rsid w:val="39276F80"/>
    <w:rsid w:val="393E14AD"/>
    <w:rsid w:val="39627FB8"/>
    <w:rsid w:val="397B107A"/>
    <w:rsid w:val="39912D3E"/>
    <w:rsid w:val="39925971"/>
    <w:rsid w:val="3995038E"/>
    <w:rsid w:val="39A24859"/>
    <w:rsid w:val="39A46823"/>
    <w:rsid w:val="39AD3929"/>
    <w:rsid w:val="39B0341A"/>
    <w:rsid w:val="39D8471E"/>
    <w:rsid w:val="39E210F9"/>
    <w:rsid w:val="39F2758E"/>
    <w:rsid w:val="39F738A8"/>
    <w:rsid w:val="39FE4185"/>
    <w:rsid w:val="3A1E4827"/>
    <w:rsid w:val="3A1E6845"/>
    <w:rsid w:val="3A287454"/>
    <w:rsid w:val="3A3C6A5B"/>
    <w:rsid w:val="3A573895"/>
    <w:rsid w:val="3A575AF9"/>
    <w:rsid w:val="3A830B2E"/>
    <w:rsid w:val="3A8A5A19"/>
    <w:rsid w:val="3AA20FB4"/>
    <w:rsid w:val="3AA27206"/>
    <w:rsid w:val="3AB40CE8"/>
    <w:rsid w:val="3ABB2076"/>
    <w:rsid w:val="3AC208AD"/>
    <w:rsid w:val="3AC52EF5"/>
    <w:rsid w:val="3AD35612"/>
    <w:rsid w:val="3AF246FC"/>
    <w:rsid w:val="3AF45588"/>
    <w:rsid w:val="3B021A53"/>
    <w:rsid w:val="3B0D74E4"/>
    <w:rsid w:val="3B0F17BC"/>
    <w:rsid w:val="3B1B0D67"/>
    <w:rsid w:val="3B251BE5"/>
    <w:rsid w:val="3B462D4B"/>
    <w:rsid w:val="3B561D9F"/>
    <w:rsid w:val="3B5D312D"/>
    <w:rsid w:val="3B5E1F75"/>
    <w:rsid w:val="3B7C7A57"/>
    <w:rsid w:val="3B854432"/>
    <w:rsid w:val="3B861374"/>
    <w:rsid w:val="3B9D177C"/>
    <w:rsid w:val="3BAB0380"/>
    <w:rsid w:val="3BBA232E"/>
    <w:rsid w:val="3BC60CD2"/>
    <w:rsid w:val="3BE253E0"/>
    <w:rsid w:val="3BE9676F"/>
    <w:rsid w:val="3BEE1FD7"/>
    <w:rsid w:val="3BF35840"/>
    <w:rsid w:val="3BFB6A09"/>
    <w:rsid w:val="3BFD046C"/>
    <w:rsid w:val="3C031D0E"/>
    <w:rsid w:val="3C0E4427"/>
    <w:rsid w:val="3C2123AD"/>
    <w:rsid w:val="3C37572C"/>
    <w:rsid w:val="3C3A6FCB"/>
    <w:rsid w:val="3C4147FD"/>
    <w:rsid w:val="3C4E2A76"/>
    <w:rsid w:val="3C5A1216"/>
    <w:rsid w:val="3C5F2ED5"/>
    <w:rsid w:val="3C6269CD"/>
    <w:rsid w:val="3C6B3628"/>
    <w:rsid w:val="3C834E15"/>
    <w:rsid w:val="3C885F88"/>
    <w:rsid w:val="3C97441D"/>
    <w:rsid w:val="3CB054DF"/>
    <w:rsid w:val="3CC9058A"/>
    <w:rsid w:val="3CCF3BB7"/>
    <w:rsid w:val="3CD25455"/>
    <w:rsid w:val="3D046971"/>
    <w:rsid w:val="3D097B26"/>
    <w:rsid w:val="3D0F66A9"/>
    <w:rsid w:val="3D115F7D"/>
    <w:rsid w:val="3D207130"/>
    <w:rsid w:val="3D2D6B2F"/>
    <w:rsid w:val="3D2E4D81"/>
    <w:rsid w:val="3D483969"/>
    <w:rsid w:val="3D491BBB"/>
    <w:rsid w:val="3D4D0E49"/>
    <w:rsid w:val="3D5B544A"/>
    <w:rsid w:val="3D7D3613"/>
    <w:rsid w:val="3DD07BE6"/>
    <w:rsid w:val="3DD314BA"/>
    <w:rsid w:val="3DD82F3F"/>
    <w:rsid w:val="3DF06995"/>
    <w:rsid w:val="3E2B5FEA"/>
    <w:rsid w:val="3E2D2FFA"/>
    <w:rsid w:val="3E2F51D8"/>
    <w:rsid w:val="3E4405D4"/>
    <w:rsid w:val="3E4B3711"/>
    <w:rsid w:val="3E6E11AD"/>
    <w:rsid w:val="3E7A2248"/>
    <w:rsid w:val="3E82077C"/>
    <w:rsid w:val="3E864749"/>
    <w:rsid w:val="3EBC63BD"/>
    <w:rsid w:val="3EBE4C76"/>
    <w:rsid w:val="3EC3599D"/>
    <w:rsid w:val="3EC55271"/>
    <w:rsid w:val="3EE7553B"/>
    <w:rsid w:val="3EF45B57"/>
    <w:rsid w:val="3EFC2C5D"/>
    <w:rsid w:val="3F033FEC"/>
    <w:rsid w:val="3F09578E"/>
    <w:rsid w:val="3F163D1F"/>
    <w:rsid w:val="3F4A5777"/>
    <w:rsid w:val="3F563C52"/>
    <w:rsid w:val="3F591E5E"/>
    <w:rsid w:val="3F732F1F"/>
    <w:rsid w:val="3F9A4950"/>
    <w:rsid w:val="3FB628A0"/>
    <w:rsid w:val="3FBB4B3A"/>
    <w:rsid w:val="3FBE8B26"/>
    <w:rsid w:val="3FD339BE"/>
    <w:rsid w:val="3FDF05B5"/>
    <w:rsid w:val="3FE47979"/>
    <w:rsid w:val="40047728"/>
    <w:rsid w:val="400B13AA"/>
    <w:rsid w:val="402A7AD7"/>
    <w:rsid w:val="403326AF"/>
    <w:rsid w:val="403F0F18"/>
    <w:rsid w:val="405320CB"/>
    <w:rsid w:val="40C004B9"/>
    <w:rsid w:val="40C17CBA"/>
    <w:rsid w:val="40C81C57"/>
    <w:rsid w:val="40FB7E35"/>
    <w:rsid w:val="41230975"/>
    <w:rsid w:val="41256E45"/>
    <w:rsid w:val="4126570A"/>
    <w:rsid w:val="41287D39"/>
    <w:rsid w:val="416168A9"/>
    <w:rsid w:val="41782A6F"/>
    <w:rsid w:val="418036D2"/>
    <w:rsid w:val="41A575DC"/>
    <w:rsid w:val="41B415CD"/>
    <w:rsid w:val="41CA2B9F"/>
    <w:rsid w:val="41D1217F"/>
    <w:rsid w:val="41F145CF"/>
    <w:rsid w:val="41F37FE6"/>
    <w:rsid w:val="42091919"/>
    <w:rsid w:val="422327D2"/>
    <w:rsid w:val="422449A5"/>
    <w:rsid w:val="42254279"/>
    <w:rsid w:val="423C564B"/>
    <w:rsid w:val="425012F6"/>
    <w:rsid w:val="425440AD"/>
    <w:rsid w:val="425863FC"/>
    <w:rsid w:val="425D3A13"/>
    <w:rsid w:val="42617A9D"/>
    <w:rsid w:val="427D5E63"/>
    <w:rsid w:val="427F7E2D"/>
    <w:rsid w:val="42862F6A"/>
    <w:rsid w:val="42884F34"/>
    <w:rsid w:val="43056584"/>
    <w:rsid w:val="43065E58"/>
    <w:rsid w:val="431C567C"/>
    <w:rsid w:val="432B1D63"/>
    <w:rsid w:val="43361A71"/>
    <w:rsid w:val="434150E2"/>
    <w:rsid w:val="435E5C94"/>
    <w:rsid w:val="43664B49"/>
    <w:rsid w:val="439416B6"/>
    <w:rsid w:val="43AF4742"/>
    <w:rsid w:val="43C55D14"/>
    <w:rsid w:val="43C845C3"/>
    <w:rsid w:val="43E20674"/>
    <w:rsid w:val="43EC32A0"/>
    <w:rsid w:val="43F403A7"/>
    <w:rsid w:val="440C56F0"/>
    <w:rsid w:val="4417150F"/>
    <w:rsid w:val="44337121"/>
    <w:rsid w:val="443D58AA"/>
    <w:rsid w:val="44421112"/>
    <w:rsid w:val="445D7CFA"/>
    <w:rsid w:val="44616BB4"/>
    <w:rsid w:val="44AC070F"/>
    <w:rsid w:val="44B32010"/>
    <w:rsid w:val="44B55D88"/>
    <w:rsid w:val="44BD4C3D"/>
    <w:rsid w:val="44D22496"/>
    <w:rsid w:val="44D81A76"/>
    <w:rsid w:val="44D83825"/>
    <w:rsid w:val="44DF4BB3"/>
    <w:rsid w:val="44F17076"/>
    <w:rsid w:val="4504461A"/>
    <w:rsid w:val="452A0524"/>
    <w:rsid w:val="452A22D2"/>
    <w:rsid w:val="45384064"/>
    <w:rsid w:val="453C2005"/>
    <w:rsid w:val="453D6AF7"/>
    <w:rsid w:val="454964D0"/>
    <w:rsid w:val="455530C7"/>
    <w:rsid w:val="45633A36"/>
    <w:rsid w:val="45A831F7"/>
    <w:rsid w:val="45B4295B"/>
    <w:rsid w:val="45D466E2"/>
    <w:rsid w:val="45DB537A"/>
    <w:rsid w:val="45E83F3B"/>
    <w:rsid w:val="45FE72BB"/>
    <w:rsid w:val="46003033"/>
    <w:rsid w:val="462D194E"/>
    <w:rsid w:val="46470C62"/>
    <w:rsid w:val="465810C1"/>
    <w:rsid w:val="46887C17"/>
    <w:rsid w:val="46902E7B"/>
    <w:rsid w:val="46AD7A33"/>
    <w:rsid w:val="46B300A5"/>
    <w:rsid w:val="46CB1893"/>
    <w:rsid w:val="46E2098A"/>
    <w:rsid w:val="46EE7200"/>
    <w:rsid w:val="46F2222E"/>
    <w:rsid w:val="46F26E20"/>
    <w:rsid w:val="4707219F"/>
    <w:rsid w:val="472A6BF9"/>
    <w:rsid w:val="47460F19"/>
    <w:rsid w:val="474D22A8"/>
    <w:rsid w:val="47887784"/>
    <w:rsid w:val="47990E67"/>
    <w:rsid w:val="479C322F"/>
    <w:rsid w:val="479E0D55"/>
    <w:rsid w:val="47AA594C"/>
    <w:rsid w:val="47D46525"/>
    <w:rsid w:val="47DB5B06"/>
    <w:rsid w:val="48030BB8"/>
    <w:rsid w:val="482C010F"/>
    <w:rsid w:val="482F19AD"/>
    <w:rsid w:val="483B47F6"/>
    <w:rsid w:val="483F42E6"/>
    <w:rsid w:val="4845539B"/>
    <w:rsid w:val="48711FC6"/>
    <w:rsid w:val="487815A6"/>
    <w:rsid w:val="48790E7B"/>
    <w:rsid w:val="48A57EC2"/>
    <w:rsid w:val="48C06AA9"/>
    <w:rsid w:val="48CA79A5"/>
    <w:rsid w:val="48DF5182"/>
    <w:rsid w:val="48FA645F"/>
    <w:rsid w:val="491F5EC6"/>
    <w:rsid w:val="49351245"/>
    <w:rsid w:val="4944592C"/>
    <w:rsid w:val="49523BA5"/>
    <w:rsid w:val="49782C3B"/>
    <w:rsid w:val="499C12C5"/>
    <w:rsid w:val="49BE123B"/>
    <w:rsid w:val="49C600F0"/>
    <w:rsid w:val="49C8030C"/>
    <w:rsid w:val="49D1656A"/>
    <w:rsid w:val="49D40A5E"/>
    <w:rsid w:val="49FA5FEB"/>
    <w:rsid w:val="49FE1F7F"/>
    <w:rsid w:val="4A0B1FA6"/>
    <w:rsid w:val="4A176B9D"/>
    <w:rsid w:val="4A3B0ADD"/>
    <w:rsid w:val="4A4108A1"/>
    <w:rsid w:val="4AAB008E"/>
    <w:rsid w:val="4AB12B4E"/>
    <w:rsid w:val="4AF313B8"/>
    <w:rsid w:val="4AFD3FE5"/>
    <w:rsid w:val="4B0E1D4E"/>
    <w:rsid w:val="4B1650A7"/>
    <w:rsid w:val="4B3B61D9"/>
    <w:rsid w:val="4B3B68BB"/>
    <w:rsid w:val="4B4B6AFE"/>
    <w:rsid w:val="4B693428"/>
    <w:rsid w:val="4BBC17AA"/>
    <w:rsid w:val="4BC30D8B"/>
    <w:rsid w:val="4BC92119"/>
    <w:rsid w:val="4BDC3BFA"/>
    <w:rsid w:val="4BE40D01"/>
    <w:rsid w:val="4BF52F0E"/>
    <w:rsid w:val="4BFA1C12"/>
    <w:rsid w:val="4C0575F5"/>
    <w:rsid w:val="4C1E2465"/>
    <w:rsid w:val="4C575977"/>
    <w:rsid w:val="4C9269AF"/>
    <w:rsid w:val="4CA24E44"/>
    <w:rsid w:val="4CA7245A"/>
    <w:rsid w:val="4CB44B77"/>
    <w:rsid w:val="4CBB7CB4"/>
    <w:rsid w:val="4CD50416"/>
    <w:rsid w:val="4CF907DC"/>
    <w:rsid w:val="4CFE153D"/>
    <w:rsid w:val="4D202019"/>
    <w:rsid w:val="4D225F85"/>
    <w:rsid w:val="4D333CEE"/>
    <w:rsid w:val="4D3A32CE"/>
    <w:rsid w:val="4D587BF8"/>
    <w:rsid w:val="4D5A0851"/>
    <w:rsid w:val="4D5A74CD"/>
    <w:rsid w:val="4D7F33D7"/>
    <w:rsid w:val="4D8C494F"/>
    <w:rsid w:val="4D8E7176"/>
    <w:rsid w:val="4D956757"/>
    <w:rsid w:val="4D9A5B1B"/>
    <w:rsid w:val="4DA60964"/>
    <w:rsid w:val="4DA846DC"/>
    <w:rsid w:val="4DAB41CC"/>
    <w:rsid w:val="4DC94652"/>
    <w:rsid w:val="4DE374C2"/>
    <w:rsid w:val="4E0A0EF3"/>
    <w:rsid w:val="4E3C6BD2"/>
    <w:rsid w:val="4E712D20"/>
    <w:rsid w:val="4E9C3B15"/>
    <w:rsid w:val="4EBC13B6"/>
    <w:rsid w:val="4ED908C5"/>
    <w:rsid w:val="4EDF382D"/>
    <w:rsid w:val="4EE07EA5"/>
    <w:rsid w:val="4EF53BF2"/>
    <w:rsid w:val="4EF676C9"/>
    <w:rsid w:val="4EFF657E"/>
    <w:rsid w:val="4F0A0B7D"/>
    <w:rsid w:val="4F0C47F7"/>
    <w:rsid w:val="4F0C76FA"/>
    <w:rsid w:val="4F0F42E7"/>
    <w:rsid w:val="4F1B2C8C"/>
    <w:rsid w:val="4F397932"/>
    <w:rsid w:val="4F6939F7"/>
    <w:rsid w:val="4F786D37"/>
    <w:rsid w:val="4F820F5D"/>
    <w:rsid w:val="4F8D010C"/>
    <w:rsid w:val="4F9111A0"/>
    <w:rsid w:val="4F9A0054"/>
    <w:rsid w:val="4FA26F09"/>
    <w:rsid w:val="4FA72771"/>
    <w:rsid w:val="4FAA3CEB"/>
    <w:rsid w:val="4FC11A85"/>
    <w:rsid w:val="4FD25A40"/>
    <w:rsid w:val="4FE3680F"/>
    <w:rsid w:val="4FEB08B0"/>
    <w:rsid w:val="4FEB4D54"/>
    <w:rsid w:val="500371EC"/>
    <w:rsid w:val="500E27F0"/>
    <w:rsid w:val="50131BB5"/>
    <w:rsid w:val="50342257"/>
    <w:rsid w:val="503C55AF"/>
    <w:rsid w:val="507C3BFE"/>
    <w:rsid w:val="50811214"/>
    <w:rsid w:val="508A00C9"/>
    <w:rsid w:val="50903205"/>
    <w:rsid w:val="509B0528"/>
    <w:rsid w:val="50A62A29"/>
    <w:rsid w:val="50A76ECD"/>
    <w:rsid w:val="50A82C45"/>
    <w:rsid w:val="50A84419"/>
    <w:rsid w:val="50B213CE"/>
    <w:rsid w:val="50C574A2"/>
    <w:rsid w:val="50D17AA6"/>
    <w:rsid w:val="50E21CB3"/>
    <w:rsid w:val="50EA500B"/>
    <w:rsid w:val="50ED0658"/>
    <w:rsid w:val="50F86551"/>
    <w:rsid w:val="512322CB"/>
    <w:rsid w:val="512A365A"/>
    <w:rsid w:val="512C1180"/>
    <w:rsid w:val="513D338D"/>
    <w:rsid w:val="51431DF8"/>
    <w:rsid w:val="5144471C"/>
    <w:rsid w:val="514F30C0"/>
    <w:rsid w:val="5151478A"/>
    <w:rsid w:val="51556929"/>
    <w:rsid w:val="516C3C72"/>
    <w:rsid w:val="518A40F8"/>
    <w:rsid w:val="519A433C"/>
    <w:rsid w:val="51AE6039"/>
    <w:rsid w:val="51E7154B"/>
    <w:rsid w:val="51E75268"/>
    <w:rsid w:val="52195BA8"/>
    <w:rsid w:val="521A1920"/>
    <w:rsid w:val="52214A5D"/>
    <w:rsid w:val="522A0C67"/>
    <w:rsid w:val="522E717A"/>
    <w:rsid w:val="5237602E"/>
    <w:rsid w:val="52410C5B"/>
    <w:rsid w:val="52430369"/>
    <w:rsid w:val="52592449"/>
    <w:rsid w:val="525D6A24"/>
    <w:rsid w:val="52650DED"/>
    <w:rsid w:val="52846D9A"/>
    <w:rsid w:val="52850E7A"/>
    <w:rsid w:val="528A2602"/>
    <w:rsid w:val="52951AB7"/>
    <w:rsid w:val="52BE04FE"/>
    <w:rsid w:val="52E00474"/>
    <w:rsid w:val="52F21F55"/>
    <w:rsid w:val="53073C53"/>
    <w:rsid w:val="530C74BB"/>
    <w:rsid w:val="530D4FE1"/>
    <w:rsid w:val="533735A3"/>
    <w:rsid w:val="534A1D91"/>
    <w:rsid w:val="5367649F"/>
    <w:rsid w:val="538434F5"/>
    <w:rsid w:val="53862E55"/>
    <w:rsid w:val="538C5F06"/>
    <w:rsid w:val="538C6BEE"/>
    <w:rsid w:val="539179C0"/>
    <w:rsid w:val="53BF3FAB"/>
    <w:rsid w:val="53BF62DB"/>
    <w:rsid w:val="54217C51"/>
    <w:rsid w:val="5426635A"/>
    <w:rsid w:val="543071D9"/>
    <w:rsid w:val="5440376B"/>
    <w:rsid w:val="54413194"/>
    <w:rsid w:val="54530256"/>
    <w:rsid w:val="54837309"/>
    <w:rsid w:val="549858E2"/>
    <w:rsid w:val="54994D7E"/>
    <w:rsid w:val="54A92AE8"/>
    <w:rsid w:val="54CB6F02"/>
    <w:rsid w:val="54F00716"/>
    <w:rsid w:val="54FE72D7"/>
    <w:rsid w:val="55102B67"/>
    <w:rsid w:val="55230AEC"/>
    <w:rsid w:val="552A59D6"/>
    <w:rsid w:val="552B174F"/>
    <w:rsid w:val="554051FA"/>
    <w:rsid w:val="556F788D"/>
    <w:rsid w:val="559612BE"/>
    <w:rsid w:val="55967510"/>
    <w:rsid w:val="55B86F96"/>
    <w:rsid w:val="55CA0F67"/>
    <w:rsid w:val="55D911AB"/>
    <w:rsid w:val="561548D9"/>
    <w:rsid w:val="5617074A"/>
    <w:rsid w:val="56262642"/>
    <w:rsid w:val="56472959"/>
    <w:rsid w:val="564A085F"/>
    <w:rsid w:val="565847C5"/>
    <w:rsid w:val="566029D6"/>
    <w:rsid w:val="5664316A"/>
    <w:rsid w:val="566B0854"/>
    <w:rsid w:val="569972B8"/>
    <w:rsid w:val="569B2486"/>
    <w:rsid w:val="56A725B8"/>
    <w:rsid w:val="56C34335"/>
    <w:rsid w:val="56F97D56"/>
    <w:rsid w:val="56FC7846"/>
    <w:rsid w:val="56FE711B"/>
    <w:rsid w:val="570010E5"/>
    <w:rsid w:val="570808DB"/>
    <w:rsid w:val="57256D9D"/>
    <w:rsid w:val="572648C3"/>
    <w:rsid w:val="572B3C88"/>
    <w:rsid w:val="57601B83"/>
    <w:rsid w:val="57631674"/>
    <w:rsid w:val="576A0C54"/>
    <w:rsid w:val="578D26E0"/>
    <w:rsid w:val="57911D3D"/>
    <w:rsid w:val="579637F7"/>
    <w:rsid w:val="57A53A3A"/>
    <w:rsid w:val="57B27F05"/>
    <w:rsid w:val="57BF2D4E"/>
    <w:rsid w:val="57C76D4A"/>
    <w:rsid w:val="57CA34A1"/>
    <w:rsid w:val="57D61E46"/>
    <w:rsid w:val="57DF519E"/>
    <w:rsid w:val="57FD5624"/>
    <w:rsid w:val="580D7ADE"/>
    <w:rsid w:val="5813309A"/>
    <w:rsid w:val="58353010"/>
    <w:rsid w:val="58372679"/>
    <w:rsid w:val="583D1EC5"/>
    <w:rsid w:val="584F162A"/>
    <w:rsid w:val="585711D8"/>
    <w:rsid w:val="5866766D"/>
    <w:rsid w:val="586779D8"/>
    <w:rsid w:val="58741CD3"/>
    <w:rsid w:val="5878114F"/>
    <w:rsid w:val="587D0513"/>
    <w:rsid w:val="58935F89"/>
    <w:rsid w:val="58A80941"/>
    <w:rsid w:val="58BE3005"/>
    <w:rsid w:val="58BF0B2C"/>
    <w:rsid w:val="58DF2F7C"/>
    <w:rsid w:val="58E660B8"/>
    <w:rsid w:val="58E721D7"/>
    <w:rsid w:val="58E97957"/>
    <w:rsid w:val="58FD23C8"/>
    <w:rsid w:val="591C1ADA"/>
    <w:rsid w:val="592738D0"/>
    <w:rsid w:val="592A2449"/>
    <w:rsid w:val="593E7CA2"/>
    <w:rsid w:val="59417793"/>
    <w:rsid w:val="59576FB6"/>
    <w:rsid w:val="595E6596"/>
    <w:rsid w:val="59611BE3"/>
    <w:rsid w:val="5979517E"/>
    <w:rsid w:val="59831B59"/>
    <w:rsid w:val="599C2C1B"/>
    <w:rsid w:val="59AC5554"/>
    <w:rsid w:val="59D2663D"/>
    <w:rsid w:val="59D6437F"/>
    <w:rsid w:val="5A026F22"/>
    <w:rsid w:val="5A0A04CC"/>
    <w:rsid w:val="5A212FFF"/>
    <w:rsid w:val="5A315A59"/>
    <w:rsid w:val="5A364E1D"/>
    <w:rsid w:val="5A3C1F79"/>
    <w:rsid w:val="5A551748"/>
    <w:rsid w:val="5A6000EC"/>
    <w:rsid w:val="5A690D4F"/>
    <w:rsid w:val="5A865588"/>
    <w:rsid w:val="5AAE70AA"/>
    <w:rsid w:val="5ABF12B7"/>
    <w:rsid w:val="5AC468CD"/>
    <w:rsid w:val="5ADF3707"/>
    <w:rsid w:val="5AF727FF"/>
    <w:rsid w:val="5B1213E7"/>
    <w:rsid w:val="5B323837"/>
    <w:rsid w:val="5B4325A2"/>
    <w:rsid w:val="5B4812AC"/>
    <w:rsid w:val="5B4D241F"/>
    <w:rsid w:val="5B597015"/>
    <w:rsid w:val="5B6854AA"/>
    <w:rsid w:val="5B7965FD"/>
    <w:rsid w:val="5B7B51DE"/>
    <w:rsid w:val="5B8C73EB"/>
    <w:rsid w:val="5BAC183B"/>
    <w:rsid w:val="5BAD7361"/>
    <w:rsid w:val="5BBB382C"/>
    <w:rsid w:val="5BC326E1"/>
    <w:rsid w:val="5BCF1086"/>
    <w:rsid w:val="5BD62414"/>
    <w:rsid w:val="5BDE576D"/>
    <w:rsid w:val="5BED59B0"/>
    <w:rsid w:val="5C186ED1"/>
    <w:rsid w:val="5C193202"/>
    <w:rsid w:val="5C451348"/>
    <w:rsid w:val="5C4C26D6"/>
    <w:rsid w:val="5C64226D"/>
    <w:rsid w:val="5C65130B"/>
    <w:rsid w:val="5C8A31FF"/>
    <w:rsid w:val="5C8C51C9"/>
    <w:rsid w:val="5C98591B"/>
    <w:rsid w:val="5C9A5B38"/>
    <w:rsid w:val="5C9D2DC0"/>
    <w:rsid w:val="5CBC3D00"/>
    <w:rsid w:val="5CC26E3C"/>
    <w:rsid w:val="5CD1707F"/>
    <w:rsid w:val="5CE24DE9"/>
    <w:rsid w:val="5CE40B61"/>
    <w:rsid w:val="5CEB0141"/>
    <w:rsid w:val="5CEE7C31"/>
    <w:rsid w:val="5CFA0384"/>
    <w:rsid w:val="5D283143"/>
    <w:rsid w:val="5D2D075A"/>
    <w:rsid w:val="5D380EAD"/>
    <w:rsid w:val="5D523C77"/>
    <w:rsid w:val="5D5A7075"/>
    <w:rsid w:val="5D5C2DED"/>
    <w:rsid w:val="5D881E34"/>
    <w:rsid w:val="5D885990"/>
    <w:rsid w:val="5D8909D5"/>
    <w:rsid w:val="5D980C1C"/>
    <w:rsid w:val="5DA44563"/>
    <w:rsid w:val="5DAD3649"/>
    <w:rsid w:val="5DBC1ADE"/>
    <w:rsid w:val="5DC0337C"/>
    <w:rsid w:val="5DC170F4"/>
    <w:rsid w:val="5DC21912"/>
    <w:rsid w:val="5DD706C5"/>
    <w:rsid w:val="5DE03A1E"/>
    <w:rsid w:val="5DF67157"/>
    <w:rsid w:val="5E053485"/>
    <w:rsid w:val="5E056FE1"/>
    <w:rsid w:val="5E070FAB"/>
    <w:rsid w:val="5E0B036F"/>
    <w:rsid w:val="5E2A4C99"/>
    <w:rsid w:val="5E2E29DB"/>
    <w:rsid w:val="5E361890"/>
    <w:rsid w:val="5E40626B"/>
    <w:rsid w:val="5E47358E"/>
    <w:rsid w:val="5E543AC4"/>
    <w:rsid w:val="5E7E7942"/>
    <w:rsid w:val="5E8A3FBC"/>
    <w:rsid w:val="5E8B1BDC"/>
    <w:rsid w:val="5EB6477F"/>
    <w:rsid w:val="5EBF3633"/>
    <w:rsid w:val="5EC549C2"/>
    <w:rsid w:val="5EC96260"/>
    <w:rsid w:val="5EDC2437"/>
    <w:rsid w:val="5EFE2F14"/>
    <w:rsid w:val="5F0B51CF"/>
    <w:rsid w:val="5F13397F"/>
    <w:rsid w:val="5F1A2F60"/>
    <w:rsid w:val="5F2E68F6"/>
    <w:rsid w:val="5F337B7D"/>
    <w:rsid w:val="5F3F29C6"/>
    <w:rsid w:val="5F50072F"/>
    <w:rsid w:val="5F724B4A"/>
    <w:rsid w:val="5F7A57AC"/>
    <w:rsid w:val="5F85487D"/>
    <w:rsid w:val="5FB77AC1"/>
    <w:rsid w:val="5FCD5E60"/>
    <w:rsid w:val="5FE3647F"/>
    <w:rsid w:val="5FF370E4"/>
    <w:rsid w:val="60002155"/>
    <w:rsid w:val="600D03CE"/>
    <w:rsid w:val="600D1436"/>
    <w:rsid w:val="602816AC"/>
    <w:rsid w:val="603040BD"/>
    <w:rsid w:val="60597AB8"/>
    <w:rsid w:val="60624BBE"/>
    <w:rsid w:val="6065645C"/>
    <w:rsid w:val="60932FCA"/>
    <w:rsid w:val="60BB607C"/>
    <w:rsid w:val="60CA4511"/>
    <w:rsid w:val="60DB227B"/>
    <w:rsid w:val="60DC4FE5"/>
    <w:rsid w:val="60F90953"/>
    <w:rsid w:val="61023CAB"/>
    <w:rsid w:val="610B0DB2"/>
    <w:rsid w:val="61113EEE"/>
    <w:rsid w:val="611A7247"/>
    <w:rsid w:val="614918DA"/>
    <w:rsid w:val="615838CB"/>
    <w:rsid w:val="61776447"/>
    <w:rsid w:val="6183303E"/>
    <w:rsid w:val="618B1EF3"/>
    <w:rsid w:val="61AD294E"/>
    <w:rsid w:val="61BD7BD2"/>
    <w:rsid w:val="61C62F2B"/>
    <w:rsid w:val="61E92327"/>
    <w:rsid w:val="61EB0BE3"/>
    <w:rsid w:val="61FC694D"/>
    <w:rsid w:val="61FE0917"/>
    <w:rsid w:val="620C3034"/>
    <w:rsid w:val="620D0B5A"/>
    <w:rsid w:val="62155721"/>
    <w:rsid w:val="62465E1A"/>
    <w:rsid w:val="62682234"/>
    <w:rsid w:val="626C5880"/>
    <w:rsid w:val="62720C8F"/>
    <w:rsid w:val="62742987"/>
    <w:rsid w:val="62744735"/>
    <w:rsid w:val="628D57F7"/>
    <w:rsid w:val="62922E0D"/>
    <w:rsid w:val="62BD2EEE"/>
    <w:rsid w:val="62CA07F9"/>
    <w:rsid w:val="62D00C75"/>
    <w:rsid w:val="62D76007"/>
    <w:rsid w:val="62DB6B2B"/>
    <w:rsid w:val="62E573E1"/>
    <w:rsid w:val="62FD297C"/>
    <w:rsid w:val="630A5099"/>
    <w:rsid w:val="632C3261"/>
    <w:rsid w:val="636522D0"/>
    <w:rsid w:val="636D1B91"/>
    <w:rsid w:val="6372336A"/>
    <w:rsid w:val="6377272F"/>
    <w:rsid w:val="63810C4D"/>
    <w:rsid w:val="63927568"/>
    <w:rsid w:val="639A01CB"/>
    <w:rsid w:val="63AB3AFB"/>
    <w:rsid w:val="63BE035D"/>
    <w:rsid w:val="63BF5E84"/>
    <w:rsid w:val="63DC6A36"/>
    <w:rsid w:val="63F7386F"/>
    <w:rsid w:val="63FA510E"/>
    <w:rsid w:val="642A7420"/>
    <w:rsid w:val="643423CE"/>
    <w:rsid w:val="64354398"/>
    <w:rsid w:val="64406FC4"/>
    <w:rsid w:val="64412D3D"/>
    <w:rsid w:val="64446389"/>
    <w:rsid w:val="644665A5"/>
    <w:rsid w:val="644E3929"/>
    <w:rsid w:val="64550596"/>
    <w:rsid w:val="64601415"/>
    <w:rsid w:val="64746C6E"/>
    <w:rsid w:val="6477675E"/>
    <w:rsid w:val="647F7A72"/>
    <w:rsid w:val="64835103"/>
    <w:rsid w:val="648A46E4"/>
    <w:rsid w:val="64970BAF"/>
    <w:rsid w:val="64DF4A2F"/>
    <w:rsid w:val="64EC2CEA"/>
    <w:rsid w:val="64F63B27"/>
    <w:rsid w:val="64F8164D"/>
    <w:rsid w:val="64FB2EEB"/>
    <w:rsid w:val="650224CC"/>
    <w:rsid w:val="651641C9"/>
    <w:rsid w:val="65202952"/>
    <w:rsid w:val="652C7549"/>
    <w:rsid w:val="654E5711"/>
    <w:rsid w:val="65532D27"/>
    <w:rsid w:val="65864EAB"/>
    <w:rsid w:val="659B647C"/>
    <w:rsid w:val="65A610A9"/>
    <w:rsid w:val="65A672FB"/>
    <w:rsid w:val="65AC2438"/>
    <w:rsid w:val="65C4125C"/>
    <w:rsid w:val="65C92FEA"/>
    <w:rsid w:val="65EB7404"/>
    <w:rsid w:val="660D737A"/>
    <w:rsid w:val="66263F98"/>
    <w:rsid w:val="662D7031"/>
    <w:rsid w:val="665C5C0C"/>
    <w:rsid w:val="666A25FF"/>
    <w:rsid w:val="666B22F3"/>
    <w:rsid w:val="666B40A1"/>
    <w:rsid w:val="6672542F"/>
    <w:rsid w:val="668F5FE1"/>
    <w:rsid w:val="669B6734"/>
    <w:rsid w:val="66AF106A"/>
    <w:rsid w:val="66C33EDD"/>
    <w:rsid w:val="66C67529"/>
    <w:rsid w:val="66CA0DC7"/>
    <w:rsid w:val="66CD08B8"/>
    <w:rsid w:val="66EF6A80"/>
    <w:rsid w:val="67001F77"/>
    <w:rsid w:val="670A38BA"/>
    <w:rsid w:val="670D6F06"/>
    <w:rsid w:val="670F0ED0"/>
    <w:rsid w:val="672030DD"/>
    <w:rsid w:val="6739419F"/>
    <w:rsid w:val="673D5A3D"/>
    <w:rsid w:val="673D77EB"/>
    <w:rsid w:val="674548F2"/>
    <w:rsid w:val="67566AFF"/>
    <w:rsid w:val="67584625"/>
    <w:rsid w:val="6764746E"/>
    <w:rsid w:val="67890C82"/>
    <w:rsid w:val="678A0557"/>
    <w:rsid w:val="679246B5"/>
    <w:rsid w:val="679338AF"/>
    <w:rsid w:val="679715F1"/>
    <w:rsid w:val="679D472E"/>
    <w:rsid w:val="67B6134C"/>
    <w:rsid w:val="67BFFB8A"/>
    <w:rsid w:val="67F105D6"/>
    <w:rsid w:val="67F3434E"/>
    <w:rsid w:val="67FD6F7B"/>
    <w:rsid w:val="681D761D"/>
    <w:rsid w:val="683B7279"/>
    <w:rsid w:val="6841330B"/>
    <w:rsid w:val="68525518"/>
    <w:rsid w:val="68555008"/>
    <w:rsid w:val="686B482C"/>
    <w:rsid w:val="68715B33"/>
    <w:rsid w:val="688C4647"/>
    <w:rsid w:val="68925915"/>
    <w:rsid w:val="68A13DAA"/>
    <w:rsid w:val="68AB2E7A"/>
    <w:rsid w:val="68AF64C7"/>
    <w:rsid w:val="68B97536"/>
    <w:rsid w:val="68BC0BE4"/>
    <w:rsid w:val="69030FE0"/>
    <w:rsid w:val="69054EDC"/>
    <w:rsid w:val="690C1B6B"/>
    <w:rsid w:val="69280027"/>
    <w:rsid w:val="692F7608"/>
    <w:rsid w:val="69342E70"/>
    <w:rsid w:val="69362744"/>
    <w:rsid w:val="69390486"/>
    <w:rsid w:val="693D7F76"/>
    <w:rsid w:val="695C2833"/>
    <w:rsid w:val="69620B1A"/>
    <w:rsid w:val="69715E72"/>
    <w:rsid w:val="69735746"/>
    <w:rsid w:val="699F478D"/>
    <w:rsid w:val="69A2602B"/>
    <w:rsid w:val="69B55D5F"/>
    <w:rsid w:val="69BB70ED"/>
    <w:rsid w:val="69C43C55"/>
    <w:rsid w:val="69CE5072"/>
    <w:rsid w:val="69F108B1"/>
    <w:rsid w:val="69F525FF"/>
    <w:rsid w:val="69FA5E67"/>
    <w:rsid w:val="6A072332"/>
    <w:rsid w:val="6A072692"/>
    <w:rsid w:val="6A101DFA"/>
    <w:rsid w:val="6A1445A5"/>
    <w:rsid w:val="6A3053E5"/>
    <w:rsid w:val="6A350C4E"/>
    <w:rsid w:val="6A3D7B02"/>
    <w:rsid w:val="6A575068"/>
    <w:rsid w:val="6A5C61DA"/>
    <w:rsid w:val="6A6F52F9"/>
    <w:rsid w:val="6A794FDE"/>
    <w:rsid w:val="6A9F256B"/>
    <w:rsid w:val="6AAF0A00"/>
    <w:rsid w:val="6AB44268"/>
    <w:rsid w:val="6ADE0039"/>
    <w:rsid w:val="6AE01FA6"/>
    <w:rsid w:val="6AFE1987"/>
    <w:rsid w:val="6B110DD0"/>
    <w:rsid w:val="6B527828"/>
    <w:rsid w:val="6B673089"/>
    <w:rsid w:val="6B713F07"/>
    <w:rsid w:val="6B826114"/>
    <w:rsid w:val="6B827EC3"/>
    <w:rsid w:val="6B882FFF"/>
    <w:rsid w:val="6BD6020E"/>
    <w:rsid w:val="6BEF18E3"/>
    <w:rsid w:val="6BFF5AC4"/>
    <w:rsid w:val="6C172D01"/>
    <w:rsid w:val="6C3A079D"/>
    <w:rsid w:val="6C4E5FF7"/>
    <w:rsid w:val="6C6D2921"/>
    <w:rsid w:val="6C77554D"/>
    <w:rsid w:val="6C7A3290"/>
    <w:rsid w:val="6C895281"/>
    <w:rsid w:val="6C9003BD"/>
    <w:rsid w:val="6C90660F"/>
    <w:rsid w:val="6C947AB9"/>
    <w:rsid w:val="6C97799E"/>
    <w:rsid w:val="6C991968"/>
    <w:rsid w:val="6CA64085"/>
    <w:rsid w:val="6CC30793"/>
    <w:rsid w:val="6CD01102"/>
    <w:rsid w:val="6CE403E9"/>
    <w:rsid w:val="6CEB5F3B"/>
    <w:rsid w:val="6CF272CA"/>
    <w:rsid w:val="6D042B59"/>
    <w:rsid w:val="6D486EEA"/>
    <w:rsid w:val="6D596693"/>
    <w:rsid w:val="6D833248"/>
    <w:rsid w:val="6D885538"/>
    <w:rsid w:val="6D910891"/>
    <w:rsid w:val="6DA5757D"/>
    <w:rsid w:val="6DCF3167"/>
    <w:rsid w:val="6DEF7365"/>
    <w:rsid w:val="6DEFD621"/>
    <w:rsid w:val="6DF826BE"/>
    <w:rsid w:val="6DFA6776"/>
    <w:rsid w:val="6DFB0400"/>
    <w:rsid w:val="6DFF29AA"/>
    <w:rsid w:val="6E0C74E9"/>
    <w:rsid w:val="6E22773B"/>
    <w:rsid w:val="6E250FD9"/>
    <w:rsid w:val="6E25722B"/>
    <w:rsid w:val="6E376D60"/>
    <w:rsid w:val="6E4E0530"/>
    <w:rsid w:val="6E4E6782"/>
    <w:rsid w:val="6E745F38"/>
    <w:rsid w:val="6E9817AB"/>
    <w:rsid w:val="6EA445F4"/>
    <w:rsid w:val="6EA6036C"/>
    <w:rsid w:val="6EA840E4"/>
    <w:rsid w:val="6EAD16FA"/>
    <w:rsid w:val="6EB14A39"/>
    <w:rsid w:val="6EB84FF0"/>
    <w:rsid w:val="6EBA5BC5"/>
    <w:rsid w:val="6EBD7464"/>
    <w:rsid w:val="6EC32CCC"/>
    <w:rsid w:val="6EC425A0"/>
    <w:rsid w:val="6EDC5B3C"/>
    <w:rsid w:val="6EE04739"/>
    <w:rsid w:val="6EEB6121"/>
    <w:rsid w:val="6EED1AF7"/>
    <w:rsid w:val="6F101C89"/>
    <w:rsid w:val="6F12155D"/>
    <w:rsid w:val="6F141779"/>
    <w:rsid w:val="6F1F3C7A"/>
    <w:rsid w:val="6F20011E"/>
    <w:rsid w:val="6F2179F2"/>
    <w:rsid w:val="6F2A2D4B"/>
    <w:rsid w:val="6F35524C"/>
    <w:rsid w:val="6F3FA5B5"/>
    <w:rsid w:val="6F433E0D"/>
    <w:rsid w:val="6F571666"/>
    <w:rsid w:val="6F59436A"/>
    <w:rsid w:val="6F742218"/>
    <w:rsid w:val="6F963F3C"/>
    <w:rsid w:val="6F9C351D"/>
    <w:rsid w:val="6FA56875"/>
    <w:rsid w:val="6FAEDE0E"/>
    <w:rsid w:val="6FCF744E"/>
    <w:rsid w:val="6FD754E0"/>
    <w:rsid w:val="6FE56C72"/>
    <w:rsid w:val="6FF453FD"/>
    <w:rsid w:val="6FFB46E7"/>
    <w:rsid w:val="6FFEEE03"/>
    <w:rsid w:val="702459EC"/>
    <w:rsid w:val="702A6D7B"/>
    <w:rsid w:val="7040659E"/>
    <w:rsid w:val="704716DB"/>
    <w:rsid w:val="70545BA6"/>
    <w:rsid w:val="705D0EFE"/>
    <w:rsid w:val="70741DA4"/>
    <w:rsid w:val="707F70C6"/>
    <w:rsid w:val="708C17E3"/>
    <w:rsid w:val="708C3591"/>
    <w:rsid w:val="709541F4"/>
    <w:rsid w:val="70B07280"/>
    <w:rsid w:val="70B256C9"/>
    <w:rsid w:val="70BA662E"/>
    <w:rsid w:val="70C1148D"/>
    <w:rsid w:val="70C745CA"/>
    <w:rsid w:val="70C8281B"/>
    <w:rsid w:val="70CD7848"/>
    <w:rsid w:val="71155335"/>
    <w:rsid w:val="711E7B3E"/>
    <w:rsid w:val="713A128A"/>
    <w:rsid w:val="7148395C"/>
    <w:rsid w:val="714D2D21"/>
    <w:rsid w:val="715B3690"/>
    <w:rsid w:val="715E0A8A"/>
    <w:rsid w:val="716262DC"/>
    <w:rsid w:val="7169742F"/>
    <w:rsid w:val="71724535"/>
    <w:rsid w:val="717A57AC"/>
    <w:rsid w:val="71A566B9"/>
    <w:rsid w:val="71A768D5"/>
    <w:rsid w:val="71B27028"/>
    <w:rsid w:val="71B56866"/>
    <w:rsid w:val="71BB412E"/>
    <w:rsid w:val="71E4311C"/>
    <w:rsid w:val="71E62927"/>
    <w:rsid w:val="71F15DA2"/>
    <w:rsid w:val="7218332F"/>
    <w:rsid w:val="724723C7"/>
    <w:rsid w:val="725105EF"/>
    <w:rsid w:val="72616DCA"/>
    <w:rsid w:val="726B5B54"/>
    <w:rsid w:val="726C5429"/>
    <w:rsid w:val="726E11A1"/>
    <w:rsid w:val="727F059A"/>
    <w:rsid w:val="728C7879"/>
    <w:rsid w:val="72A5093A"/>
    <w:rsid w:val="72B34E05"/>
    <w:rsid w:val="72D059B7"/>
    <w:rsid w:val="72F13B80"/>
    <w:rsid w:val="73010267"/>
    <w:rsid w:val="73090EC9"/>
    <w:rsid w:val="73320420"/>
    <w:rsid w:val="73337CF4"/>
    <w:rsid w:val="73410663"/>
    <w:rsid w:val="734737A0"/>
    <w:rsid w:val="734B48DC"/>
    <w:rsid w:val="734D7008"/>
    <w:rsid w:val="73582D47"/>
    <w:rsid w:val="735E1215"/>
    <w:rsid w:val="73691968"/>
    <w:rsid w:val="736D76AA"/>
    <w:rsid w:val="736FE6C9"/>
    <w:rsid w:val="7375030D"/>
    <w:rsid w:val="737F118B"/>
    <w:rsid w:val="73816A10"/>
    <w:rsid w:val="73852C46"/>
    <w:rsid w:val="7386251A"/>
    <w:rsid w:val="738B3A66"/>
    <w:rsid w:val="73A62BBC"/>
    <w:rsid w:val="73AB01D2"/>
    <w:rsid w:val="73C179F6"/>
    <w:rsid w:val="73C62AF5"/>
    <w:rsid w:val="73D72A0C"/>
    <w:rsid w:val="73D9089C"/>
    <w:rsid w:val="73DE2356"/>
    <w:rsid w:val="73E57241"/>
    <w:rsid w:val="73EB03CC"/>
    <w:rsid w:val="74081181"/>
    <w:rsid w:val="740F0761"/>
    <w:rsid w:val="742064CB"/>
    <w:rsid w:val="742D0BE7"/>
    <w:rsid w:val="74404DBF"/>
    <w:rsid w:val="744C5512"/>
    <w:rsid w:val="744D3038"/>
    <w:rsid w:val="745D396F"/>
    <w:rsid w:val="74675EA7"/>
    <w:rsid w:val="74732A9E"/>
    <w:rsid w:val="7476433D"/>
    <w:rsid w:val="749D3FBF"/>
    <w:rsid w:val="74C57072"/>
    <w:rsid w:val="74F02341"/>
    <w:rsid w:val="74FD05BA"/>
    <w:rsid w:val="75004B37"/>
    <w:rsid w:val="7510653F"/>
    <w:rsid w:val="752E2E69"/>
    <w:rsid w:val="7535244A"/>
    <w:rsid w:val="757A4300"/>
    <w:rsid w:val="757A60AE"/>
    <w:rsid w:val="758444AD"/>
    <w:rsid w:val="75930F1E"/>
    <w:rsid w:val="75BF3AC1"/>
    <w:rsid w:val="75C4732A"/>
    <w:rsid w:val="75E023B5"/>
    <w:rsid w:val="760C419E"/>
    <w:rsid w:val="76402E54"/>
    <w:rsid w:val="766A7ED1"/>
    <w:rsid w:val="76AE6010"/>
    <w:rsid w:val="76B77DE9"/>
    <w:rsid w:val="76CF41D8"/>
    <w:rsid w:val="76E01F41"/>
    <w:rsid w:val="76EB7264"/>
    <w:rsid w:val="76F37EC6"/>
    <w:rsid w:val="76FF686B"/>
    <w:rsid w:val="770420D4"/>
    <w:rsid w:val="771E0091"/>
    <w:rsid w:val="772938E8"/>
    <w:rsid w:val="772E0EFE"/>
    <w:rsid w:val="77576E8A"/>
    <w:rsid w:val="77585F7B"/>
    <w:rsid w:val="775A1CF3"/>
    <w:rsid w:val="77732DB5"/>
    <w:rsid w:val="77764653"/>
    <w:rsid w:val="77844FC2"/>
    <w:rsid w:val="77861CD6"/>
    <w:rsid w:val="7797321E"/>
    <w:rsid w:val="779A2A38"/>
    <w:rsid w:val="77A80D0C"/>
    <w:rsid w:val="77C43611"/>
    <w:rsid w:val="77D71596"/>
    <w:rsid w:val="77E375D8"/>
    <w:rsid w:val="77EE271C"/>
    <w:rsid w:val="77F35CA4"/>
    <w:rsid w:val="781A76D5"/>
    <w:rsid w:val="781A7705"/>
    <w:rsid w:val="7824032C"/>
    <w:rsid w:val="78306EF8"/>
    <w:rsid w:val="783B1B25"/>
    <w:rsid w:val="784C1F84"/>
    <w:rsid w:val="785B5D23"/>
    <w:rsid w:val="7883527A"/>
    <w:rsid w:val="789E0306"/>
    <w:rsid w:val="78C7160B"/>
    <w:rsid w:val="78D6184E"/>
    <w:rsid w:val="790740FD"/>
    <w:rsid w:val="79284FD5"/>
    <w:rsid w:val="79345E8F"/>
    <w:rsid w:val="793D18CD"/>
    <w:rsid w:val="79404F19"/>
    <w:rsid w:val="79627585"/>
    <w:rsid w:val="79652BD2"/>
    <w:rsid w:val="79777DEF"/>
    <w:rsid w:val="798C63B0"/>
    <w:rsid w:val="79A11E5C"/>
    <w:rsid w:val="79A25BD4"/>
    <w:rsid w:val="79AA5D13"/>
    <w:rsid w:val="79D33FDF"/>
    <w:rsid w:val="79DC10E6"/>
    <w:rsid w:val="79F006ED"/>
    <w:rsid w:val="7A102B3D"/>
    <w:rsid w:val="7A106FE1"/>
    <w:rsid w:val="7A191D19"/>
    <w:rsid w:val="7A252A8D"/>
    <w:rsid w:val="7A262361"/>
    <w:rsid w:val="7A28257D"/>
    <w:rsid w:val="7A401675"/>
    <w:rsid w:val="7A410F49"/>
    <w:rsid w:val="7A4D3D91"/>
    <w:rsid w:val="7A7FC05E"/>
    <w:rsid w:val="7A85352B"/>
    <w:rsid w:val="7A951295"/>
    <w:rsid w:val="7A9C25AC"/>
    <w:rsid w:val="7A9E639B"/>
    <w:rsid w:val="7ADD5115"/>
    <w:rsid w:val="7AE04C06"/>
    <w:rsid w:val="7AEF4E49"/>
    <w:rsid w:val="7B094299"/>
    <w:rsid w:val="7B2E1A32"/>
    <w:rsid w:val="7B3960C4"/>
    <w:rsid w:val="7B3B62E0"/>
    <w:rsid w:val="7B430CF1"/>
    <w:rsid w:val="7B450E84"/>
    <w:rsid w:val="7B672C31"/>
    <w:rsid w:val="7BA3006D"/>
    <w:rsid w:val="7BAE0860"/>
    <w:rsid w:val="7BD32074"/>
    <w:rsid w:val="7BD83B2F"/>
    <w:rsid w:val="7BDC361F"/>
    <w:rsid w:val="7BDF6C6B"/>
    <w:rsid w:val="7BE40725"/>
    <w:rsid w:val="7BFD3595"/>
    <w:rsid w:val="7C0B7A60"/>
    <w:rsid w:val="7C0C304C"/>
    <w:rsid w:val="7C1728A9"/>
    <w:rsid w:val="7C1A4147"/>
    <w:rsid w:val="7C2428D0"/>
    <w:rsid w:val="7C2741FB"/>
    <w:rsid w:val="7C4D1E27"/>
    <w:rsid w:val="7C4E5B9F"/>
    <w:rsid w:val="7C556F2D"/>
    <w:rsid w:val="7C5C650E"/>
    <w:rsid w:val="7C686C61"/>
    <w:rsid w:val="7C86358B"/>
    <w:rsid w:val="7C9F63FA"/>
    <w:rsid w:val="7CA0289E"/>
    <w:rsid w:val="7CC145C3"/>
    <w:rsid w:val="7CC342E8"/>
    <w:rsid w:val="7CCC5441"/>
    <w:rsid w:val="7CE16A5B"/>
    <w:rsid w:val="7CED53B8"/>
    <w:rsid w:val="7D032E2D"/>
    <w:rsid w:val="7D0821F2"/>
    <w:rsid w:val="7D146DE8"/>
    <w:rsid w:val="7D20578D"/>
    <w:rsid w:val="7D3B0297"/>
    <w:rsid w:val="7D4A45B8"/>
    <w:rsid w:val="7D567401"/>
    <w:rsid w:val="7D6A6A08"/>
    <w:rsid w:val="7D6F18A0"/>
    <w:rsid w:val="7D7D3C6D"/>
    <w:rsid w:val="7DA63EE4"/>
    <w:rsid w:val="7DA97531"/>
    <w:rsid w:val="7DBF0B02"/>
    <w:rsid w:val="7DE20C95"/>
    <w:rsid w:val="7DE31240"/>
    <w:rsid w:val="7DE548A3"/>
    <w:rsid w:val="7DEEC295"/>
    <w:rsid w:val="7DEF1731"/>
    <w:rsid w:val="7E046E5D"/>
    <w:rsid w:val="7E1D3A7B"/>
    <w:rsid w:val="7E1E7F1F"/>
    <w:rsid w:val="7E2F4ED7"/>
    <w:rsid w:val="7E4454AB"/>
    <w:rsid w:val="7E5356EF"/>
    <w:rsid w:val="7E551467"/>
    <w:rsid w:val="7E5D031B"/>
    <w:rsid w:val="7E7CCB16"/>
    <w:rsid w:val="7E7E32B0"/>
    <w:rsid w:val="7E861620"/>
    <w:rsid w:val="7E906943"/>
    <w:rsid w:val="7EB443DF"/>
    <w:rsid w:val="7ECB34D7"/>
    <w:rsid w:val="7ED31E2E"/>
    <w:rsid w:val="7EDC1B88"/>
    <w:rsid w:val="7EDC56E4"/>
    <w:rsid w:val="7EED78F1"/>
    <w:rsid w:val="7EF377C6"/>
    <w:rsid w:val="7F01514B"/>
    <w:rsid w:val="7F062761"/>
    <w:rsid w:val="7F161502"/>
    <w:rsid w:val="7F337CB0"/>
    <w:rsid w:val="7F3A0D02"/>
    <w:rsid w:val="7F527482"/>
    <w:rsid w:val="7F5434CC"/>
    <w:rsid w:val="7F547135"/>
    <w:rsid w:val="7F601E71"/>
    <w:rsid w:val="7F6F0306"/>
    <w:rsid w:val="7F7678E7"/>
    <w:rsid w:val="7F7D2A23"/>
    <w:rsid w:val="7F8FCCD1"/>
    <w:rsid w:val="7FB55D4B"/>
    <w:rsid w:val="7FC20D7E"/>
    <w:rsid w:val="7FC6E632"/>
    <w:rsid w:val="7FCEECF8"/>
    <w:rsid w:val="7FD9095C"/>
    <w:rsid w:val="7FDF723A"/>
    <w:rsid w:val="7FE980F9"/>
    <w:rsid w:val="7FEC5DFB"/>
    <w:rsid w:val="7FFEC486"/>
    <w:rsid w:val="7FFF3B7E"/>
    <w:rsid w:val="7FFF5A83"/>
    <w:rsid w:val="8ECF701E"/>
    <w:rsid w:val="9B7B0635"/>
    <w:rsid w:val="9DCD710A"/>
    <w:rsid w:val="BD5FE9B5"/>
    <w:rsid w:val="BFF6E50A"/>
    <w:rsid w:val="BFFB63BF"/>
    <w:rsid w:val="D2FF8030"/>
    <w:rsid w:val="D3FFE4CF"/>
    <w:rsid w:val="DCCD384F"/>
    <w:rsid w:val="DFDF5602"/>
    <w:rsid w:val="E5EFA9B6"/>
    <w:rsid w:val="EF7D9B13"/>
    <w:rsid w:val="EF9A04C2"/>
    <w:rsid w:val="EFEE52FA"/>
    <w:rsid w:val="EFF748EE"/>
    <w:rsid w:val="F3FF6F0C"/>
    <w:rsid w:val="F75D7BB9"/>
    <w:rsid w:val="F7FDEDAD"/>
    <w:rsid w:val="FB79E2B3"/>
    <w:rsid w:val="FBBD5379"/>
    <w:rsid w:val="FBFECE27"/>
    <w:rsid w:val="FCFF20FC"/>
    <w:rsid w:val="FEEBA91C"/>
    <w:rsid w:val="FFFF24DC"/>
    <w:rsid w:val="FFFF8D38"/>
  </w:rsids>
  <m:mathPr>
    <m:mathFont m:val="Cambria Math"/>
    <m:brkBin m:val="before"/>
    <m:brkBinSub m:val="--"/>
    <m:smallFrac m:val="1"/>
    <m:dispDef/>
    <m:lMargin m:val="1440"/>
    <m:rMargin m:val="144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99" w:semiHidden="0" w:name="heading 1"/>
    <w:lsdException w:uiPriority="99" w:name="heading 2"/>
    <w:lsdException w:qFormat="1" w:uiPriority="99" w:semiHidden="0"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nhideWhenUsed="0" w:uiPriority="99" w:semiHidden="0" w:name="index 1"/>
    <w:lsdException w:unhideWhenUsed="0" w:uiPriority="99" w:semiHidden="0" w:name="index 2"/>
    <w:lsdException w:unhideWhenUsed="0" w:uiPriority="99" w:semiHidden="0" w:name="index 3"/>
    <w:lsdException w:unhideWhenUsed="0" w:uiPriority="99" w:semiHidden="0" w:name="index 4"/>
    <w:lsdException w:unhideWhenUsed="0" w:uiPriority="99" w:semiHidden="0" w:name="index 5"/>
    <w:lsdException w:unhideWhenUsed="0" w:uiPriority="99" w:semiHidden="0" w:name="index 6"/>
    <w:lsdException w:unhideWhenUsed="0" w:uiPriority="99" w:semiHidden="0" w:name="index 7"/>
    <w:lsdException w:unhideWhenUsed="0" w:uiPriority="99" w:semiHidden="0" w:name="index 8"/>
    <w:lsdException w:unhideWhenUsed="0" w:uiPriority="99" w:semiHidden="0" w:name="index 9"/>
    <w:lsdException w:unhideWhenUsed="0" w:uiPriority="99" w:semiHidden="0" w:name="toc 1"/>
    <w:lsdException w:unhideWhenUsed="0" w:uiPriority="99" w:semiHidden="0" w:name="toc 2"/>
    <w:lsdException w:unhideWhenUsed="0" w:uiPriority="99" w:semiHidden="0" w:name="toc 3"/>
    <w:lsdException w:unhideWhenUsed="0" w:uiPriority="99" w:semiHidden="0" w:name="toc 4"/>
    <w:lsdException w:unhideWhenUsed="0" w:uiPriority="99" w:semiHidden="0" w:name="toc 5"/>
    <w:lsdException w:unhideWhenUsed="0" w:uiPriority="99" w:semiHidden="0" w:name="toc 6"/>
    <w:lsdException w:unhideWhenUsed="0" w:uiPriority="99" w:semiHidden="0" w:name="toc 7"/>
    <w:lsdException w:unhideWhenUsed="0" w:uiPriority="99" w:semiHidden="0" w:name="toc 8"/>
    <w:lsdException w:unhideWhenUsed="0" w:uiPriority="99" w:semiHidden="0" w:name="toc 9"/>
    <w:lsdException w:unhideWhenUsed="0" w:uiPriority="99" w:semiHidden="0" w:name="Normal Indent"/>
    <w:lsdException w:unhideWhenUsed="0" w:uiPriority="99"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99" w:semiHidden="0" w:name="index heading"/>
    <w:lsdException w:uiPriority="99" w:name="caption"/>
    <w:lsdException w:unhideWhenUsed="0" w:uiPriority="99" w:semiHidden="0" w:name="table of figures"/>
    <w:lsdException w:unhideWhenUsed="0" w:uiPriority="99" w:semiHidden="0" w:name="envelope address"/>
    <w:lsdException w:unhideWhenUsed="0" w:uiPriority="99" w:semiHidden="0" w:name="envelope return"/>
    <w:lsdException w:unhideWhenUsed="0" w:uiPriority="99" w:semiHidden="0" w:name="footnote reference"/>
    <w:lsdException w:qFormat="1" w:unhideWhenUsed="0" w:uiPriority="99" w:semiHidden="0" w:name="annotation reference"/>
    <w:lsdException w:unhideWhenUsed="0" w:uiPriority="99" w:semiHidden="0" w:name="line number"/>
    <w:lsdException w:unhideWhenUsed="0" w:uiPriority="99" w:semiHidden="0" w:name="page number"/>
    <w:lsdException w:unhideWhenUsed="0" w:uiPriority="99" w:semiHidden="0" w:name="endnote reference"/>
    <w:lsdException w:unhideWhenUsed="0" w:uiPriority="99" w:semiHidden="0" w:name="endnote text"/>
    <w:lsdException w:unhideWhenUsed="0" w:uiPriority="99" w:semiHidden="0" w:name="table of authorities"/>
    <w:lsdException w:unhideWhenUsed="0" w:uiPriority="99" w:semiHidden="0" w:name="macro"/>
    <w:lsdException w:unhideWhenUsed="0" w:uiPriority="99" w:semiHidden="0" w:name="toa heading"/>
    <w:lsdException w:unhideWhenUsed="0" w:uiPriority="99" w:semiHidden="0" w:name="List"/>
    <w:lsdException w:unhideWhenUsed="0" w:uiPriority="99" w:semiHidden="0" w:name="List Bullet"/>
    <w:lsdException w:unhideWhenUsed="0" w:uiPriority="99" w:semiHidden="0" w:name="List Number"/>
    <w:lsdException w:unhideWhenUsed="0" w:uiPriority="99" w:semiHidden="0" w:name="List 2"/>
    <w:lsdException w:unhideWhenUsed="0" w:uiPriority="99" w:semiHidden="0" w:name="List 3"/>
    <w:lsdException w:unhideWhenUsed="0" w:uiPriority="99" w:semiHidden="0" w:name="List 4"/>
    <w:lsdException w:unhideWhenUsed="0" w:uiPriority="99" w:semiHidden="0" w:name="List 5"/>
    <w:lsdException w:unhideWhenUsed="0" w:uiPriority="99" w:semiHidden="0" w:name="List Bullet 2"/>
    <w:lsdException w:unhideWhenUsed="0" w:uiPriority="99" w:semiHidden="0" w:name="List Bullet 3"/>
    <w:lsdException w:unhideWhenUsed="0" w:uiPriority="99" w:semiHidden="0" w:name="List Bullet 4"/>
    <w:lsdException w:unhideWhenUsed="0" w:uiPriority="99" w:semiHidden="0" w:name="List Bullet 5"/>
    <w:lsdException w:unhideWhenUsed="0" w:uiPriority="99" w:semiHidden="0" w:name="List Number 2"/>
    <w:lsdException w:unhideWhenUsed="0" w:uiPriority="99" w:semiHidden="0" w:name="List Number 3"/>
    <w:lsdException w:unhideWhenUsed="0" w:uiPriority="99" w:semiHidden="0" w:name="List Number 4"/>
    <w:lsdException w:unhideWhenUsed="0" w:uiPriority="99" w:semiHidden="0" w:name="List Number 5"/>
    <w:lsdException w:unhideWhenUsed="0" w:uiPriority="99" w:semiHidden="0" w:name="Title"/>
    <w:lsdException w:unhideWhenUsed="0" w:uiPriority="99" w:semiHidden="0" w:name="Closing"/>
    <w:lsdException w:unhideWhenUsed="0" w:uiPriority="99" w:semiHidden="0" w:name="Signature"/>
    <w:lsdException w:qFormat="1" w:uiPriority="1" w:name="Default Paragraph Font"/>
    <w:lsdException w:qFormat="1" w:unhideWhenUsed="0" w:uiPriority="0" w:semiHidden="0" w:name="Body Text"/>
    <w:lsdException w:unhideWhenUsed="0" w:uiPriority="99" w:semiHidden="0" w:name="Body Text Indent"/>
    <w:lsdException w:unhideWhenUsed="0" w:uiPriority="99" w:semiHidden="0" w:name="List Continue"/>
    <w:lsdException w:unhideWhenUsed="0" w:uiPriority="99" w:semiHidden="0" w:name="List Continue 2"/>
    <w:lsdException w:unhideWhenUsed="0" w:uiPriority="99" w:semiHidden="0" w:name="List Continue 3"/>
    <w:lsdException w:unhideWhenUsed="0" w:uiPriority="99" w:semiHidden="0" w:name="List Continue 4"/>
    <w:lsdException w:unhideWhenUsed="0" w:uiPriority="99" w:semiHidden="0" w:name="List Continue 5"/>
    <w:lsdException w:unhideWhenUsed="0" w:uiPriority="99" w:semiHidden="0" w:name="Message Header"/>
    <w:lsdException w:unhideWhenUsed="0" w:uiPriority="99" w:semiHidden="0" w:name="Subtitle"/>
    <w:lsdException w:unhideWhenUsed="0" w:uiPriority="99" w:semiHidden="0" w:name="Salutation"/>
    <w:lsdException w:unhideWhenUsed="0" w:uiPriority="99" w:semiHidden="0" w:name="Date"/>
    <w:lsdException w:qFormat="1" w:unhideWhenUsed="0" w:uiPriority="0" w:semiHidden="0" w:name="Body Text First Indent"/>
    <w:lsdException w:unhideWhenUsed="0" w:uiPriority="99" w:semiHidden="0" w:name="Body Text First Indent 2"/>
    <w:lsdException w:unhideWhenUsed="0" w:uiPriority="99" w:semiHidden="0" w:name="Note Heading"/>
    <w:lsdException w:unhideWhenUsed="0" w:uiPriority="99" w:semiHidden="0" w:name="Body Text 2"/>
    <w:lsdException w:unhideWhenUsed="0" w:uiPriority="99" w:semiHidden="0" w:name="Body Text 3"/>
    <w:lsdException w:unhideWhenUsed="0" w:uiPriority="99" w:semiHidden="0" w:name="Body Text Indent 2"/>
    <w:lsdException w:unhideWhenUsed="0" w:uiPriority="99" w:semiHidden="0" w:name="Body Text Indent 3"/>
    <w:lsdException w:unhideWhenUsed="0" w:uiPriority="99" w:semiHidden="0" w:name="Block Text"/>
    <w:lsdException w:unhideWhenUsed="0" w:uiPriority="99" w:semiHidden="0" w:name="Hyperlink"/>
    <w:lsdException w:unhideWhenUsed="0" w:uiPriority="99" w:semiHidden="0" w:name="FollowedHyperlink"/>
    <w:lsdException w:qFormat="1" w:unhideWhenUsed="0" w:uiPriority="0" w:semiHidden="0" w:name="Strong"/>
    <w:lsdException w:qFormat="1" w:unhideWhenUsed="0" w:uiPriority="0" w:semiHidden="0" w:name="Emphasis"/>
    <w:lsdException w:unhideWhenUsed="0" w:uiPriority="99" w:semiHidden="0" w:name="Document Map"/>
    <w:lsdException w:unhideWhenUsed="0" w:uiPriority="99" w:semiHidden="0" w:name="Plain Text"/>
    <w:lsdException w:unhideWhenUsed="0" w:uiPriority="99" w:semiHidden="0" w:name="E-mail Signature"/>
    <w:lsdException w:qFormat="1" w:unhideWhenUsed="0" w:uiPriority="99" w:semiHidden="0" w:name="Normal (Web)"/>
    <w:lsdException w:unhideWhenUsed="0" w:uiPriority="99" w:semiHidden="0" w:name="HTML Acronym"/>
    <w:lsdException w:unhideWhenUsed="0" w:uiPriority="99" w:semiHidden="0" w:name="HTML Address"/>
    <w:lsdException w:unhideWhenUsed="0" w:uiPriority="99" w:semiHidden="0" w:name="HTML Cite"/>
    <w:lsdException w:unhideWhenUsed="0" w:uiPriority="99" w:semiHidden="0" w:name="HTML Code"/>
    <w:lsdException w:unhideWhenUsed="0" w:uiPriority="99" w:semiHidden="0" w:name="HTML Definition"/>
    <w:lsdException w:unhideWhenUsed="0" w:uiPriority="99" w:semiHidden="0" w:name="HTML Keyboard"/>
    <w:lsdException w:unhideWhenUsed="0" w:uiPriority="99" w:semiHidden="0" w:name="HTML Preformatted"/>
    <w:lsdException w:unhideWhenUsed="0" w:uiPriority="99" w:semiHidden="0" w:name="HTML Sample"/>
    <w:lsdException w:unhideWhenUsed="0" w:uiPriority="99" w:semiHidden="0" w:name="HTML Typewriter"/>
    <w:lsdException w:unhideWhenUsed="0" w:uiPriority="99" w:semiHidden="0"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unhideWhenUsed/>
    <w:qFormat/>
    <w:uiPriority w:val="99"/>
    <w:pPr>
      <w:keepNext/>
      <w:keepLines/>
      <w:spacing w:before="260" w:beforeLines="0" w:beforeAutospacing="0" w:after="260" w:afterLines="0" w:afterAutospacing="0" w:line="413" w:lineRule="auto"/>
      <w:outlineLvl w:val="2"/>
    </w:pPr>
    <w:rPr>
      <w:b/>
      <w:sz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4"/>
    <w:qFormat/>
    <w:uiPriority w:val="0"/>
    <w:pPr>
      <w:jc w:val="left"/>
    </w:pPr>
  </w:style>
  <w:style w:type="paragraph" w:styleId="4">
    <w:name w:val="Body Text"/>
    <w:basedOn w:val="1"/>
    <w:qFormat/>
    <w:uiPriority w:val="0"/>
    <w:pPr>
      <w:spacing w:after="120"/>
    </w:pPr>
  </w:style>
  <w:style w:type="paragraph" w:styleId="5">
    <w:name w:val="Balloon Text"/>
    <w:basedOn w:val="1"/>
    <w:link w:val="19"/>
    <w:qFormat/>
    <w:uiPriority w:val="99"/>
    <w:rPr>
      <w:sz w:val="18"/>
      <w:szCs w:val="18"/>
    </w:rPr>
  </w:style>
  <w:style w:type="paragraph" w:styleId="6">
    <w:name w:val="footer"/>
    <w:basedOn w:val="1"/>
    <w:link w:val="21"/>
    <w:qFormat/>
    <w:uiPriority w:val="99"/>
    <w:pPr>
      <w:tabs>
        <w:tab w:val="center" w:pos="4153"/>
        <w:tab w:val="right" w:pos="8306"/>
      </w:tabs>
      <w:snapToGrid w:val="0"/>
      <w:jc w:val="left"/>
    </w:pPr>
    <w:rPr>
      <w:sz w:val="18"/>
      <w:szCs w:val="18"/>
    </w:rPr>
  </w:style>
  <w:style w:type="paragraph" w:styleId="7">
    <w:name w:val="header"/>
    <w:basedOn w:val="1"/>
    <w:link w:val="20"/>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99"/>
    <w:pPr>
      <w:spacing w:beforeAutospacing="1" w:afterAutospacing="1"/>
      <w:jc w:val="left"/>
    </w:pPr>
    <w:rPr>
      <w:kern w:val="0"/>
      <w:sz w:val="24"/>
    </w:rPr>
  </w:style>
  <w:style w:type="paragraph" w:styleId="9">
    <w:name w:val="annotation subject"/>
    <w:basedOn w:val="3"/>
    <w:next w:val="3"/>
    <w:link w:val="25"/>
    <w:qFormat/>
    <w:uiPriority w:val="99"/>
    <w:rPr>
      <w:b/>
      <w:bCs/>
    </w:rPr>
  </w:style>
  <w:style w:type="paragraph" w:styleId="10">
    <w:name w:val="Body Text First Indent"/>
    <w:basedOn w:val="4"/>
    <w:qFormat/>
    <w:uiPriority w:val="0"/>
    <w:pPr>
      <w:widowControl w:val="0"/>
      <w:spacing w:after="120"/>
      <w:ind w:firstLine="420" w:firstLineChars="100"/>
      <w:jc w:val="both"/>
    </w:pPr>
    <w:rPr>
      <w:rFonts w:ascii="Times New Roman" w:hAnsi="Times New Roman" w:eastAsia="宋体" w:cs="Times New Roman"/>
      <w:kern w:val="2"/>
      <w:szCs w:val="24"/>
      <w:lang w:eastAsia="zh-CN"/>
    </w:rPr>
  </w:style>
  <w:style w:type="table" w:styleId="12">
    <w:name w:val="Table Grid"/>
    <w:basedOn w:val="11"/>
    <w:qFormat/>
    <w:uiPriority w:val="0"/>
    <w:tblPr>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Pr>
    <w:tcPr>
      <w:vAlign w:val="center"/>
    </w:tcPr>
  </w:style>
  <w:style w:type="character" w:styleId="14">
    <w:name w:val="Strong"/>
    <w:basedOn w:val="13"/>
    <w:qFormat/>
    <w:uiPriority w:val="0"/>
    <w:rPr>
      <w:b/>
    </w:rPr>
  </w:style>
  <w:style w:type="character" w:styleId="15">
    <w:name w:val="Emphasis"/>
    <w:basedOn w:val="13"/>
    <w:qFormat/>
    <w:uiPriority w:val="0"/>
    <w:rPr>
      <w:i/>
    </w:rPr>
  </w:style>
  <w:style w:type="character" w:styleId="16">
    <w:name w:val="annotation reference"/>
    <w:basedOn w:val="13"/>
    <w:qFormat/>
    <w:uiPriority w:val="99"/>
    <w:rPr>
      <w:sz w:val="21"/>
      <w:szCs w:val="21"/>
    </w:rPr>
  </w:style>
  <w:style w:type="paragraph" w:customStyle="1" w:styleId="17">
    <w:name w:val="正文2"/>
    <w:autoRedefine/>
    <w:qFormat/>
    <w:uiPriority w:val="0"/>
    <w:pPr>
      <w:widowControl w:val="0"/>
      <w:suppressAutoHyphens/>
      <w:jc w:val="both"/>
    </w:pPr>
    <w:rPr>
      <w:rFonts w:ascii="Calibri" w:hAnsi="Calibri" w:eastAsia="宋体" w:cs="Times New Roman"/>
      <w:kern w:val="2"/>
      <w:sz w:val="21"/>
      <w:szCs w:val="24"/>
      <w:lang w:val="en-US" w:eastAsia="zh-CN" w:bidi="ar-SA"/>
    </w:rPr>
  </w:style>
  <w:style w:type="paragraph" w:customStyle="1" w:styleId="18">
    <w:name w:val="普通(网站)1"/>
    <w:basedOn w:val="1"/>
    <w:qFormat/>
    <w:uiPriority w:val="0"/>
    <w:rPr>
      <w:sz w:val="24"/>
    </w:rPr>
  </w:style>
  <w:style w:type="character" w:customStyle="1" w:styleId="19">
    <w:name w:val="批注框文本 字符"/>
    <w:basedOn w:val="13"/>
    <w:link w:val="5"/>
    <w:autoRedefine/>
    <w:qFormat/>
    <w:uiPriority w:val="99"/>
    <w:rPr>
      <w:kern w:val="2"/>
      <w:sz w:val="18"/>
      <w:szCs w:val="18"/>
    </w:rPr>
  </w:style>
  <w:style w:type="character" w:customStyle="1" w:styleId="20">
    <w:name w:val="页眉 字符"/>
    <w:basedOn w:val="13"/>
    <w:link w:val="7"/>
    <w:qFormat/>
    <w:uiPriority w:val="99"/>
    <w:rPr>
      <w:kern w:val="2"/>
      <w:sz w:val="18"/>
      <w:szCs w:val="18"/>
    </w:rPr>
  </w:style>
  <w:style w:type="character" w:customStyle="1" w:styleId="21">
    <w:name w:val="页脚 字符"/>
    <w:basedOn w:val="13"/>
    <w:link w:val="6"/>
    <w:autoRedefine/>
    <w:qFormat/>
    <w:uiPriority w:val="99"/>
    <w:rPr>
      <w:kern w:val="2"/>
      <w:sz w:val="18"/>
      <w:szCs w:val="18"/>
    </w:rPr>
  </w:style>
  <w:style w:type="character" w:customStyle="1" w:styleId="22">
    <w:name w:val="ca-61"/>
    <w:qFormat/>
    <w:uiPriority w:val="0"/>
    <w:rPr>
      <w:rFonts w:hint="eastAsia" w:ascii="宋体" w:hAnsi="宋体" w:eastAsia="宋体"/>
      <w:sz w:val="24"/>
      <w:szCs w:val="24"/>
    </w:rPr>
  </w:style>
  <w:style w:type="paragraph" w:styleId="23">
    <w:name w:val="List Paragraph"/>
    <w:basedOn w:val="1"/>
    <w:autoRedefine/>
    <w:qFormat/>
    <w:uiPriority w:val="99"/>
    <w:pPr>
      <w:ind w:firstLine="420" w:firstLineChars="200"/>
    </w:pPr>
  </w:style>
  <w:style w:type="character" w:customStyle="1" w:styleId="24">
    <w:name w:val="批注文字 字符"/>
    <w:basedOn w:val="13"/>
    <w:link w:val="3"/>
    <w:qFormat/>
    <w:uiPriority w:val="0"/>
    <w:rPr>
      <w:kern w:val="2"/>
      <w:sz w:val="21"/>
      <w:szCs w:val="24"/>
    </w:rPr>
  </w:style>
  <w:style w:type="character" w:customStyle="1" w:styleId="25">
    <w:name w:val="批注主题 字符"/>
    <w:basedOn w:val="24"/>
    <w:link w:val="9"/>
    <w:qFormat/>
    <w:uiPriority w:val="99"/>
    <w:rPr>
      <w:b/>
      <w:bCs/>
      <w:kern w:val="2"/>
      <w:sz w:val="21"/>
      <w:szCs w:val="24"/>
    </w:rPr>
  </w:style>
  <w:style w:type="paragraph" w:customStyle="1" w:styleId="26">
    <w:name w:val="修订1"/>
    <w:hidden/>
    <w:unhideWhenUsed/>
    <w:qFormat/>
    <w:uiPriority w:val="99"/>
    <w:rPr>
      <w:rFonts w:ascii="Times New Roman" w:hAnsi="Times New Roman" w:eastAsia="宋体" w:cs="Times New Roman"/>
      <w:kern w:val="2"/>
      <w:sz w:val="21"/>
      <w:szCs w:val="24"/>
      <w:lang w:val="en-US" w:eastAsia="zh-CN" w:bidi="ar-SA"/>
    </w:rPr>
  </w:style>
  <w:style w:type="paragraph" w:customStyle="1" w:styleId="27">
    <w:name w:val="正文_2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1.xml"/><Relationship Id="rId8" Type="http://schemas.openxmlformats.org/officeDocument/2006/relationships/header" Target="header6.xml"/><Relationship Id="rId7" Type="http://schemas.openxmlformats.org/officeDocument/2006/relationships/header" Target="header5.xml"/><Relationship Id="rId6" Type="http://schemas.openxmlformats.org/officeDocument/2006/relationships/header" Target="header4.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3.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footer" Target="footer2.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rotWithShape="0">
          <a:gsLst>
            <a:gs pos="0">
              <a:schemeClr val="phClr">
                <a:lumOff val="17500"/>
              </a:schemeClr>
            </a:gs>
            <a:gs pos="100000">
              <a:schemeClr val="phClr"/>
            </a:gs>
          </a:gsLst>
          <a:lin ang="2700000" scaled="0"/>
        </a:gradFill>
        <a:gradFill rotWithShape="0">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prstDash val="solid"/>
          <a:miter lim="800000"/>
        </a:ln>
      </a:lnStyleLst>
      <a:effectStyleLst>
        <a:effectStyle>
          <a:effectLst>
            <a:outerShdw blurRad="101600" dist="50800" dir="5400000" algn="ctr" rotWithShape="0">
              <a:schemeClr val="phClr">
                <a:alpha val="60000"/>
              </a:schemeClr>
            </a:outerShdw>
          </a:effectLst>
        </a:effectStyle>
        <a:effectStyle>
          <a:effectLst>
            <a:reflection algn="tl"/>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4145"/>
    <customShpInfo spid="_x0000_s4146"/>
    <customShpInfo spid="_x0000_s4147"/>
    <customShpInfo spid="_x0000_s4148"/>
    <customShpInfo spid="_x0000_s4149"/>
    <customShpInfo spid="_x0000_s4150"/>
    <customShpInfo spid="_x0000_s4151"/>
    <customShpInfo spid="_x0000_s4152"/>
    <customShpInfo spid="_x0000_s4153"/>
    <customShpInfo spid="_x0000_s4154"/>
    <customShpInfo spid="_x0000_s4155"/>
    <customShpInfo spid="_x0000_s4156"/>
    <customShpInfo spid="_x0000_s4157"/>
    <customShpInfo spid="_x0000_s4158"/>
    <customShpInfo spid="_x0000_s4159"/>
    <customShpInfo spid="_x0000_s4160"/>
    <customShpInfo spid="_x0000_s4161"/>
    <customShpInfo spid="_x0000_s4162"/>
    <customShpInfo spid="_x0000_s4163"/>
    <customShpInfo spid="_x0000_s4164"/>
    <customShpInfo spid="_x0000_s4165"/>
    <customShpInfo spid="_x0000_s4166"/>
    <customShpInfo spid="_x0000_s4167"/>
    <customShpInfo spid="_x0000_s4168"/>
    <customShpInfo spid="_x0000_s4169"/>
    <customShpInfo spid="_x0000_s4170"/>
    <customShpInfo spid="_x0000_s4171"/>
    <customShpInfo spid="_x0000_s4172"/>
    <customShpInfo spid="_x0000_s4173"/>
    <customShpInfo spid="_x0000_s4174"/>
    <customShpInfo spid="_x0000_s4175"/>
    <customShpInfo spid="_x0000_s4176"/>
    <customShpInfo spid="_x0000_s4177"/>
    <customShpInfo spid="_x0000_s4178"/>
    <customShpInfo spid="_x0000_s4179"/>
    <customShpInfo spid="_x0000_s4180"/>
    <customShpInfo spid="_x0000_s4181"/>
    <customShpInfo spid="_x0000_s4182"/>
    <customShpInfo spid="_x0000_s4183"/>
    <customShpInfo spid="_x0000_s4184"/>
    <customShpInfo spid="_x0000_s4185"/>
    <customShpInfo spid="_x0000_s4186"/>
    <customShpInfo spid="_x0000_s4187"/>
    <customShpInfo spid="_x0000_s4188"/>
    <customShpInfo spid="_x0000_s4189"/>
    <customShpInfo spid="_x0000_s4190"/>
    <customShpInfo spid="_x0000_s4191"/>
    <customShpInfo spid="_x0000_s4192"/>
    <customShpInfo spid="_x0000_s4193"/>
    <customShpInfo spid="_x0000_s4194"/>
    <customShpInfo spid="_x0000_s4195"/>
    <customShpInfo spid="_x0000_s4196"/>
    <customShpInfo spid="_x0000_s4197"/>
    <customShpInfo spid="_x0000_s4198"/>
    <customShpInfo spid="_x0000_s4199"/>
    <customShpInfo spid="_x0000_s4200"/>
    <customShpInfo spid="_x0000_s4201"/>
    <customShpInfo spid="_x0000_s4202"/>
    <customShpInfo spid="_x0000_s4203"/>
    <customShpInfo spid="_x0000_s4204"/>
    <customShpInfo spid="_x0000_s4205"/>
    <customShpInfo spid="_x0000_s4206"/>
    <customShpInfo spid="_x0000_s4207"/>
    <customShpInfo spid="_x0000_s4208"/>
    <customShpInfo spid="_x0000_s4209"/>
    <customShpInfo spid="_x0000_s4210"/>
    <customShpInfo spid="_x0000_s4211"/>
    <customShpInfo spid="_x0000_s4212"/>
    <customShpInfo spid="_x0000_s4213"/>
    <customShpInfo spid="_x0000_s4214"/>
    <customShpInfo spid="_x0000_s4215"/>
    <customShpInfo spid="_x0000_s4216"/>
    <customShpInfo spid="_x0000_s4217"/>
    <customShpInfo spid="_x0000_s4218"/>
    <customShpInfo spid="_x0000_s4219"/>
    <customShpInfo spid="_x0000_s4220"/>
    <customShpInfo spid="_x0000_s4221"/>
    <customShpInfo spid="_x0000_s4222"/>
    <customShpInfo spid="_x0000_s4223"/>
    <customShpInfo spid="_x0000_s4224"/>
    <customShpInfo spid="_x0000_s4225"/>
    <customShpInfo spid="_x0000_s4226"/>
    <customShpInfo spid="_x0000_s4227"/>
    <customShpInfo spid="_x0000_s4228"/>
    <customShpInfo spid="_x0000_s4229"/>
    <customShpInfo spid="_x0000_s4230"/>
    <customShpInfo spid="_x0000_s4231"/>
    <customShpInfo spid="_x0000_s4232"/>
    <customShpInfo spid="_x0000_s4233"/>
    <customShpInfo spid="_x0000_s4234"/>
    <customShpInfo spid="_x0000_s4235"/>
    <customShpInfo spid="_x0000_s4236"/>
    <customShpInfo spid="_x0000_s4237"/>
    <customShpInfo spid="_x0000_s4238"/>
    <customShpInfo spid="_x0000_s4239"/>
    <customShpInfo spid="_x0000_s4240"/>
    <customShpInfo spid="_x0000_s4241"/>
    <customShpInfo spid="_x0000_s4242"/>
    <customShpInfo spid="_x0000_s4243"/>
    <customShpInfo spid="_x0000_s4244"/>
    <customShpInfo spid="_x0000_s4245"/>
    <customShpInfo spid="_x0000_s4246"/>
    <customShpInfo spid="_x0000_s4247"/>
    <customShpInfo spid="_x0000_s4248"/>
    <customShpInfo spid="_x0000_s4249"/>
    <customShpInfo spid="_x0000_s4250"/>
    <customShpInfo spid="_x0000_s4251"/>
    <customShpInfo spid="_x0000_s4252"/>
    <customShpInfo spid="_x0000_s4253"/>
    <customShpInfo spid="_x0000_s4254"/>
    <customShpInfo spid="_x0000_s4255"/>
    <customShpInfo spid="_x0000_s4256"/>
    <customShpInfo spid="_x0000_s4257"/>
    <customShpInfo spid="_x0000_s4258"/>
    <customShpInfo spid="_x0000_s4259"/>
    <customShpInfo spid="_x0000_s4260"/>
    <customShpInfo spid="_x0000_s4261"/>
    <customShpInfo spid="_x0000_s4262"/>
    <customShpInfo spid="_x0000_s4263"/>
    <customShpInfo spid="_x0000_s4264"/>
    <customShpInfo spid="_x0000_s4265"/>
    <customShpInfo spid="_x0000_s4266"/>
    <customShpInfo spid="_x0000_s4267"/>
    <customShpInfo spid="_x0000_s4268"/>
    <customShpInfo spid="_x0000_s4269"/>
    <customShpInfo spid="_x0000_s4270"/>
    <customShpInfo spid="_x0000_s4271"/>
    <customShpInfo spid="_x0000_s4272"/>
    <customShpInfo spid="_x0000_s4273"/>
    <customShpInfo spid="_x0000_s4274"/>
    <customShpInfo spid="_x0000_s4275"/>
    <customShpInfo spid="_x0000_s4276"/>
    <customShpInfo spid="_x0000_s4277"/>
    <customShpInfo spid="_x0000_s4278"/>
    <customShpInfo spid="_x0000_s4279"/>
    <customShpInfo spid="_x0000_s4280"/>
    <customShpInfo spid="_x0000_s4281"/>
    <customShpInfo spid="_x0000_s4282"/>
    <customShpInfo spid="_x0000_s4283"/>
    <customShpInfo spid="_x0000_s4284"/>
    <customShpInfo spid="_x0000_s4285"/>
    <customShpInfo spid="_x0000_s4286"/>
    <customShpInfo spid="_x0000_s4287"/>
    <customShpInfo spid="_x0000_s4288"/>
    <customShpInfo spid="_x0000_s4289"/>
    <customShpInfo spid="_x0000_s4290"/>
    <customShpInfo spid="_x0000_s4291"/>
    <customShpInfo spid="_x0000_s4292"/>
    <customShpInfo spid="_x0000_s4293"/>
    <customShpInfo spid="_x0000_s4294"/>
    <customShpInfo spid="_x0000_s4295"/>
    <customShpInfo spid="_x0000_s4296"/>
    <customShpInfo spid="_x0000_s4297"/>
    <customShpInfo spid="_x0000_s4298"/>
    <customShpInfo spid="_x0000_s4299"/>
    <customShpInfo spid="_x0000_s4300"/>
    <customShpInfo spid="_x0000_s4301"/>
    <customShpInfo spid="_x0000_s4302"/>
    <customShpInfo spid="_x0000_s4303"/>
    <customShpInfo spid="_x0000_s4304"/>
    <customShpInfo spid="_x0000_s4305"/>
    <customShpInfo spid="_x0000_s4306"/>
    <customShpInfo spid="_x0000_s4307"/>
    <customShpInfo spid="_x0000_s4308"/>
    <customShpInfo spid="_x0000_s4309"/>
    <customShpInfo spid="_x0000_s4310"/>
    <customShpInfo spid="_x0000_s4311"/>
    <customShpInfo spid="_x0000_s4312"/>
    <customShpInfo spid="_x0000_s4313"/>
    <customShpInfo spid="_x0000_s4314"/>
    <customShpInfo spid="_x0000_s4315"/>
    <customShpInfo spid="_x0000_s4316"/>
    <customShpInfo spid="_x0000_s4317"/>
    <customShpInfo spid="_x0000_s4318"/>
    <customShpInfo spid="_x0000_s4319"/>
    <customShpInfo spid="_x0000_s4320"/>
    <customShpInfo spid="_x0000_s4321"/>
    <customShpInfo spid="_x0000_s4322"/>
    <customShpInfo spid="_x0000_s4323"/>
    <customShpInfo spid="_x0000_s4324"/>
    <customShpInfo spid="_x0000_s4325"/>
    <customShpInfo spid="_x0000_s4326"/>
    <customShpInfo spid="_x0000_s4327"/>
    <customShpInfo spid="_x0000_s4328"/>
    <customShpInfo spid="_x0000_s4329"/>
    <customShpInfo spid="_x0000_s4330"/>
    <customShpInfo spid="_x0000_s4331"/>
    <customShpInfo spid="_x0000_s4332"/>
    <customShpInfo spid="_x0000_s4333"/>
    <customShpInfo spid="_x0000_s4334"/>
    <customShpInfo spid="_x0000_s4335"/>
    <customShpInfo spid="_x0000_s4336"/>
    <customShpInfo spid="_x0000_s4337"/>
    <customShpInfo spid="_x0000_s4338"/>
    <customShpInfo spid="_x0000_s4339"/>
    <customShpInfo spid="_x0000_s4340"/>
    <customShpInfo spid="_x0000_s4341"/>
    <customShpInfo spid="_x0000_s4342"/>
    <customShpInfo spid="_x0000_s4343"/>
    <customShpInfo spid="_x0000_s4344"/>
    <customShpInfo spid="_x0000_s4345"/>
    <customShpInfo spid="_x0000_s4346"/>
    <customShpInfo spid="_x0000_s4347"/>
    <customShpInfo spid="_x0000_s4348"/>
    <customShpInfo spid="_x0000_s4349"/>
    <customShpInfo spid="_x0000_s4350"/>
    <customShpInfo spid="_x0000_s4351"/>
    <customShpInfo spid="_x0000_s4352"/>
    <customShpInfo spid="_x0000_s4353"/>
    <customShpInfo spid="_x0000_s4354"/>
    <customShpInfo spid="_x0000_s4355"/>
    <customShpInfo spid="_x0000_s4356"/>
    <customShpInfo spid="_x0000_s4357"/>
    <customShpInfo spid="_x0000_s4358"/>
    <customShpInfo spid="_x0000_s4359"/>
    <customShpInfo spid="_x0000_s4360"/>
    <customShpInfo spid="_x0000_s4361"/>
    <customShpInfo spid="_x0000_s4362"/>
    <customShpInfo spid="_x0000_s4363"/>
    <customShpInfo spid="_x0000_s4364"/>
    <customShpInfo spid="_x0000_s4365"/>
    <customShpInfo spid="_x0000_s4366"/>
    <customShpInfo spid="_x0000_s4367"/>
    <customShpInfo spid="_x0000_s4368"/>
    <customShpInfo spid="_x0000_s4369"/>
    <customShpInfo spid="_x0000_s4370"/>
    <customShpInfo spid="_x0000_s4371"/>
    <customShpInfo spid="_x0000_s4372"/>
    <customShpInfo spid="_x0000_s4373"/>
    <customShpInfo spid="_x0000_s4374"/>
    <customShpInfo spid="_x0000_s4375"/>
    <customShpInfo spid="_x0000_s4376"/>
    <customShpInfo spid="_x0000_s4377"/>
    <customShpInfo spid="_x0000_s4378"/>
    <customShpInfo spid="_x0000_s4379"/>
    <customShpInfo spid="_x0000_s4380"/>
    <customShpInfo spid="_x0000_s4381"/>
    <customShpInfo spid="_x0000_s4382"/>
    <customShpInfo spid="_x0000_s4383"/>
    <customShpInfo spid="_x0000_s4384"/>
    <customShpInfo spid="_x0000_s4385"/>
    <customShpInfo spid="_x0000_s4386"/>
    <customShpInfo spid="_x0000_s4387"/>
    <customShpInfo spid="_x0000_s4388"/>
    <customShpInfo spid="_x0000_s4389"/>
    <customShpInfo spid="_x0000_s4390"/>
    <customShpInfo spid="_x0000_s4391"/>
    <customShpInfo spid="_x0000_s4392"/>
    <customShpInfo spid="_x0000_s4393"/>
    <customShpInfo spid="_x0000_s4394"/>
    <customShpInfo spid="_x0000_s4395"/>
    <customShpInfo spid="_x0000_s4396"/>
    <customShpInfo spid="_x0000_s4397"/>
    <customShpInfo spid="_x0000_s4398"/>
    <customShpInfo spid="_x0000_s4399"/>
    <customShpInfo spid="_x0000_s4400"/>
    <customShpInfo spid="_x0000_s4401"/>
    <customShpInfo spid="_x0000_s4402"/>
    <customShpInfo spid="_x0000_s4403"/>
    <customShpInfo spid="_x0000_s4404"/>
    <customShpInfo spid="_x0000_s4405"/>
    <customShpInfo spid="_x0000_s4406"/>
    <customShpInfo spid="_x0000_s4407"/>
    <customShpInfo spid="_x0000_s4408"/>
    <customShpInfo spid="_x0000_s4409"/>
    <customShpInfo spid="_x0000_s4410"/>
    <customShpInfo spid="_x0000_s4411"/>
    <customShpInfo spid="_x0000_s4412"/>
    <customShpInfo spid="_x0000_s4413"/>
    <customShpInfo spid="_x0000_s4414"/>
    <customShpInfo spid="_x0000_s4415"/>
    <customShpInfo spid="_x0000_s4416"/>
    <customShpInfo spid="_x0000_s4417"/>
    <customShpInfo spid="_x0000_s4418"/>
    <customShpInfo spid="_x0000_s4419"/>
    <customShpInfo spid="_x0000_s4420"/>
    <customShpInfo spid="_x0000_s4421"/>
    <customShpInfo spid="_x0000_s4422"/>
    <customShpInfo spid="_x0000_s4423"/>
    <customShpInfo spid="_x0000_s4424"/>
    <customShpInfo spid="_x0000_s4425"/>
    <customShpInfo spid="_x0000_s4426"/>
    <customShpInfo spid="_x0000_s4427"/>
    <customShpInfo spid="_x0000_s4428"/>
    <customShpInfo spid="_x0000_s4429"/>
    <customShpInfo spid="_x0000_s4430"/>
    <customShpInfo spid="_x0000_s4431"/>
    <customShpInfo spid="_x0000_s4432"/>
    <customShpInfo spid="_x0000_s4433"/>
    <customShpInfo spid="_x0000_s4434"/>
    <customShpInfo spid="_x0000_s4435"/>
    <customShpInfo spid="_x0000_s4436"/>
    <customShpInfo spid="_x0000_s4437"/>
    <customShpInfo spid="_x0000_s4438"/>
    <customShpInfo spid="_x0000_s4439"/>
    <customShpInfo spid="_x0000_s4440"/>
    <customShpInfo spid="_x0000_s4441"/>
    <customShpInfo spid="_x0000_s4442"/>
    <customShpInfo spid="_x0000_s4443"/>
    <customShpInfo spid="_x0000_s4444"/>
    <customShpInfo spid="_x0000_s4445"/>
    <customShpInfo spid="_x0000_s4446"/>
    <customShpInfo spid="_x0000_s4447"/>
    <customShpInfo spid="_x0000_s4448"/>
    <customShpInfo spid="_x0000_s4449"/>
    <customShpInfo spid="_x0000_s4450"/>
    <customShpInfo spid="_x0000_s4451"/>
    <customShpInfo spid="_x0000_s4452"/>
    <customShpInfo spid="_x0000_s4453"/>
    <customShpInfo spid="_x0000_s4454"/>
    <customShpInfo spid="_x0000_s4455"/>
    <customShpInfo spid="_x0000_s4456"/>
    <customShpInfo spid="_x0000_s4457"/>
    <customShpInfo spid="_x0000_s4458"/>
    <customShpInfo spid="_x0000_s4459"/>
    <customShpInfo spid="_x0000_s4460"/>
    <customShpInfo spid="_x0000_s4461"/>
    <customShpInfo spid="_x0000_s4462"/>
    <customShpInfo spid="_x0000_s4463"/>
    <customShpInfo spid="_x0000_s4464"/>
    <customShpInfo spid="_x0000_s4673"/>
    <customShpInfo spid="_x0000_s4674"/>
    <customShpInfo spid="_x0000_s4675"/>
    <customShpInfo spid="_x0000_s4676"/>
    <customShpInfo spid="_x0000_s4677"/>
    <customShpInfo spid="_x0000_s4678"/>
    <customShpInfo spid="_x0000_s4679"/>
    <customShpInfo spid="_x0000_s4680"/>
    <customShpInfo spid="_x0000_s4681"/>
    <customShpInfo spid="_x0000_s4682"/>
    <customShpInfo spid="_x0000_s4683"/>
    <customShpInfo spid="_x0000_s4684"/>
    <customShpInfo spid="_x0000_s4685"/>
    <customShpInfo spid="_x0000_s4686"/>
    <customShpInfo spid="_x0000_s4687"/>
    <customShpInfo spid="_x0000_s4688"/>
    <customShpInfo spid="_x0000_s4689"/>
    <customShpInfo spid="_x0000_s4690"/>
    <customShpInfo spid="_x0000_s4691"/>
    <customShpInfo spid="_x0000_s4692"/>
    <customShpInfo spid="_x0000_s4693"/>
    <customShpInfo spid="_x0000_s4694"/>
    <customShpInfo spid="_x0000_s4695"/>
    <customShpInfo spid="_x0000_s4696"/>
    <customShpInfo spid="_x0000_s4697"/>
    <customShpInfo spid="_x0000_s4698"/>
    <customShpInfo spid="_x0000_s4699"/>
    <customShpInfo spid="_x0000_s4700"/>
    <customShpInfo spid="_x0000_s4701"/>
    <customShpInfo spid="_x0000_s4702"/>
    <customShpInfo spid="_x0000_s4703"/>
    <customShpInfo spid="_x0000_s4704"/>
    <customShpInfo spid="_x0000_s4705"/>
    <customShpInfo spid="_x0000_s4706"/>
    <customShpInfo spid="_x0000_s4707"/>
    <customShpInfo spid="_x0000_s4708"/>
    <customShpInfo spid="_x0000_s4709"/>
    <customShpInfo spid="_x0000_s4710"/>
    <customShpInfo spid="_x0000_s4711"/>
    <customShpInfo spid="_x0000_s4712"/>
    <customShpInfo spid="_x0000_s4713"/>
    <customShpInfo spid="_x0000_s4714"/>
    <customShpInfo spid="_x0000_s4715"/>
    <customShpInfo spid="_x0000_s4716"/>
    <customShpInfo spid="_x0000_s4717"/>
    <customShpInfo spid="_x0000_s4718"/>
    <customShpInfo spid="_x0000_s4719"/>
    <customShpInfo spid="_x0000_s4720"/>
    <customShpInfo spid="_x0000_s4721"/>
    <customShpInfo spid="_x0000_s4722"/>
    <customShpInfo spid="_x0000_s4723"/>
    <customShpInfo spid="_x0000_s4724"/>
    <customShpInfo spid="_x0000_s4725"/>
    <customShpInfo spid="_x0000_s4726"/>
    <customShpInfo spid="_x0000_s4727"/>
    <customShpInfo spid="_x0000_s4728"/>
    <customShpInfo spid="_x0000_s4729"/>
    <customShpInfo spid="_x0000_s4730"/>
    <customShpInfo spid="_x0000_s4731"/>
    <customShpInfo spid="_x0000_s4732"/>
    <customShpInfo spid="_x0000_s4733"/>
    <customShpInfo spid="_x0000_s4734"/>
    <customShpInfo spid="_x0000_s4735"/>
    <customShpInfo spid="_x0000_s4736"/>
    <customShpInfo spid="_x0000_s4737"/>
    <customShpInfo spid="_x0000_s4738"/>
    <customShpInfo spid="_x0000_s4739"/>
    <customShpInfo spid="_x0000_s4740"/>
    <customShpInfo spid="_x0000_s4741"/>
    <customShpInfo spid="_x0000_s4742"/>
    <customShpInfo spid="_x0000_s4743"/>
    <customShpInfo spid="_x0000_s4744"/>
    <customShpInfo spid="_x0000_s4745"/>
    <customShpInfo spid="_x0000_s4746"/>
    <customShpInfo spid="_x0000_s4747"/>
    <customShpInfo spid="_x0000_s4748"/>
    <customShpInfo spid="_x0000_s4749"/>
    <customShpInfo spid="_x0000_s4750"/>
    <customShpInfo spid="_x0000_s4751"/>
    <customShpInfo spid="_x0000_s4752"/>
    <customShpInfo spid="_x0000_s4753"/>
    <customShpInfo spid="_x0000_s4754"/>
    <customShpInfo spid="_x0000_s4755"/>
    <customShpInfo spid="_x0000_s4756"/>
    <customShpInfo spid="_x0000_s4757"/>
    <customShpInfo spid="_x0000_s4758"/>
    <customShpInfo spid="_x0000_s4759"/>
    <customShpInfo spid="_x0000_s4760"/>
    <customShpInfo spid="_x0000_s4761"/>
    <customShpInfo spid="_x0000_s4762"/>
    <customShpInfo spid="_x0000_s4763"/>
    <customShpInfo spid="_x0000_s4764"/>
    <customShpInfo spid="_x0000_s4765"/>
    <customShpInfo spid="_x0000_s4766"/>
    <customShpInfo spid="_x0000_s4767"/>
    <customShpInfo spid="_x0000_s4768"/>
    <customShpInfo spid="_x0000_s4769"/>
    <customShpInfo spid="_x0000_s4770"/>
    <customShpInfo spid="_x0000_s4771"/>
    <customShpInfo spid="_x0000_s4772"/>
    <customShpInfo spid="_x0000_s4773"/>
    <customShpInfo spid="_x0000_s4774"/>
    <customShpInfo spid="_x0000_s4775"/>
    <customShpInfo spid="_x0000_s4776"/>
    <customShpInfo spid="_x0000_s4777"/>
    <customShpInfo spid="_x0000_s4778"/>
    <customShpInfo spid="_x0000_s4779"/>
    <customShpInfo spid="_x0000_s4780"/>
    <customShpInfo spid="_x0000_s4781"/>
    <customShpInfo spid="_x0000_s4782"/>
    <customShpInfo spid="_x0000_s4783"/>
    <customShpInfo spid="_x0000_s4784"/>
    <customShpInfo spid="_x0000_s4785"/>
    <customShpInfo spid="_x0000_s4786"/>
    <customShpInfo spid="_x0000_s4787"/>
    <customShpInfo spid="_x0000_s4788"/>
    <customShpInfo spid="_x0000_s4789"/>
    <customShpInfo spid="_x0000_s4790"/>
    <customShpInfo spid="_x0000_s4791"/>
    <customShpInfo spid="_x0000_s4792"/>
    <customShpInfo spid="_x0000_s4793"/>
    <customShpInfo spid="_x0000_s4794"/>
    <customShpInfo spid="_x0000_s4795"/>
    <customShpInfo spid="_x0000_s4796"/>
    <customShpInfo spid="_x0000_s4797"/>
    <customShpInfo spid="_x0000_s4798"/>
    <customShpInfo spid="_x0000_s4799"/>
    <customShpInfo spid="_x0000_s4800"/>
    <customShpInfo spid="_x0000_s4801"/>
    <customShpInfo spid="_x0000_s4802"/>
    <customShpInfo spid="_x0000_s4803"/>
    <customShpInfo spid="_x0000_s4804"/>
    <customShpInfo spid="_x0000_s4805"/>
    <customShpInfo spid="_x0000_s4806"/>
    <customShpInfo spid="_x0000_s4807"/>
    <customShpInfo spid="_x0000_s4808"/>
    <customShpInfo spid="_x0000_s4809"/>
    <customShpInfo spid="_x0000_s4810"/>
    <customShpInfo spid="_x0000_s4811"/>
    <customShpInfo spid="_x0000_s4812"/>
    <customShpInfo spid="_x0000_s4813"/>
    <customShpInfo spid="_x0000_s4814"/>
    <customShpInfo spid="_x0000_s4815"/>
    <customShpInfo spid="_x0000_s4816"/>
    <customShpInfo spid="_x0000_s4817"/>
    <customShpInfo spid="_x0000_s4818"/>
    <customShpInfo spid="_x0000_s4819"/>
    <customShpInfo spid="_x0000_s4820"/>
    <customShpInfo spid="_x0000_s4821"/>
    <customShpInfo spid="_x0000_s4822"/>
    <customShpInfo spid="_x0000_s4823"/>
    <customShpInfo spid="_x0000_s4824"/>
    <customShpInfo spid="_x0000_s4825"/>
    <customShpInfo spid="_x0000_s4826"/>
    <customShpInfo spid="_x0000_s4827"/>
    <customShpInfo spid="_x0000_s4828"/>
    <customShpInfo spid="_x0000_s4829"/>
    <customShpInfo spid="_x0000_s4830"/>
    <customShpInfo spid="_x0000_s4831"/>
    <customShpInfo spid="_x0000_s4832"/>
    <customShpInfo spid="_x0000_s4465"/>
    <customShpInfo spid="_x0000_s4466"/>
    <customShpInfo spid="_x0000_s4467"/>
    <customShpInfo spid="_x0000_s4468"/>
    <customShpInfo spid="_x0000_s4469"/>
    <customShpInfo spid="_x0000_s4470"/>
    <customShpInfo spid="_x0000_s4471"/>
    <customShpInfo spid="_x0000_s4472"/>
    <customShpInfo spid="_x0000_s4473"/>
    <customShpInfo spid="_x0000_s4474"/>
    <customShpInfo spid="_x0000_s4475"/>
    <customShpInfo spid="_x0000_s4476"/>
    <customShpInfo spid="_x0000_s4477"/>
    <customShpInfo spid="_x0000_s4478"/>
    <customShpInfo spid="_x0000_s4479"/>
    <customShpInfo spid="_x0000_s4480"/>
    <customShpInfo spid="_x0000_s4481"/>
    <customShpInfo spid="_x0000_s4482"/>
    <customShpInfo spid="_x0000_s4483"/>
    <customShpInfo spid="_x0000_s4484"/>
    <customShpInfo spid="_x0000_s4485"/>
    <customShpInfo spid="_x0000_s4486"/>
    <customShpInfo spid="_x0000_s4487"/>
    <customShpInfo spid="_x0000_s4488"/>
    <customShpInfo spid="_x0000_s4489"/>
    <customShpInfo spid="_x0000_s4490"/>
    <customShpInfo spid="_x0000_s4491"/>
    <customShpInfo spid="_x0000_s4492"/>
    <customShpInfo spid="_x0000_s4493"/>
    <customShpInfo spid="_x0000_s4494"/>
    <customShpInfo spid="_x0000_s4495"/>
    <customShpInfo spid="_x0000_s4496"/>
    <customShpInfo spid="_x0000_s4497"/>
    <customShpInfo spid="_x0000_s4498"/>
    <customShpInfo spid="_x0000_s4499"/>
    <customShpInfo spid="_x0000_s4500"/>
    <customShpInfo spid="_x0000_s4501"/>
    <customShpInfo spid="_x0000_s4502"/>
    <customShpInfo spid="_x0000_s4503"/>
    <customShpInfo spid="_x0000_s4504"/>
    <customShpInfo spid="_x0000_s4505"/>
    <customShpInfo spid="_x0000_s4506"/>
    <customShpInfo spid="_x0000_s4507"/>
    <customShpInfo spid="_x0000_s4508"/>
    <customShpInfo spid="_x0000_s4509"/>
    <customShpInfo spid="_x0000_s4510"/>
    <customShpInfo spid="_x0000_s4511"/>
    <customShpInfo spid="_x0000_s4512"/>
    <customShpInfo spid="_x0000_s4513"/>
    <customShpInfo spid="_x0000_s4514"/>
    <customShpInfo spid="_x0000_s4515"/>
    <customShpInfo spid="_x0000_s4516"/>
    <customShpInfo spid="_x0000_s4517"/>
    <customShpInfo spid="_x0000_s4518"/>
    <customShpInfo spid="_x0000_s4519"/>
    <customShpInfo spid="_x0000_s4520"/>
    <customShpInfo spid="_x0000_s4521"/>
    <customShpInfo spid="_x0000_s4522"/>
    <customShpInfo spid="_x0000_s4523"/>
    <customShpInfo spid="_x0000_s4524"/>
    <customShpInfo spid="_x0000_s4525"/>
    <customShpInfo spid="_x0000_s4526"/>
    <customShpInfo spid="_x0000_s4527"/>
    <customShpInfo spid="_x0000_s4528"/>
    <customShpInfo spid="_x0000_s4529"/>
    <customShpInfo spid="_x0000_s4530"/>
    <customShpInfo spid="_x0000_s4531"/>
    <customShpInfo spid="_x0000_s4532"/>
    <customShpInfo spid="_x0000_s4533"/>
    <customShpInfo spid="_x0000_s4534"/>
    <customShpInfo spid="_x0000_s4535"/>
    <customShpInfo spid="_x0000_s4536"/>
    <customShpInfo spid="_x0000_s4537"/>
    <customShpInfo spid="_x0000_s4538"/>
    <customShpInfo spid="_x0000_s4539"/>
    <customShpInfo spid="_x0000_s4540"/>
    <customShpInfo spid="_x0000_s4541"/>
    <customShpInfo spid="_x0000_s4542"/>
    <customShpInfo spid="_x0000_s4543"/>
    <customShpInfo spid="_x0000_s4544"/>
    <customShpInfo spid="_x0000_s4545"/>
    <customShpInfo spid="_x0000_s4546"/>
    <customShpInfo spid="_x0000_s4547"/>
    <customShpInfo spid="_x0000_s4548"/>
    <customShpInfo spid="_x0000_s4549"/>
    <customShpInfo spid="_x0000_s4550"/>
    <customShpInfo spid="_x0000_s4551"/>
    <customShpInfo spid="_x0000_s4552"/>
    <customShpInfo spid="_x0000_s4553"/>
    <customShpInfo spid="_x0000_s4554"/>
    <customShpInfo spid="_x0000_s4555"/>
    <customShpInfo spid="_x0000_s4556"/>
    <customShpInfo spid="_x0000_s4557"/>
    <customShpInfo spid="_x0000_s4558"/>
    <customShpInfo spid="_x0000_s4559"/>
    <customShpInfo spid="_x0000_s4560"/>
    <customShpInfo spid="_x0000_s4561"/>
    <customShpInfo spid="_x0000_s4562"/>
    <customShpInfo spid="_x0000_s4563"/>
    <customShpInfo spid="_x0000_s4564"/>
    <customShpInfo spid="_x0000_s4565"/>
    <customShpInfo spid="_x0000_s4566"/>
    <customShpInfo spid="_x0000_s4567"/>
    <customShpInfo spid="_x0000_s4568"/>
    <customShpInfo spid="_x0000_s4569"/>
    <customShpInfo spid="_x0000_s4570"/>
    <customShpInfo spid="_x0000_s4571"/>
    <customShpInfo spid="_x0000_s4572"/>
    <customShpInfo spid="_x0000_s4573"/>
    <customShpInfo spid="_x0000_s4574"/>
    <customShpInfo spid="_x0000_s4575"/>
    <customShpInfo spid="_x0000_s4576"/>
    <customShpInfo spid="_x0000_s4577"/>
    <customShpInfo spid="_x0000_s4578"/>
    <customShpInfo spid="_x0000_s4579"/>
    <customShpInfo spid="_x0000_s4580"/>
    <customShpInfo spid="_x0000_s4581"/>
    <customShpInfo spid="_x0000_s4582"/>
    <customShpInfo spid="_x0000_s4583"/>
    <customShpInfo spid="_x0000_s4584"/>
    <customShpInfo spid="_x0000_s4585"/>
    <customShpInfo spid="_x0000_s4586"/>
    <customShpInfo spid="_x0000_s4587"/>
    <customShpInfo spid="_x0000_s4588"/>
    <customShpInfo spid="_x0000_s4589"/>
    <customShpInfo spid="_x0000_s4590"/>
    <customShpInfo spid="_x0000_s4591"/>
    <customShpInfo spid="_x0000_s4592"/>
    <customShpInfo spid="_x0000_s4593"/>
    <customShpInfo spid="_x0000_s4594"/>
    <customShpInfo spid="_x0000_s4595"/>
    <customShpInfo spid="_x0000_s4596"/>
    <customShpInfo spid="_x0000_s4597"/>
    <customShpInfo spid="_x0000_s4598"/>
    <customShpInfo spid="_x0000_s4599"/>
    <customShpInfo spid="_x0000_s4600"/>
    <customShpInfo spid="_x0000_s4601"/>
    <customShpInfo spid="_x0000_s4602"/>
    <customShpInfo spid="_x0000_s4603"/>
    <customShpInfo spid="_x0000_s4604"/>
    <customShpInfo spid="_x0000_s4605"/>
    <customShpInfo spid="_x0000_s4606"/>
    <customShpInfo spid="_x0000_s4607"/>
    <customShpInfo spid="_x0000_s4608"/>
    <customShpInfo spid="_x0000_s4609"/>
    <customShpInfo spid="_x0000_s4610"/>
    <customShpInfo spid="_x0000_s4611"/>
    <customShpInfo spid="_x0000_s4612"/>
    <customShpInfo spid="_x0000_s4613"/>
    <customShpInfo spid="_x0000_s4614"/>
    <customShpInfo spid="_x0000_s4615"/>
    <customShpInfo spid="_x0000_s4616"/>
    <customShpInfo spid="_x0000_s4617"/>
    <customShpInfo spid="_x0000_s4618"/>
    <customShpInfo spid="_x0000_s4619"/>
    <customShpInfo spid="_x0000_s4620"/>
    <customShpInfo spid="_x0000_s4621"/>
    <customShpInfo spid="_x0000_s4622"/>
    <customShpInfo spid="_x0000_s4623"/>
    <customShpInfo spid="_x0000_s4624"/>
    <customShpInfo spid="_x0000_s1026" textRotate="1"/>
  </customShpExts>
</s:customData>
</file>

<file path=customXml/item2.xml><?xml version="1.0" encoding="utf-8"?>
<contractReview xmlns="http://schemas.wps.cn/vas-ai-hub/contract-review">
  <reviewItems>
    <reviewItem>
      <errorID>6700b6c0-d620-4a7c-8744-e410c84cb2d8</errorID>
      <errorWord>：/</errorWord>
      <group>L1_Punc</group>
      <groupName>标点问题</groupName>
      <ability>L2_Punc_CN</ability>
      <abilityName/>
      <candidateList>
        <item>：</item>
      </candidateList>
      <explain/>
      <paraID>6EBA909A</paraID>
      <start>5</start>
      <end>7</end>
      <status>unmodified</status>
      <modifiedWord/>
      <trackRevisions>false</trackRevisions>
    </reviewItem>
    <reviewItem>
      <errorID>0ae66c72-17f4-4815-a397-67008778a182</errorID>
      <errorWord>：/</errorWord>
      <group>L1_Punc</group>
      <groupName>标点问题</groupName>
      <ability>L2_Punc_CN</ability>
      <abilityName/>
      <candidateList>
        <item>：</item>
      </candidateList>
      <explain/>
      <paraID>63E57BF8</paraID>
      <start>2</start>
      <end>4</end>
      <status>unmodified</status>
      <modifiedWord/>
      <trackRevisions>false</trackRevisions>
    </reviewItem>
    <reviewItem>
      <errorID>4948d391-efa3-4c26-aa9c-e91e316fdf54</errorID>
      <errorWord>：/</errorWord>
      <group>L1_Punc</group>
      <groupName>标点问题</groupName>
      <ability>L2_Punc_CN</ability>
      <abilityName/>
      <candidateList>
        <item>：</item>
      </candidateList>
      <explain/>
      <paraID>548CA2A8</paraID>
      <start>4</start>
      <end>6</end>
      <status>unmodified</status>
      <modifiedWord/>
      <trackRevisions>false</trackRevisions>
    </reviewItem>
    <reviewItem>
      <errorID>24280c38-60f5-4612-a142-3d0924a80a65</errorID>
      <errorWord>法律、法规</errorWord>
      <group>L1_Word</group>
      <groupName>字词问题</groupName>
      <ability>L2_Typo</ability>
      <abilityName>字词错误</abilityName>
      <candidateList>
        <item>法律法规</item>
      </candidateList>
      <explain/>
      <paraID> 3E076BB</paraID>
      <start>84</start>
      <end>89</end>
      <status>unmodified</status>
      <modifiedWord/>
      <trackRevisions>false</trackRevisions>
    </reviewItem>
    <reviewItem>
      <errorID>88ac3954-5c90-4d37-9d1b-a7770172c753</errorID>
      <errorWord>文件的</errorWord>
      <group>L1_Word</group>
      <groupName>字词问题</groupName>
      <ability>L2_Typo</ability>
      <abilityName>字词错误</abilityName>
      <candidateList>
        <item>文件</item>
      </candidateList>
      <explain/>
      <paraID>5BE8926F</paraID>
      <start>6</start>
      <end>9</end>
      <status>unmodified</status>
      <modifiedWord/>
      <trackRevisions>false</trackRevisions>
    </reviewItem>
    <reviewItem>
      <errorID>038be505-5eb7-427b-9d66-a7ee50db3bd4</errorID>
      <errorWord>：/</errorWord>
      <group>L1_Punc</group>
      <groupName>标点问题</groupName>
      <ability>L2_Punc_CN</ability>
      <abilityName/>
      <candidateList>
        <item>：</item>
      </candidateList>
      <explain/>
      <paraID>27281C79</paraID>
      <start>16</start>
      <end>18</end>
      <status>unmodified</status>
      <modifiedWord/>
      <trackRevisions>false</trackRevisions>
    </reviewItem>
    <reviewItem>
      <errorID>74e46d17-8c15-4bcb-a5aa-bd39e4d20f59</errorID>
      <errorWord>：/。</errorWord>
      <group>L1_Punc</group>
      <groupName>标点问题</groupName>
      <ability>L2_Punc_CN</ability>
      <abilityName/>
      <candidateList>
        <item>：</item>
      </candidateList>
      <explain/>
      <paraID>13FEAD9B</paraID>
      <start>12</start>
      <end>15</end>
      <status>unmodified</status>
      <modifiedWord/>
      <trackRevisions>false</trackRevisions>
    </reviewItem>
    <reviewItem>
      <errorID>72b57ba2-a8ed-428a-bfd8-3a7e0d29c41b</errorID>
      <errorWord>：/</errorWord>
      <group>L1_Punc</group>
      <groupName>标点问题</groupName>
      <ability>L2_Punc_CN</ability>
      <abilityName/>
      <candidateList>
        <item>：</item>
      </candidateList>
      <explain/>
      <paraID>62EB240B</paraID>
      <start>9</start>
      <end>11</end>
      <status>unmodified</status>
      <modifiedWord/>
      <trackRevisions>false</trackRevisions>
    </reviewItem>
    <reviewItem>
      <errorID>c330b21d-3670-4b77-88ee-ef40a268d847</errorID>
      <errorWord>：/</errorWord>
      <group>L1_Punc</group>
      <groupName>标点问题</groupName>
      <ability>L2_Punc_CN</ability>
      <abilityName/>
      <candidateList>
        <item>：</item>
      </candidateList>
      <explain/>
      <paraID>452D3574</paraID>
      <start>13</start>
      <end>15</end>
      <status>unmodified</status>
      <modifiedWord/>
      <trackRevisions>false</trackRevisions>
    </reviewItem>
    <reviewItem>
      <errorID>519117c5-8e34-4a2d-84a2-5597e49dd978</errorID>
      <errorWord>（</errorWord>
      <group>L1_Format</group>
      <groupName>格式问题</groupName>
      <ability>L2_HalfPunc_CN</ability>
      <abilityName/>
      <candidateList>
        <item>(</item>
      </candidateList>
      <explain>文本全半角错误。</explain>
      <paraID>388AFBEA</paraID>
      <start>0</start>
      <end>1</end>
      <status>unmodified</status>
      <modifiedWord/>
      <trackRevisions>false</trackRevisions>
    </reviewItem>
    <reviewItem>
      <errorID>92fac694-dec9-4ab3-94dc-5ee9af6a1d3d</errorID>
      <errorWord>）</errorWord>
      <group>L1_Format</group>
      <groupName>格式问题</groupName>
      <ability>L2_HalfPunc_CN</ability>
      <abilityName/>
      <candidateList>
        <item>)</item>
      </candidateList>
      <explain>文本全半角错误。</explain>
      <paraID>388AFBEA</paraID>
      <start>2</start>
      <end>3</end>
      <status>unmodified</status>
      <modifiedWord/>
      <trackRevisions>false</trackRevisions>
    </reviewItem>
    <reviewItem>
      <errorID>4d576896-687f-4ff1-b497-f80316ee990d</errorID>
      <errorWord>；</errorWord>
      <group>L1_Format</group>
      <groupName>格式问题</groupName>
      <ability>L2_HalfPunc_CN</ability>
      <abilityName/>
      <candidateList>
        <item>;</item>
      </candidateList>
      <explain>文本全半角错误。</explain>
      <paraID>388AFBEA</paraID>
      <start>37</start>
      <end>38</end>
      <status>unmodified</status>
      <modifiedWord/>
      <trackRevisions>false</trackRevisions>
    </reviewItem>
    <reviewItem>
      <errorID>4a7c8331-6562-498e-b837-c8ddbe17c480</errorID>
      <errorWord>（</errorWord>
      <group>L1_Format</group>
      <groupName>格式问题</groupName>
      <ability>L2_HalfPunc_CN</ability>
      <abilityName/>
      <candidateList>
        <item>(</item>
      </candidateList>
      <explain>文本全半角错误。</explain>
      <paraID> 71BC8E0</paraID>
      <start>0</start>
      <end>1</end>
      <status>unmodified</status>
      <modifiedWord/>
      <trackRevisions>false</trackRevisions>
    </reviewItem>
    <reviewItem>
      <errorID>520dfe6e-0075-47ad-a02c-25a55058c335</errorID>
      <errorWord>）</errorWord>
      <group>L1_Format</group>
      <groupName>格式问题</groupName>
      <ability>L2_HalfPunc_CN</ability>
      <abilityName/>
      <candidateList>
        <item>)</item>
      </candidateList>
      <explain>文本全半角错误。</explain>
      <paraID> 71BC8E0</paraID>
      <start>2</start>
      <end>3</end>
      <status>unmodified</status>
      <modifiedWord/>
      <trackRevisions>false</trackRevisions>
    </reviewItem>
    <reviewItem>
      <errorID>d65f161d-d4dc-4b69-b7a3-282e2c38ab14</errorID>
      <errorWord>；</errorWord>
      <group>L1_Format</group>
      <groupName>格式问题</groupName>
      <ability>L2_HalfPunc_CN</ability>
      <abilityName/>
      <candidateList>
        <item>;</item>
      </candidateList>
      <explain>文本全半角错误。</explain>
      <paraID> 71BC8E0</paraID>
      <start>37</start>
      <end>38</end>
      <status>unmodified</status>
      <modifiedWord/>
      <trackRevisions>false</trackRevisions>
    </reviewItem>
    <reviewItem>
      <errorID>131dbb1d-d387-4e8a-8ad1-d2feff4cdc67</errorID>
      <errorWord>，</errorWord>
      <group>L1_Word</group>
      <groupName>字词问题</groupName>
      <ability>L2_Typo</ability>
      <abilityName>字词错误</abilityName>
      <candidateList>
        <item>，在</item>
      </candidateList>
      <explain/>
      <paraID>30375140</paraID>
      <start>124</start>
      <end>125</end>
      <status>unmodified</status>
      <modifiedWord/>
      <trackRevisions>false</trackRevisions>
    </reviewItem>
    <reviewItem>
      <errorID>9e02fe7b-5b72-4a26-94da-7e59a886bc60</errorID>
      <errorWord>/。</errorWord>
      <group>L1_Punc</group>
      <groupName>标点问题</groupName>
      <ability>L2_Punc_CN</ability>
      <abilityName/>
      <candidateList>
        <item>/</item>
      </candidateList>
      <explain/>
      <paraID>69B87F91</paraID>
      <start>22</start>
      <end>24</end>
      <status>unmodified</status>
      <modifiedWord/>
      <trackRevisions>false</trackRevisions>
    </reviewItem>
    <reviewItem>
      <errorID>14231fa3-bc28-4a8a-a64b-ca037a396cbb</errorID>
      <errorWord>：/。</errorWord>
      <group>L1_Punc</group>
      <groupName>标点问题</groupName>
      <ability>L2_Punc_CN</ability>
      <abilityName/>
      <candidateList>
        <item>：</item>
      </candidateList>
      <explain/>
      <paraID>138DFDCF</paraID>
      <start>20</start>
      <end>23</end>
      <status>unmodified</status>
      <modifiedWord/>
      <trackRevisions>false</trackRevisions>
    </reviewItem>
    <reviewItem>
      <errorID>f695b788-68d3-43a4-baeb-ae3bb1711885</errorID>
      <errorWord>：/。</errorWord>
      <group>L1_Punc</group>
      <groupName>标点问题</groupName>
      <ability>L2_Punc_CN</ability>
      <abilityName/>
      <candidateList>
        <item>：</item>
      </candidateList>
      <explain/>
      <paraID>7A8AD4EA</paraID>
      <start>42</start>
      <end>45</end>
      <status>unmodified</status>
      <modifiedWord/>
      <trackRevisions>false</trackRevisions>
    </reviewItem>
    <reviewItem>
      <errorID>f31c72f9-4593-4311-9af6-29ed8f9d2b72</errorID>
      <errorWord>(</errorWord>
      <group>L1_Format</group>
      <groupName>格式问题</groupName>
      <ability>L2_HalfPunc_CN</ability>
      <abilityName/>
      <candidateList>
        <item>（</item>
      </candidateList>
      <explain>文本全半角错误。</explain>
      <paraID>26F4D7AB</paraID>
      <start>14</start>
      <end>15</end>
      <status>unmodified</status>
      <modifiedWord/>
      <trackRevisions>false</trackRevisions>
    </reviewItem>
    <reviewItem>
      <errorID>71c5c122-95b5-4a1c-bc79-847ea6a58d52</errorID>
      <errorWord>1-15%</errorWord>
      <group>L1_Knowledge</group>
      <groupName>知识性问题</groupName>
      <ability>L2_Knowledge</ability>
      <abilityName>其他知识</abilityName>
      <candidateList>
        <item>1%—15%</item>
      </candidateList>
      <explain>1. “1-15%”中的单位“%”仅出现在后一个数字上，容易引起歧义；根据《现代汉语标点符号数字用法规范手册》，数字表示范围两边需要使用统一的格式。2. 根据标点国标 4.13 中的规则，数字、时间或地域连接符应使用（视觉上更长的）“—”或“～”。</explain>
      <paraID>26F4D7AB</paraID>
      <start>15</start>
      <end>20</end>
      <status>unmodified</status>
      <modifiedWord/>
      <trackRevisions>false</trackRevisions>
    </reviewItem>
    <reviewItem>
      <errorID>9d19a7a9-fca8-4f26-b390-e6f8e32d8ec2</errorID>
      <errorWord>(</errorWord>
      <group>L1_Format</group>
      <groupName>格式问题</groupName>
      <ability>L2_HalfPunc_CN</ability>
      <abilityName/>
      <candidateList>
        <item>（</item>
      </candidateList>
      <explain>文本全半角错误。</explain>
      <paraID>26F4D7AB</paraID>
      <start>45</start>
      <end>46</end>
      <status>unmodified</status>
      <modifiedWord/>
      <trackRevisions>false</trackRevisions>
    </reviewItem>
    <reviewItem>
      <errorID>01594992-434f-4b1b-9bd0-ff6e1b908480</errorID>
      <errorWord>(</errorWord>
      <group>L1_Format</group>
      <groupName>格式问题</groupName>
      <ability>L2_HalfPunc_CN</ability>
      <abilityName/>
      <candidateList>
        <item>（</item>
      </candidateList>
      <explain>文本全半角错误。</explain>
      <paraID>5818F507</paraID>
      <start>8</start>
      <end>9</end>
      <status>unmodified</status>
      <modifiedWord/>
      <trackRevisions>false</trackRevisions>
    </reviewItem>
    <reviewItem>
      <errorID>e77277bb-dca8-4b4f-8135-1ff71ef105eb</errorID>
      <errorWord>(</errorWord>
      <group>L1_Format</group>
      <groupName>格式问题</groupName>
      <ability>L2_HalfPunc_CN</ability>
      <abilityName/>
      <candidateList>
        <item>（</item>
      </candidateList>
      <explain>文本全半角错误。</explain>
      <paraID>5818F507</paraID>
      <start>33</start>
      <end>34</end>
      <status>unmodified</status>
      <modifiedWord/>
      <trackRevisions>false</trackRevisions>
    </reviewItem>
    <reviewItem>
      <errorID>7b1d85a4-52f3-4dc6-b584-9b29f963e4c1</errorID>
      <errorWord>(</errorWord>
      <group>L1_Format</group>
      <groupName>格式问题</groupName>
      <ability>L2_HalfPunc_CN</ability>
      <abilityName/>
      <candidateList>
        <item>（</item>
      </candidateList>
      <explain>文本全半角错误。</explain>
      <paraID>2BD49BBF</paraID>
      <start>14</start>
      <end>15</end>
      <status>unmodified</status>
      <modifiedWord/>
      <trackRevisions>false</trackRevisions>
    </reviewItem>
    <reviewItem>
      <errorID>c0094cc8-2782-47fb-9a46-0ac7c9cd8752</errorID>
      <errorWord>1-15%</errorWord>
      <group>L1_Knowledge</group>
      <groupName>知识性问题</groupName>
      <ability>L2_Knowledge</ability>
      <abilityName>其他知识</abilityName>
      <candidateList>
        <item>1%—15%</item>
      </candidateList>
      <explain>1. “1-15%”中的单位“%”仅出现在后一个数字上，容易引起歧义；根据《现代汉语标点符号数字用法规范手册》，数字表示范围两边需要使用统一的格式。2. 根据标点国标 4.13 中的规则，数字、时间或地域连接符应使用（视觉上更长的）“—”或“～”。</explain>
      <paraID>2BD49BBF</paraID>
      <start>15</start>
      <end>20</end>
      <status>unmodified</status>
      <modifiedWord/>
      <trackRevisions>false</trackRevisions>
    </reviewItem>
    <reviewItem>
      <errorID>7a5523b4-b4ed-47c7-a386-e49c696e8969</errorID>
      <errorWord>(</errorWord>
      <group>L1_Format</group>
      <groupName>格式问题</groupName>
      <ability>L2_HalfPunc_CN</ability>
      <abilityName/>
      <candidateList>
        <item>（</item>
      </candidateList>
      <explain>文本全半角错误。</explain>
      <paraID>2BD49BBF</paraID>
      <start>28</start>
      <end>29</end>
      <status>unmodified</status>
      <modifiedWord/>
      <trackRevisions>false</trackRevisions>
    </reviewItem>
    <reviewItem>
      <errorID>cd79d37f-1eaa-4dea-8317-da16746293d2</errorID>
      <errorWord>金</errorWord>
      <group>L1_Word</group>
      <groupName>字词问题</groupName>
      <ability>L2_Typo</ability>
      <abilityName>字词错误</abilityName>
      <candidateList>
        <item>金额</item>
      </candidateList>
      <explain/>
      <paraID>425BB947</paraID>
      <start>127</start>
      <end>128</end>
      <status>unmodified</status>
      <modifiedWord/>
      <trackRevisions>false</trackRevisions>
    </reviewItem>
    <reviewItem>
      <errorID>540209cd-c8ee-453e-9591-4d3af976f384</errorID>
      <errorWord>其它</errorWord>
      <group>L1_Word</group>
      <groupName>字词问题</groupName>
      <ability>L2_Alias</ability>
      <abilityName>也作/曾用词</abilityName>
      <candidateList>
        <item>其他</item>
      </candidateList>
      <explain>词汇[其它]为不规范表述或旧称，其规范书面表述为[其他]。</explain>
      <paraID>32D957EB</paraID>
      <start>1</start>
      <end>3</end>
      <status>unmodified</status>
      <modifiedWord/>
      <trackRevisions>false</trackRevisions>
    </reviewItem>
    <reviewItem>
      <errorID>2e1cff9a-8477-496b-bd46-886065620305</errorID>
      <errorWord>/。</errorWord>
      <group>L1_Punc</group>
      <groupName>标点问题</groupName>
      <ability>L2_Punc_CN</ability>
      <abilityName/>
      <candidateList>
        <item>/</item>
      </candidateList>
      <explain/>
      <paraID>2FF986DB</paraID>
      <start>12</start>
      <end>14</end>
      <status>unmodified</status>
      <modifiedWord/>
      <trackRevisions>false</trackRevisions>
    </reviewItem>
    <reviewItem>
      <errorID>2252cddd-4346-4575-b161-304109f4bc0e</errorID>
      <errorWord>)</errorWord>
      <group>L1_Format</group>
      <groupName>格式问题</groupName>
      <ability>L2_HalfPunc_CN</ability>
      <abilityName/>
      <candidateList>
        <item>）</item>
      </candidateList>
      <explain>文本全半角错误。</explain>
      <paraID>7C28445C</paraID>
      <start>14</start>
      <end>15</end>
      <status>unmodified</status>
      <modifiedWord/>
      <trackRevisions>false</trackRevisions>
    </reviewItem>
    <reviewItem>
      <errorID>b861de4f-9433-4c41-a4ea-2dbc8bbae2d2</errorID>
      <errorWord>)</errorWord>
      <group>L1_Format</group>
      <groupName>格式问题</groupName>
      <ability>L2_HalfPunc_CN</ability>
      <abilityName/>
      <candidateList>
        <item>）</item>
      </candidateList>
      <explain>文本全半角错误。</explain>
      <paraID>7C28445C</paraID>
      <start>94</start>
      <end>95</end>
      <status>unmodified</status>
      <modifiedWord/>
      <trackRevisions>false</trackRevisions>
    </reviewItem>
    <reviewItem>
      <errorID>9cb4510f-a650-4791-834d-77a3200186bf</errorID>
      <errorWord>：/。</errorWord>
      <group>L1_Punc</group>
      <groupName>标点问题</groupName>
      <ability>L2_Punc_CN</ability>
      <abilityName/>
      <candidateList>
        <item>：</item>
      </candidateList>
      <explain/>
      <paraID>690F7351</paraID>
      <start>11</start>
      <end>14</end>
      <status>unmodified</status>
      <modifiedWord/>
      <trackRevisions>false</trackRevisions>
    </reviewItem>
    <reviewItem>
      <errorID>d6fb2a71-3823-47ad-8c5d-3fe8731fd39a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3267103</paraID>
      <start>0</start>
      <end>2</end>
      <status>unmodified</status>
      <modifiedWord/>
      <trackRevisions>false</trackRevisions>
    </reviewItem>
    <reviewItem>
      <errorID>bbb8310f-b7c3-40ae-b646-c9ba9655a70c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3CB881E1</paraID>
      <start>0</start>
      <end>2</end>
      <status>unmodified</status>
      <modifiedWord/>
      <trackRevisions>false</trackRevisions>
    </reviewItem>
    <reviewItem>
      <errorID>23b60c2a-31a2-44f2-8c83-e05c5d3b4118</errorID>
      <errorWord>(</errorWord>
      <group>L1_Format</group>
      <groupName>格式问题</groupName>
      <ability>L2_HalfPunc_CN</ability>
      <abilityName/>
      <candidateList>
        <item>（</item>
      </candidateList>
      <explain>文本全半角错误。</explain>
      <paraID>655C9C0E</paraID>
      <start>28</start>
      <end>29</end>
      <status>unmodified</status>
      <modifiedWord/>
      <trackRevisions>false</trackRevisions>
    </reviewItem>
    <reviewItem>
      <errorID>5f9254b4-ff89-49e5-b30e-19d565eb9987</errorID>
      <errorWord>)</errorWord>
      <group>L1_Format</group>
      <groupName>格式问题</groupName>
      <ability>L2_HalfPunc_CN</ability>
      <abilityName/>
      <candidateList>
        <item>）</item>
      </candidateList>
      <explain>文本全半角错误。</explain>
      <paraID>655C9C0E</paraID>
      <start>31</start>
      <end>32</end>
      <status>unmodified</status>
      <modifiedWord/>
      <trackRevisions>false</trackRevisions>
    </reviewItem>
    <reviewItem>
      <errorID>15020d0b-3503-4ae1-be72-c9ab3ad0ce7b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73077939</paraID>
      <start>0</start>
      <end>2</end>
      <status>unmodified</status>
      <modifiedWord/>
      <trackRevisions>false</trackRevisions>
    </reviewItem>
    <reviewItem>
      <errorID>5107a46a-47d8-4c67-8cb9-95ecffcf58cd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32E76A38</paraID>
      <start>0</start>
      <end>2</end>
      <status>unmodified</status>
      <modifiedWord/>
      <trackRevisions>false</trackRevisions>
    </reviewItem>
    <reviewItem>
      <errorID>e868f5e7-9619-4f2e-bc9b-a94eb7393676</errorID>
      <errorWord>完</errorWord>
      <group>L1_Word</group>
      <groupName>字词问题</groupName>
      <ability>L2_Typo</ability>
      <abilityName>字词错误</abilityName>
      <candidateList>
        <item>完成</item>
      </candidateList>
      <explain>〈动〉按照预期的目的结束；做成：～任务｜～作业｜计划完得成。</explain>
      <paraID>60547083</paraID>
      <start>10</start>
      <end>11</end>
      <status>unmodified</status>
      <modifiedWord/>
      <trackRevisions>false</trackRevisions>
    </reviewItem>
    <reviewItem>
      <errorID>d36bbe47-b889-4365-95ef-c33059099b66</errorID>
      <errorWord>：/。</errorWord>
      <group>L1_Punc</group>
      <groupName>标点问题</groupName>
      <ability>L2_Punc_CN</ability>
      <abilityName/>
      <candidateList>
        <item>：</item>
      </candidateList>
      <explain/>
      <paraID>13E88305</paraID>
      <start>13</start>
      <end>16</end>
      <status>unmodified</status>
      <modifiedWord/>
      <trackRevisions>false</trackRevisions>
    </reviewItem>
    <reviewItem>
      <errorID>16d63403-08ed-44ef-9de7-141d376e2627</errorID>
      <errorWord>：/。</errorWord>
      <group>L1_Punc</group>
      <groupName>标点问题</groupName>
      <ability>L2_Punc_CN</ability>
      <abilityName/>
      <candidateList>
        <item>：</item>
      </candidateList>
      <explain/>
      <paraID>1F8BF584</paraID>
      <start>12</start>
      <end>15</end>
      <status>unmodified</status>
      <modifiedWord/>
      <trackRevisions>false</trackRevisions>
    </reviewItem>
    <reviewItem>
      <errorID>836bfe0f-d523-48ad-84e4-d6448b839553</errorID>
      <errorWord>（</errorWord>
      <group>L1_Punc</group>
      <groupName>标点问题</groupName>
      <ability>L2_Punc_CN</ability>
      <abilityName/>
      <candidateList/>
      <explain>同一形式括号套用。</explain>
      <paraID>2173B81E</paraID>
      <start>76</start>
      <end>77</end>
      <status>unmodified</status>
      <modifiedWord/>
      <trackRevisions>false</trackRevisions>
    </reviewItem>
    <reviewItem>
      <errorID>adc8cf30-f169-4889-b97e-4601a8b4f7a3</errorID>
      <errorWord>）</errorWord>
      <group>L1_Punc</group>
      <groupName>标点问题</groupName>
      <ability>L2_Punc_CN</ability>
      <abilityName/>
      <candidateList/>
      <explain>同一形式括号套用。</explain>
      <paraID>2173B81E</paraID>
      <start>90</start>
      <end>91</end>
      <status>unmodified</status>
      <modifiedWord/>
      <trackRevisions>false</trackRevisions>
    </reviewItem>
    <reviewItem>
      <errorID>d6b15ca5-6522-49bf-a58c-550a42da674b</errorID>
      <errorWord>超</errorWord>
      <group>L1_Word</group>
      <groupName>字词问题</groupName>
      <ability>L2_Typo</ability>
      <abilityName>字词错误</abilityName>
      <candidateList>
        <item>超过</item>
      </candidateList>
      <explain/>
      <paraID>774B3D49</paraID>
      <start>20</start>
      <end>21</end>
      <status>unmodified</status>
      <modifiedWord/>
      <trackRevisions>false</trackRevisions>
    </reviewItem>
    <reviewItem>
      <errorID>30233129-a202-4b2a-8f47-949da3249078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6719182E</paraID>
      <start>0</start>
      <end>2</end>
      <status>unmodified</status>
      <modifiedWord/>
      <trackRevisions>false</trackRevisions>
    </reviewItem>
    <reviewItem>
      <errorID>748b8ec6-83da-4795-9bc8-b7cd5469bb48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324B689</paraID>
      <start>0</start>
      <end>2</end>
      <status>unmodified</status>
      <modifiedWord/>
      <trackRevisions>false</trackRevisions>
    </reviewItem>
    <reviewItem>
      <errorID>00773c1e-dff4-4da5-8d6f-6f10653eba0e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4A7BA628</paraID>
      <start>0</start>
      <end>2</end>
      <status>unmodified</status>
      <modifiedWord/>
      <trackRevisions>false</trackRevisions>
    </reviewItem>
    <reviewItem>
      <errorID>8e3798ef-6578-459f-931f-33dcd4aff0ab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1DA470F5</paraID>
      <start>0</start>
      <end>2</end>
      <status>unmodified</status>
      <modifiedWord/>
      <trackRevisions>false</trackRevisions>
    </reviewItem>
    <reviewItem>
      <errorID>19bff221-d4dc-4e49-abcb-4c4ded3728aa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4190483A</paraID>
      <start>0</start>
      <end>2</end>
      <status>unmodified</status>
      <modifiedWord/>
      <trackRevisions>false</trackRevisions>
    </reviewItem>
    <reviewItem>
      <errorID>7b759fc0-36c0-45d3-aad4-1c3c5126e60c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138AE03E</paraID>
      <start>0</start>
      <end>2</end>
      <status>unmodified</status>
      <modifiedWord/>
      <trackRevisions>false</trackRevisions>
    </reviewItem>
    <reviewItem>
      <errorID>179ea008-0899-49cb-a2e1-90f9aace052b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7B15FEB</paraID>
      <start>0</start>
      <end>2</end>
      <status>unmodified</status>
      <modifiedWord/>
      <trackRevisions>false</trackRevisions>
    </reviewItem>
    <reviewItem>
      <errorID>19e7ba35-864e-420c-aece-fd48139d47cb</errorID>
      <errorWord>：/。</errorWord>
      <group>L1_Punc</group>
      <groupName>标点问题</groupName>
      <ability>L2_Punc_CN</ability>
      <abilityName/>
      <candidateList>
        <item>：</item>
      </candidateList>
      <explain/>
      <paraID> 7B15FEB</paraID>
      <start>14</start>
      <end>17</end>
      <status>unmodified</status>
      <modifiedWord/>
      <trackRevisions>false</trackRevisions>
    </reviewItem>
    <reviewItem>
      <errorID>8a7514aa-4094-4990-98cd-00ea64e11a46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2B01D339</paraID>
      <start>0</start>
      <end>2</end>
      <status>unmodified</status>
      <modifiedWord/>
      <trackRevisions>false</trackRevisions>
    </reviewItem>
    <reviewItem>
      <errorID>c988db5e-89f8-408f-978f-141812cd6d79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427CEF2B</paraID>
      <start>0</start>
      <end>2</end>
      <status>unmodified</status>
      <modifiedWord/>
      <trackRevisions>false</trackRevisions>
    </reviewItem>
    <reviewItem>
      <errorID>3bfae2eb-87f5-47bf-b62b-c099e3ecf255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C1FF747</paraID>
      <start>0</start>
      <end>2</end>
      <status>unmodified</status>
      <modifiedWord/>
      <trackRevisions>false</trackRevisions>
    </reviewItem>
    <reviewItem>
      <errorID>07b30ab4-7891-4c2f-8d78-f877eab5d510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28686B1F</paraID>
      <start>0</start>
      <end>2</end>
      <status>unmodified</status>
      <modifiedWord/>
      <trackRevisions>false</trackRevisions>
    </reviewItem>
    <reviewItem>
      <errorID>add650ac-2e1d-41d5-b3ae-9ebceda7276b</errorID>
      <errorWord>：/</errorWord>
      <group>L1_Punc</group>
      <groupName>标点问题</groupName>
      <ability>L2_Punc_CN</ability>
      <abilityName/>
      <candidateList>
        <item>：</item>
      </candidateList>
      <explain/>
      <paraID>6A290C29</paraID>
      <start>4</start>
      <end>6</end>
      <status>unmodified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tyleName="APA" SelectedStyle="\APASixthEditionOfficeOnline.xsl"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E0162CB-3ECB-4958-B83C-BA4EFBA6DD58}">
  <ds:schemaRefs/>
</ds:datastoreItem>
</file>

<file path=customXml/itemProps3.xml><?xml version="1.0" encoding="utf-8"?>
<ds:datastoreItem xmlns:ds="http://schemas.openxmlformats.org/officeDocument/2006/customXml" ds:itemID="{F392585A-A693-48F1-8997-9B8FF8B31FAF}">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42</Pages>
  <Words>16124</Words>
  <Characters>16955</Characters>
  <Lines>641</Lines>
  <Paragraphs>765</Paragraphs>
  <TotalTime>14</TotalTime>
  <ScaleCrop>false</ScaleCrop>
  <LinksUpToDate>false</LinksUpToDate>
  <CharactersWithSpaces>17864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2025-08-28T19:56:00Z</dcterms:created>
  <dc:creator>招标代理</dc:creator>
  <cp:lastModifiedBy>啦啦啦</cp:lastModifiedBy>
  <dcterms:modified xsi:type="dcterms:W3CDTF">2026-08-25T03:18:00Z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AF0CE7F461A34216A04CA79DF0D9DA88_13</vt:lpwstr>
  </property>
  <property fmtid="{D5CDD505-2E9C-101B-9397-08002B2CF9AE}" pid="3" name="KSOProductBuildVer">
    <vt:lpwstr>2052-12.1.0.28043</vt:lpwstr>
  </property>
  <property fmtid="{D5CDD505-2E9C-101B-9397-08002B2CF9AE}" pid="4" name="KSOTemplateDocerSaveRecord">
    <vt:lpwstr>eyJoZGlkIjoiZTQwMmFkZDlmY2QyYjg3NTg2OWZjNGZmY2U5MTBjODIiLCJ1c2VySWQiOiIxMDU0NjczMTAzIn0=</vt:lpwstr>
  </property>
  <property fmtid="{D5CDD505-2E9C-101B-9397-08002B2CF9AE}" pid="5" name="OfficeAIDocId">
    <vt:lpwstr>DOC_7da2a24f9fea492eba7756692db196d4</vt:lpwstr>
  </property>
</Properties>
</file>