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color w:val="000000" w:themeColor="text1"/>
          <w:sz w:val="52"/>
          <w:szCs w:val="52"/>
          <w14:textFill>
            <w14:solidFill>
              <w14:schemeClr w14:val="tx1"/>
            </w14:solidFill>
          </w14:textFill>
        </w:rPr>
      </w:pPr>
      <w:r>
        <w:rPr>
          <w:rFonts w:hint="eastAsia" w:ascii="方正小标宋简体" w:hAnsi="宋体" w:eastAsia="方正小标宋简体"/>
          <w:color w:val="000000" w:themeColor="text1"/>
          <w:sz w:val="52"/>
          <w:szCs w:val="52"/>
          <w14:textFill>
            <w14:solidFill>
              <w14:schemeClr w14:val="tx1"/>
            </w14:solidFill>
          </w14:textFill>
        </w:rPr>
        <w:t>广西财经学院后勤管理服务中心</w:t>
      </w:r>
    </w:p>
    <w:p>
      <w:pPr>
        <w:spacing w:line="360" w:lineRule="auto"/>
        <w:jc w:val="center"/>
        <w:rPr>
          <w:rFonts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宋体" w:hAnsi="宋体"/>
          <w:color w:val="000000" w:themeColor="text1"/>
          <w:sz w:val="52"/>
          <w:szCs w:val="52"/>
          <w14:textFill>
            <w14:solidFill>
              <w14:schemeClr w14:val="tx1"/>
            </w14:solidFill>
          </w14:textFill>
        </w:rPr>
        <w:t>（服务类）</w:t>
      </w:r>
    </w:p>
    <w:p>
      <w:pPr>
        <w:spacing w:line="360" w:lineRule="auto"/>
        <w:jc w:val="center"/>
        <w:rPr>
          <w:rFonts w:ascii="方正小标宋简体" w:hAnsi="方正小标宋简体" w:eastAsia="方正小标宋简体" w:cs="方正小标宋简体"/>
          <w:b/>
          <w:color w:val="000000" w:themeColor="text1"/>
          <w:sz w:val="44"/>
          <w:szCs w:val="44"/>
          <w14:textFill>
            <w14:solidFill>
              <w14:schemeClr w14:val="tx1"/>
            </w14:solidFill>
          </w14:textFill>
        </w:rPr>
      </w:pPr>
    </w:p>
    <w:p>
      <w:pPr>
        <w:snapToGrid w:val="0"/>
        <w:spacing w:before="156" w:beforeLines="50" w:line="360" w:lineRule="auto"/>
        <w:jc w:val="center"/>
        <w:rPr>
          <w:rFonts w:ascii="华文新魏" w:hAnsi="宋体" w:eastAsia="华文新魏"/>
          <w:color w:val="000000" w:themeColor="text1"/>
          <w:sz w:val="120"/>
          <w:szCs w:val="120"/>
          <w14:textFill>
            <w14:solidFill>
              <w14:schemeClr w14:val="tx1"/>
            </w14:solidFill>
          </w14:textFill>
        </w:rPr>
      </w:pPr>
      <w:r>
        <w:rPr>
          <w:rFonts w:hint="eastAsia" w:ascii="华文新魏" w:hAnsi="宋体" w:eastAsia="华文新魏"/>
          <w:color w:val="000000" w:themeColor="text1"/>
          <w:sz w:val="120"/>
          <w:szCs w:val="120"/>
          <w14:textFill>
            <w14:solidFill>
              <w14:schemeClr w14:val="tx1"/>
            </w14:solidFill>
          </w14:textFill>
        </w:rPr>
        <w:t>竞争性磋商文件</w:t>
      </w:r>
    </w:p>
    <w:p>
      <w:pPr>
        <w:snapToGrid w:val="0"/>
        <w:spacing w:line="360" w:lineRule="auto"/>
        <w:rPr>
          <w:rFonts w:ascii="仿宋_GB2312" w:hAnsi="宋体" w:eastAsia="仿宋_GB2312"/>
          <w:color w:val="000000" w:themeColor="text1"/>
          <w:sz w:val="30"/>
          <w:szCs w:val="72"/>
          <w14:textFill>
            <w14:solidFill>
              <w14:schemeClr w14:val="tx1"/>
            </w14:solidFill>
          </w14:textFill>
        </w:rPr>
      </w:pPr>
    </w:p>
    <w:p>
      <w:pPr>
        <w:pStyle w:val="13"/>
        <w:snapToGrid w:val="0"/>
        <w:spacing w:line="360" w:lineRule="auto"/>
        <w:ind w:firstLine="1193" w:firstLineChars="396"/>
        <w:rPr>
          <w:rFonts w:ascii="仿宋_GB2312" w:hAnsi="宋体" w:eastAsia="仿宋_GB2312"/>
          <w:b/>
          <w:bCs/>
          <w:color w:val="000000" w:themeColor="text1"/>
          <w:sz w:val="30"/>
          <w:szCs w:val="30"/>
          <w14:textFill>
            <w14:solidFill>
              <w14:schemeClr w14:val="tx1"/>
            </w14:solidFill>
          </w14:textFill>
        </w:rPr>
      </w:pPr>
      <w:r>
        <w:rPr>
          <w:rFonts w:hint="eastAsia" w:ascii="仿宋_GB2312" w:hAnsi="宋体" w:eastAsia="仿宋_GB2312"/>
          <w:b/>
          <w:bCs/>
          <w:color w:val="000000" w:themeColor="text1"/>
          <w:sz w:val="30"/>
          <w:szCs w:val="30"/>
          <w14:textFill>
            <w14:solidFill>
              <w14:schemeClr w14:val="tx1"/>
            </w14:solidFill>
          </w14:textFill>
        </w:rPr>
        <w:t>项目</w:t>
      </w:r>
      <w:r>
        <w:rPr>
          <w:rFonts w:hint="eastAsia" w:ascii="仿宋_GB2312" w:hAnsi="宋体" w:eastAsia="仿宋_GB2312" w:cs="Courier New"/>
          <w:b/>
          <w:bCs/>
          <w:color w:val="000000" w:themeColor="text1"/>
          <w:w w:val="95"/>
          <w:sz w:val="30"/>
          <w:szCs w:val="30"/>
          <w14:textFill>
            <w14:solidFill>
              <w14:schemeClr w14:val="tx1"/>
            </w14:solidFill>
          </w14:textFill>
        </w:rPr>
        <w:t>名称</w:t>
      </w:r>
      <w:r>
        <w:rPr>
          <w:rFonts w:hint="eastAsia" w:ascii="仿宋_GB2312" w:hAnsi="宋体" w:eastAsia="仿宋_GB2312"/>
          <w:b/>
          <w:bCs/>
          <w:color w:val="000000" w:themeColor="text1"/>
          <w:sz w:val="30"/>
          <w:szCs w:val="30"/>
          <w14:textFill>
            <w14:solidFill>
              <w14:schemeClr w14:val="tx1"/>
            </w14:solidFill>
          </w14:textFill>
        </w:rPr>
        <w:t>：</w:t>
      </w:r>
      <w:r>
        <w:rPr>
          <w:rFonts w:ascii="仿宋_GB2312" w:hAnsi="宋体" w:eastAsia="仿宋_GB2312"/>
          <w:b/>
          <w:bCs/>
          <w:color w:val="000000" w:themeColor="text1"/>
          <w:sz w:val="30"/>
          <w:szCs w:val="30"/>
          <w14:textFill>
            <w14:solidFill>
              <w14:schemeClr w14:val="tx1"/>
            </w14:solidFill>
          </w14:textFill>
        </w:rPr>
        <w:t xml:space="preserve"> </w:t>
      </w:r>
      <w:bookmarkStart w:id="0" w:name="_Hlk113620836"/>
      <w:r>
        <w:rPr>
          <w:rFonts w:ascii="仿宋_GB2312" w:hAnsi="宋体" w:eastAsia="仿宋_GB2312"/>
          <w:b/>
          <w:bCs/>
          <w:color w:val="000000" w:themeColor="text1"/>
          <w:sz w:val="30"/>
          <w:szCs w:val="30"/>
          <w14:textFill>
            <w14:solidFill>
              <w14:schemeClr w14:val="tx1"/>
            </w14:solidFill>
          </w14:textFill>
        </w:rPr>
        <w:t>2022</w:t>
      </w:r>
      <w:r>
        <w:rPr>
          <w:rFonts w:hint="eastAsia" w:ascii="仿宋_GB2312" w:hAnsi="宋体" w:eastAsia="仿宋_GB2312"/>
          <w:b/>
          <w:bCs/>
          <w:color w:val="000000" w:themeColor="text1"/>
          <w:sz w:val="30"/>
          <w:szCs w:val="30"/>
          <w14:textFill>
            <w14:solidFill>
              <w14:schemeClr w14:val="tx1"/>
            </w14:solidFill>
          </w14:textFill>
        </w:rPr>
        <w:t>年防城港校区固定资产搬迁服务采购</w:t>
      </w:r>
      <w:bookmarkEnd w:id="0"/>
    </w:p>
    <w:p>
      <w:pPr>
        <w:pStyle w:val="13"/>
        <w:snapToGrid w:val="0"/>
        <w:spacing w:line="360" w:lineRule="auto"/>
        <w:ind w:firstLine="1125" w:firstLineChars="393"/>
        <w:rPr>
          <w:rFonts w:ascii="仿宋_GB2312" w:hAnsi="宋体" w:eastAsia="仿宋_GB2312"/>
          <w:b/>
          <w:bCs/>
          <w:color w:val="000000" w:themeColor="text1"/>
          <w:w w:val="95"/>
          <w:sz w:val="30"/>
          <w:szCs w:val="30"/>
          <w14:textFill>
            <w14:solidFill>
              <w14:schemeClr w14:val="tx1"/>
            </w14:solidFill>
          </w14:textFill>
        </w:rPr>
      </w:pPr>
      <w:r>
        <w:rPr>
          <w:rFonts w:hint="eastAsia" w:ascii="仿宋_GB2312" w:hAnsi="宋体" w:eastAsia="仿宋_GB2312"/>
          <w:b/>
          <w:bCs/>
          <w:color w:val="000000" w:themeColor="text1"/>
          <w:w w:val="95"/>
          <w:sz w:val="30"/>
          <w:szCs w:val="30"/>
          <w14:textFill>
            <w14:solidFill>
              <w14:schemeClr w14:val="tx1"/>
            </w14:solidFill>
          </w14:textFill>
        </w:rPr>
        <w:t>采 购 人： 广西财经学院后勤管理服务中心</w:t>
      </w:r>
    </w:p>
    <w:p>
      <w:pPr>
        <w:pStyle w:val="13"/>
        <w:snapToGrid w:val="0"/>
        <w:spacing w:line="360" w:lineRule="auto"/>
        <w:ind w:firstLine="1125" w:firstLineChars="393"/>
        <w:rPr>
          <w:rFonts w:ascii="仿宋_GB2312" w:hAnsi="宋体" w:eastAsia="仿宋_GB2312"/>
          <w:b/>
          <w:bCs/>
          <w:color w:val="000000" w:themeColor="text1"/>
          <w:w w:val="95"/>
          <w:sz w:val="30"/>
          <w:szCs w:val="30"/>
          <w14:textFill>
            <w14:solidFill>
              <w14:schemeClr w14:val="tx1"/>
            </w14:solidFill>
          </w14:textFill>
        </w:rPr>
      </w:pPr>
    </w:p>
    <w:p>
      <w:pPr>
        <w:pStyle w:val="13"/>
        <w:snapToGrid w:val="0"/>
        <w:spacing w:line="360" w:lineRule="auto"/>
        <w:ind w:firstLine="1125" w:firstLineChars="393"/>
        <w:rPr>
          <w:rFonts w:ascii="仿宋_GB2312" w:hAnsi="宋体" w:eastAsia="仿宋_GB2312"/>
          <w:b/>
          <w:bCs/>
          <w:color w:val="000000" w:themeColor="text1"/>
          <w:w w:val="95"/>
          <w:sz w:val="30"/>
          <w:szCs w:val="30"/>
          <w14:textFill>
            <w14:solidFill>
              <w14:schemeClr w14:val="tx1"/>
            </w14:solidFill>
          </w14:textFill>
        </w:rPr>
      </w:pPr>
    </w:p>
    <w:p>
      <w:pPr>
        <w:pStyle w:val="13"/>
        <w:snapToGrid w:val="0"/>
        <w:spacing w:line="360" w:lineRule="auto"/>
        <w:ind w:left="420" w:firstLine="841" w:firstLineChars="294"/>
        <w:rPr>
          <w:rFonts w:ascii="仿宋_GB2312" w:eastAsia="仿宋_GB2312"/>
          <w:color w:val="000000" w:themeColor="text1"/>
          <w:szCs w:val="20"/>
          <w14:textFill>
            <w14:solidFill>
              <w14:schemeClr w14:val="tx1"/>
            </w14:solidFill>
          </w14:textFill>
        </w:rPr>
      </w:pPr>
      <w:r>
        <w:rPr>
          <w:rFonts w:hint="eastAsia" w:ascii="仿宋_GB2312" w:hAnsi="宋体" w:eastAsia="仿宋_GB2312"/>
          <w:b/>
          <w:bCs/>
          <w:color w:val="000000" w:themeColor="text1"/>
          <w:w w:val="95"/>
          <w:sz w:val="30"/>
          <w:szCs w:val="30"/>
          <w14:textFill>
            <w14:solidFill>
              <w14:schemeClr w14:val="tx1"/>
            </w14:solidFill>
          </w14:textFill>
        </w:rPr>
        <w:t xml:space="preserve">               2022年</w:t>
      </w:r>
      <w:r>
        <w:rPr>
          <w:rFonts w:ascii="仿宋_GB2312" w:hAnsi="宋体" w:eastAsia="仿宋_GB2312"/>
          <w:b/>
          <w:bCs/>
          <w:color w:val="000000" w:themeColor="text1"/>
          <w:w w:val="95"/>
          <w:sz w:val="30"/>
          <w:szCs w:val="30"/>
          <w14:textFill>
            <w14:solidFill>
              <w14:schemeClr w14:val="tx1"/>
            </w14:solidFill>
          </w14:textFill>
        </w:rPr>
        <w:t>9</w:t>
      </w:r>
      <w:r>
        <w:rPr>
          <w:rFonts w:hint="eastAsia" w:ascii="仿宋_GB2312" w:hAnsi="宋体" w:eastAsia="仿宋_GB2312"/>
          <w:b/>
          <w:bCs/>
          <w:color w:val="000000" w:themeColor="text1"/>
          <w:w w:val="95"/>
          <w:sz w:val="30"/>
          <w:szCs w:val="30"/>
          <w14:textFill>
            <w14:solidFill>
              <w14:schemeClr w14:val="tx1"/>
            </w14:solidFill>
          </w14:textFill>
        </w:rPr>
        <w:t>月15日</w:t>
      </w:r>
    </w:p>
    <w:p>
      <w:pPr>
        <w:spacing w:line="360" w:lineRule="auto"/>
        <w:jc w:val="center"/>
        <w:rPr>
          <w:rFonts w:ascii="宋体" w:hAnsi="宋体" w:cs="宋体"/>
          <w:b/>
          <w:bCs/>
          <w:color w:val="000000" w:themeColor="text1"/>
          <w:kern w:val="0"/>
          <w:sz w:val="32"/>
          <w:szCs w:val="32"/>
          <w14:textFill>
            <w14:solidFill>
              <w14:schemeClr w14:val="tx1"/>
            </w14:solidFill>
          </w14:textFill>
        </w:rPr>
      </w:pPr>
    </w:p>
    <w:p>
      <w:pPr>
        <w:spacing w:line="360" w:lineRule="auto"/>
        <w:jc w:val="center"/>
        <w:rPr>
          <w:rFonts w:ascii="宋体" w:hAnsi="宋体" w:cs="宋体"/>
          <w:b/>
          <w:bCs/>
          <w:color w:val="000000" w:themeColor="text1"/>
          <w:kern w:val="0"/>
          <w:sz w:val="32"/>
          <w:szCs w:val="32"/>
          <w14:textFill>
            <w14:solidFill>
              <w14:schemeClr w14:val="tx1"/>
            </w14:solidFill>
          </w14:textFill>
        </w:rPr>
      </w:pPr>
    </w:p>
    <w:p>
      <w:pPr>
        <w:spacing w:line="360" w:lineRule="auto"/>
        <w:jc w:val="center"/>
        <w:rPr>
          <w:rFonts w:ascii="宋体" w:hAnsi="宋体" w:cs="宋体"/>
          <w:b/>
          <w:bCs/>
          <w:color w:val="000000" w:themeColor="text1"/>
          <w:kern w:val="0"/>
          <w:sz w:val="32"/>
          <w:szCs w:val="32"/>
          <w14:textFill>
            <w14:solidFill>
              <w14:schemeClr w14:val="tx1"/>
            </w14:solidFill>
          </w14:textFill>
        </w:rPr>
      </w:pPr>
    </w:p>
    <w:p>
      <w:pPr>
        <w:spacing w:line="360" w:lineRule="auto"/>
        <w:jc w:val="center"/>
        <w:rPr>
          <w:rFonts w:ascii="宋体" w:hAnsi="宋体"/>
          <w:b/>
          <w:color w:val="000000" w:themeColor="text1"/>
          <w:sz w:val="44"/>
          <w:szCs w:val="44"/>
          <w14:textFill>
            <w14:solidFill>
              <w14:schemeClr w14:val="tx1"/>
            </w14:solidFill>
          </w14:textFill>
        </w:rPr>
      </w:pPr>
      <w:r>
        <w:rPr>
          <w:rFonts w:ascii="黑体" w:hAnsi="黑体" w:eastAsia="黑体" w:cs="宋体"/>
          <w:b/>
          <w:bCs/>
          <w:color w:val="000000" w:themeColor="text1"/>
          <w:kern w:val="0"/>
          <w:sz w:val="32"/>
          <w:szCs w:val="32"/>
          <w14:textFill>
            <w14:solidFill>
              <w14:schemeClr w14:val="tx1"/>
            </w14:solidFill>
          </w14:textFill>
        </w:rPr>
        <w:br w:type="page"/>
      </w:r>
    </w:p>
    <w:p>
      <w:pPr>
        <w:spacing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目  录</w:t>
      </w:r>
    </w:p>
    <w:p>
      <w:pPr>
        <w:spacing w:line="400" w:lineRule="exact"/>
        <w:jc w:val="center"/>
        <w:rPr>
          <w:rFonts w:ascii="宋体" w:hAnsi="宋体"/>
          <w:b/>
          <w:color w:val="000000" w:themeColor="text1"/>
          <w:sz w:val="44"/>
          <w:szCs w:val="44"/>
          <w14:textFill>
            <w14:solidFill>
              <w14:schemeClr w14:val="tx1"/>
            </w14:solidFill>
          </w14:textFill>
        </w:rPr>
      </w:pPr>
    </w:p>
    <w:p>
      <w:pPr>
        <w:pStyle w:val="18"/>
        <w:tabs>
          <w:tab w:val="right" w:leader="dot" w:pos="8869"/>
        </w:tabs>
        <w:rPr>
          <w:rFonts w:asciiTheme="minorHAnsi" w:hAnsiTheme="minorHAnsi" w:eastAsiaTheme="minorEastAsia" w:cstheme="minorBidi"/>
          <w:color w:val="000000" w:themeColor="text1"/>
          <w:szCs w:val="22"/>
          <w14:textFill>
            <w14:solidFill>
              <w14:schemeClr w14:val="tx1"/>
            </w14:solidFill>
          </w14:textFill>
        </w:rPr>
      </w:pPr>
      <w:r>
        <w:rPr>
          <w:rFonts w:ascii="宋体" w:hAnsi="宋体"/>
          <w:b/>
          <w:color w:val="000000" w:themeColor="text1"/>
          <w:sz w:val="24"/>
          <w14:textFill>
            <w14:solidFill>
              <w14:schemeClr w14:val="tx1"/>
            </w14:solidFill>
          </w14:textFill>
        </w:rPr>
        <w:fldChar w:fldCharType="begin"/>
      </w:r>
      <w:r>
        <w:rPr>
          <w:rFonts w:hint="eastAsia" w:ascii="宋体" w:hAnsi="宋体"/>
          <w:b/>
          <w:color w:val="000000" w:themeColor="text1"/>
          <w:sz w:val="24"/>
          <w14:textFill>
            <w14:solidFill>
              <w14:schemeClr w14:val="tx1"/>
            </w14:solidFill>
          </w14:textFill>
        </w:rPr>
        <w:instrText xml:space="preserve">TOC \o "1-3" \h \z \u</w:instrText>
      </w:r>
      <w:r>
        <w:rPr>
          <w:rFonts w:ascii="宋体" w:hAnsi="宋体"/>
          <w:b/>
          <w:color w:val="000000" w:themeColor="text1"/>
          <w:sz w:val="24"/>
          <w14:textFill>
            <w14:solidFill>
              <w14:schemeClr w14:val="tx1"/>
            </w14:solidFill>
          </w14:textFill>
        </w:rPr>
        <w:fldChar w:fldCharType="separate"/>
      </w:r>
      <w:r>
        <w:fldChar w:fldCharType="begin"/>
      </w:r>
      <w:r>
        <w:instrText xml:space="preserve"> HYPERLINK \l "_Toc103607498" </w:instrText>
      </w:r>
      <w:r>
        <w:fldChar w:fldCharType="separate"/>
      </w:r>
      <w:r>
        <w:rPr>
          <w:rStyle w:val="26"/>
          <w:rFonts w:hint="eastAsia"/>
          <w:color w:val="000000" w:themeColor="text1"/>
          <w14:textFill>
            <w14:solidFill>
              <w14:schemeClr w14:val="tx1"/>
            </w14:solidFill>
          </w14:textFill>
        </w:rPr>
        <w:t>第一章竞争性磋商公告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_Toc103607498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8"/>
        <w:tabs>
          <w:tab w:val="right" w:leader="dot" w:pos="8869"/>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"_Toc103607499" </w:instrText>
      </w:r>
      <w:r>
        <w:fldChar w:fldCharType="separate"/>
      </w:r>
      <w:r>
        <w:rPr>
          <w:rStyle w:val="26"/>
          <w:rFonts w:hint="eastAsia"/>
          <w:color w:val="000000" w:themeColor="text1"/>
          <w14:textFill>
            <w14:solidFill>
              <w14:schemeClr w14:val="tx1"/>
            </w14:solidFill>
          </w14:textFill>
        </w:rPr>
        <w:t>第二章供应商须知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_Toc103607499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8"/>
        <w:tabs>
          <w:tab w:val="right" w:leader="dot" w:pos="8869"/>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"_Toc103607500" </w:instrText>
      </w:r>
      <w:r>
        <w:fldChar w:fldCharType="separate"/>
      </w:r>
      <w:r>
        <w:rPr>
          <w:rStyle w:val="26"/>
          <w:rFonts w:hint="eastAsia"/>
          <w:color w:val="000000" w:themeColor="text1"/>
          <w14:textFill>
            <w14:solidFill>
              <w14:schemeClr w14:val="tx1"/>
            </w14:solidFill>
          </w14:textFill>
        </w:rPr>
        <w:t>第三章采购需求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_Toc103607500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8"/>
        <w:tabs>
          <w:tab w:val="right" w:leader="dot" w:pos="8869"/>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"_Toc103607501" </w:instrText>
      </w:r>
      <w:r>
        <w:fldChar w:fldCharType="separate"/>
      </w:r>
      <w:r>
        <w:rPr>
          <w:rStyle w:val="26"/>
          <w:rFonts w:hint="eastAsia"/>
          <w:color w:val="000000" w:themeColor="text1"/>
          <w14:textFill>
            <w14:solidFill>
              <w14:schemeClr w14:val="tx1"/>
            </w14:solidFill>
          </w14:textFill>
        </w:rPr>
        <w:t>第四章评审程序、评审方法和评审标准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_Toc103607501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8"/>
        <w:tabs>
          <w:tab w:val="right" w:leader="dot" w:pos="8869"/>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"_Toc103607502" </w:instrText>
      </w:r>
      <w:r>
        <w:fldChar w:fldCharType="separate"/>
      </w:r>
      <w:r>
        <w:rPr>
          <w:rStyle w:val="26"/>
          <w:rFonts w:hint="eastAsia"/>
          <w:color w:val="000000" w:themeColor="text1"/>
          <w14:textFill>
            <w14:solidFill>
              <w14:schemeClr w14:val="tx1"/>
            </w14:solidFill>
          </w14:textFill>
        </w:rPr>
        <w:t>第五章响应文件格式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_Toc103607502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8"/>
        <w:tabs>
          <w:tab w:val="right" w:leader="dot" w:pos="8869"/>
        </w:tabs>
        <w:rPr>
          <w:rFonts w:asciiTheme="minorHAnsi" w:hAnsiTheme="minorHAnsi" w:eastAsiaTheme="minorEastAsia" w:cstheme="minorBidi"/>
          <w:color w:val="000000" w:themeColor="text1"/>
          <w:szCs w:val="22"/>
          <w14:textFill>
            <w14:solidFill>
              <w14:schemeClr w14:val="tx1"/>
            </w14:solidFill>
          </w14:textFill>
        </w:rPr>
      </w:pPr>
    </w:p>
    <w:p>
      <w:pPr>
        <w:pStyle w:val="19"/>
        <w:tabs>
          <w:tab w:val="right" w:leader="dot" w:pos="8931"/>
          <w:tab w:val="clear" w:pos="8296"/>
        </w:tabs>
        <w:snapToGrid w:val="0"/>
        <w:spacing w:line="500" w:lineRule="atLeast"/>
        <w:ind w:left="0" w:leftChars="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fldChar w:fldCharType="end"/>
      </w:r>
    </w:p>
    <w:p>
      <w:pPr>
        <w:spacing w:line="400" w:lineRule="exact"/>
        <w:jc w:val="left"/>
        <w:rPr>
          <w:rFonts w:ascii="宋体" w:hAnsi="宋体"/>
          <w:b/>
          <w:color w:val="000000" w:themeColor="text1"/>
          <w:sz w:val="32"/>
          <w:szCs w:val="32"/>
          <w14:textFill>
            <w14:solidFill>
              <w14:schemeClr w14:val="tx1"/>
            </w14:solidFill>
          </w14:textFill>
        </w:rPr>
      </w:pPr>
    </w:p>
    <w:p>
      <w:pPr>
        <w:spacing w:line="400" w:lineRule="exact"/>
        <w:jc w:val="center"/>
        <w:rPr>
          <w:rFonts w:ascii="宋体" w:hAnsi="宋体"/>
          <w:b/>
          <w:color w:val="000000" w:themeColor="text1"/>
          <w:sz w:val="32"/>
          <w:szCs w:val="32"/>
          <w14:textFill>
            <w14:solidFill>
              <w14:schemeClr w14:val="tx1"/>
            </w14:solidFill>
          </w14:textFill>
        </w:rPr>
      </w:pPr>
    </w:p>
    <w:p>
      <w:pPr>
        <w:spacing w:line="400" w:lineRule="exact"/>
        <w:jc w:val="center"/>
        <w:rPr>
          <w:rFonts w:ascii="宋体" w:hAnsi="宋体"/>
          <w:b/>
          <w:color w:val="000000" w:themeColor="text1"/>
          <w:sz w:val="32"/>
          <w:szCs w:val="32"/>
          <w14:textFill>
            <w14:solidFill>
              <w14:schemeClr w14:val="tx1"/>
            </w14:solidFill>
          </w14:textFill>
        </w:rPr>
      </w:pPr>
    </w:p>
    <w:p>
      <w:pPr>
        <w:spacing w:line="400" w:lineRule="exact"/>
        <w:jc w:val="center"/>
        <w:rPr>
          <w:rFonts w:ascii="宋体" w:hAnsi="宋体"/>
          <w:b/>
          <w:color w:val="000000" w:themeColor="text1"/>
          <w:sz w:val="32"/>
          <w:szCs w:val="32"/>
          <w14:textFill>
            <w14:solidFill>
              <w14:schemeClr w14:val="tx1"/>
            </w14:solidFill>
          </w14:textFill>
        </w:rPr>
      </w:pPr>
    </w:p>
    <w:p>
      <w:pPr>
        <w:spacing w:line="400" w:lineRule="exact"/>
        <w:jc w:val="center"/>
        <w:rPr>
          <w:rFonts w:ascii="宋体" w:hAnsi="宋体"/>
          <w:b/>
          <w:color w:val="000000" w:themeColor="text1"/>
          <w:sz w:val="32"/>
          <w:szCs w:val="32"/>
          <w14:textFill>
            <w14:solidFill>
              <w14:schemeClr w14:val="tx1"/>
            </w14:solidFill>
          </w14:textFill>
        </w:rPr>
      </w:pPr>
    </w:p>
    <w:p>
      <w:pPr>
        <w:spacing w:line="400" w:lineRule="exact"/>
        <w:rPr>
          <w:rFonts w:ascii="宋体" w:hAnsi="宋体"/>
          <w:b/>
          <w:color w:val="000000" w:themeColor="text1"/>
          <w:sz w:val="32"/>
          <w:szCs w:val="32"/>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pPr>
        <w:pStyle w:val="2"/>
        <w:jc w:val="center"/>
        <w:rPr>
          <w:color w:val="000000" w:themeColor="text1"/>
          <w14:textFill>
            <w14:solidFill>
              <w14:schemeClr w14:val="tx1"/>
            </w14:solidFill>
          </w14:textFill>
        </w:rPr>
      </w:pPr>
      <w:bookmarkStart w:id="1" w:name="_Toc103607498"/>
      <w:r>
        <w:rPr>
          <w:rFonts w:hint="eastAsia"/>
          <w:color w:val="000000" w:themeColor="text1"/>
          <w14:textFill>
            <w14:solidFill>
              <w14:schemeClr w14:val="tx1"/>
            </w14:solidFill>
          </w14:textFill>
        </w:rPr>
        <w:t>第一章竞争性磋商公告</w:t>
      </w:r>
      <w:bookmarkEnd w:id="1"/>
    </w:p>
    <w:p>
      <w:pPr>
        <w:spacing w:line="400" w:lineRule="exact"/>
        <w:jc w:val="center"/>
        <w:rPr>
          <w:rFonts w:ascii="宋体" w:hAnsi="宋体"/>
          <w:b/>
          <w:bCs/>
          <w:color w:val="000000" w:themeColor="text1"/>
          <w:sz w:val="32"/>
          <w:szCs w:val="32"/>
          <w14:textFill>
            <w14:solidFill>
              <w14:schemeClr w14:val="tx1"/>
            </w14:solidFill>
          </w14:textFill>
        </w:rPr>
      </w:pPr>
      <w:bookmarkStart w:id="2" w:name="_Hlk113949829"/>
      <w:r>
        <w:rPr>
          <w:rFonts w:hint="eastAsia" w:ascii="宋体" w:hAnsi="宋体"/>
          <w:b/>
          <w:bCs/>
          <w:color w:val="000000" w:themeColor="text1"/>
          <w:sz w:val="32"/>
          <w:szCs w:val="32"/>
          <w14:textFill>
            <w14:solidFill>
              <w14:schemeClr w14:val="tx1"/>
            </w14:solidFill>
          </w14:textFill>
        </w:rPr>
        <w:t>竞争性磋商公告</w:t>
      </w:r>
    </w:p>
    <w:bookmarkEnd w:id="2"/>
    <w:p>
      <w:pPr>
        <w:spacing w:line="360" w:lineRule="auto"/>
        <w:rPr>
          <w:rFonts w:ascii="宋体" w:hAnsi="宋体"/>
          <w:color w:val="000000" w:themeColor="text1"/>
          <w:szCs w:val="21"/>
          <w14:textFill>
            <w14:solidFill>
              <w14:schemeClr w14:val="tx1"/>
            </w14:solidFill>
          </w14:textFill>
        </w:rPr>
      </w:pPr>
    </w:p>
    <w:p>
      <w:pPr>
        <w:pBdr>
          <w:top w:val="single" w:color="auto" w:sz="4" w:space="1"/>
          <w:left w:val="single" w:color="auto" w:sz="4" w:space="4"/>
          <w:bottom w:val="single" w:color="auto" w:sz="4" w:space="0"/>
          <w:right w:val="single" w:color="auto" w:sz="4" w:space="4"/>
        </w:pBdr>
        <w:spacing w:line="360" w:lineRule="auto"/>
        <w:ind w:firstLine="420" w:firstLineChars="200"/>
        <w:jc w:val="left"/>
        <w:rPr>
          <w:rFonts w:ascii="宋体" w:hAnsi="宋体"/>
          <w:color w:val="000000" w:themeColor="text1"/>
          <w:szCs w:val="21"/>
          <w:highlight w:val="none"/>
          <w14:textFill>
            <w14:solidFill>
              <w14:schemeClr w14:val="tx1"/>
            </w14:solidFill>
          </w14:textFill>
        </w:rPr>
      </w:pPr>
      <w:bookmarkStart w:id="3" w:name="_Hlk37430271"/>
      <w:r>
        <w:rPr>
          <w:rFonts w:hint="eastAsia" w:ascii="宋体" w:hAnsi="宋体"/>
          <w:color w:val="000000" w:themeColor="text1"/>
          <w:szCs w:val="21"/>
          <w:highlight w:val="none"/>
          <w14:textFill>
            <w14:solidFill>
              <w14:schemeClr w14:val="tx1"/>
            </w14:solidFill>
          </w14:textFill>
        </w:rPr>
        <w:t>项目概况</w:t>
      </w:r>
    </w:p>
    <w:p>
      <w:pPr>
        <w:pBdr>
          <w:top w:val="single" w:color="auto" w:sz="4" w:space="1"/>
          <w:left w:val="single" w:color="auto" w:sz="4" w:space="4"/>
          <w:bottom w:val="single" w:color="auto" w:sz="4" w:space="0"/>
          <w:right w:val="single" w:color="auto" w:sz="4" w:space="4"/>
        </w:pBd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2022年防城港校区固定资产搬迁服务采购</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项目的潜在供应商应在广西财经学院网站采购信息（</w:t>
      </w:r>
      <w:r>
        <w:rPr>
          <w:rFonts w:ascii="宋体" w:hAnsi="宋体"/>
          <w:color w:val="000000" w:themeColor="text1"/>
          <w:szCs w:val="21"/>
          <w:highlight w:val="none"/>
          <w14:textFill>
            <w14:solidFill>
              <w14:schemeClr w14:val="tx1"/>
            </w14:solidFill>
          </w14:textFill>
        </w:rPr>
        <w:t>https://www.gxufe.edu.cn/</w:t>
      </w:r>
      <w:r>
        <w:rPr>
          <w:rFonts w:hint="eastAsia" w:ascii="宋体" w:hAnsi="宋体"/>
          <w:color w:val="000000" w:themeColor="text1"/>
          <w:szCs w:val="21"/>
          <w:highlight w:val="none"/>
          <w14:textFill>
            <w14:solidFill>
              <w14:schemeClr w14:val="tx1"/>
            </w14:solidFill>
          </w14:textFill>
        </w:rPr>
        <w:t>）下载竞争性磋商文件，并于</w:t>
      </w:r>
      <w:r>
        <w:rPr>
          <w:rFonts w:hint="eastAsia" w:ascii="宋体" w:hAnsi="宋体"/>
          <w:color w:val="000000" w:themeColor="text1"/>
          <w:szCs w:val="21"/>
          <w:highlight w:val="none"/>
          <w:u w:val="single"/>
          <w14:textFill>
            <w14:solidFill>
              <w14:schemeClr w14:val="tx1"/>
            </w14:solidFill>
          </w14:textFill>
        </w:rPr>
        <w:t xml:space="preserve"> 2022 </w:t>
      </w:r>
      <w:r>
        <w:rPr>
          <w:rFonts w:hint="eastAsia" w:ascii="宋体" w:hAnsi="宋体"/>
          <w:bCs/>
          <w:color w:val="000000" w:themeColor="text1"/>
          <w:szCs w:val="21"/>
          <w:highlight w:val="none"/>
          <w:u w:val="single"/>
          <w14:textFill>
            <w14:solidFill>
              <w14:schemeClr w14:val="tx1"/>
            </w14:solidFill>
          </w14:textFill>
        </w:rPr>
        <w:t>年9月23日10时 0 分（</w:t>
      </w:r>
      <w:r>
        <w:rPr>
          <w:rFonts w:hint="eastAsia" w:ascii="宋体" w:hAnsi="宋体"/>
          <w:bCs/>
          <w:color w:val="000000" w:themeColor="text1"/>
          <w:szCs w:val="21"/>
          <w:highlight w:val="none"/>
          <w14:textFill>
            <w14:solidFill>
              <w14:schemeClr w14:val="tx1"/>
            </w14:solidFill>
          </w14:textFill>
        </w:rPr>
        <w:t>北京时间）前提交</w:t>
      </w:r>
      <w:r>
        <w:rPr>
          <w:rFonts w:hint="eastAsia" w:ascii="宋体" w:hAnsi="宋体"/>
          <w:color w:val="000000" w:themeColor="text1"/>
          <w:szCs w:val="21"/>
          <w:highlight w:val="none"/>
          <w14:textFill>
            <w14:solidFill>
              <w14:schemeClr w14:val="tx1"/>
            </w14:solidFill>
          </w14:textFill>
        </w:rPr>
        <w:t>响应</w:t>
      </w:r>
      <w:r>
        <w:rPr>
          <w:rFonts w:hint="eastAsia" w:ascii="宋体" w:hAnsi="宋体"/>
          <w:bCs/>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w:t>
      </w:r>
    </w:p>
    <w:p>
      <w:pPr>
        <w:spacing w:line="360" w:lineRule="auto"/>
        <w:rPr>
          <w:rFonts w:ascii="宋体" w:hAnsi="宋体"/>
          <w:color w:val="000000" w:themeColor="text1"/>
          <w:szCs w:val="21"/>
          <w14:textFill>
            <w14:solidFill>
              <w14:schemeClr w14:val="tx1"/>
            </w14:solidFill>
          </w14:textFill>
        </w:rPr>
      </w:pPr>
    </w:p>
    <w:p>
      <w:pPr>
        <w:ind w:firstLine="354" w:firstLineChars="147"/>
        <w:rPr>
          <w:rFonts w:ascii="黑体" w:hAnsi="黑体" w:eastAsia="黑体"/>
          <w:b/>
          <w:color w:val="000000" w:themeColor="text1"/>
          <w:sz w:val="24"/>
          <w14:textFill>
            <w14:solidFill>
              <w14:schemeClr w14:val="tx1"/>
            </w14:solidFill>
          </w14:textFill>
        </w:rPr>
      </w:pPr>
      <w:bookmarkStart w:id="4" w:name="_Toc35393798"/>
      <w:bookmarkStart w:id="5" w:name="_Toc28359012"/>
      <w:bookmarkStart w:id="6" w:name="_Toc28359089"/>
      <w:bookmarkStart w:id="7" w:name="_Toc44229878"/>
      <w:bookmarkStart w:id="8" w:name="_Toc71365905"/>
      <w:bookmarkStart w:id="9" w:name="_Toc35393629"/>
      <w:r>
        <w:rPr>
          <w:rFonts w:hint="eastAsia" w:ascii="黑体" w:hAnsi="黑体" w:eastAsia="黑体"/>
          <w:b/>
          <w:color w:val="000000" w:themeColor="text1"/>
          <w:sz w:val="24"/>
          <w14:textFill>
            <w14:solidFill>
              <w14:schemeClr w14:val="tx1"/>
            </w14:solidFill>
          </w14:textFill>
        </w:rPr>
        <w:t>一、项目基本情况</w:t>
      </w:r>
      <w:bookmarkEnd w:id="4"/>
      <w:bookmarkEnd w:id="5"/>
      <w:bookmarkEnd w:id="6"/>
      <w:bookmarkEnd w:id="7"/>
      <w:bookmarkEnd w:id="8"/>
      <w:bookmarkEnd w:id="9"/>
    </w:p>
    <w:p>
      <w:pPr>
        <w:spacing w:line="360" w:lineRule="auto"/>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项目名称：2022年防城港校区固定资产搬迁服务采购</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采购方式：竞争性磋商</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预算金额：</w:t>
      </w:r>
      <w:r>
        <w:rPr>
          <w:rFonts w:ascii="宋体" w:hAnsi="宋体"/>
          <w:iCs/>
          <w:color w:val="000000" w:themeColor="text1"/>
          <w:szCs w:val="21"/>
          <w:u w:val="single"/>
          <w14:textFill>
            <w14:solidFill>
              <w14:schemeClr w14:val="tx1"/>
            </w14:solidFill>
          </w14:textFill>
        </w:rPr>
        <w:t>48.23</w:t>
      </w:r>
      <w:r>
        <w:rPr>
          <w:rFonts w:hint="eastAsia" w:ascii="宋体" w:hAnsi="宋体"/>
          <w:iCs/>
          <w:color w:val="000000" w:themeColor="text1"/>
          <w:szCs w:val="21"/>
          <w:u w:val="single"/>
          <w14:textFill>
            <w14:solidFill>
              <w14:schemeClr w14:val="tx1"/>
            </w14:solidFill>
          </w14:textFill>
        </w:rPr>
        <w:t>万元。</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最高限价：</w:t>
      </w:r>
      <w:r>
        <w:rPr>
          <w:rFonts w:ascii="宋体" w:hAnsi="宋体"/>
          <w:iCs/>
          <w:szCs w:val="21"/>
          <w:u w:val="single"/>
        </w:rPr>
        <w:t>4</w:t>
      </w:r>
      <w:r>
        <w:rPr>
          <w:rFonts w:hint="eastAsia" w:ascii="宋体" w:hAnsi="宋体"/>
          <w:iCs/>
          <w:szCs w:val="21"/>
          <w:u w:val="single"/>
        </w:rPr>
        <w:t>8</w:t>
      </w:r>
      <w:r>
        <w:rPr>
          <w:rFonts w:ascii="宋体" w:hAnsi="宋体"/>
          <w:iCs/>
          <w:szCs w:val="21"/>
          <w:u w:val="single"/>
        </w:rPr>
        <w:t>.</w:t>
      </w:r>
      <w:r>
        <w:rPr>
          <w:rFonts w:hint="eastAsia" w:ascii="宋体" w:hAnsi="宋体"/>
          <w:iCs/>
          <w:szCs w:val="21"/>
          <w:u w:val="single"/>
        </w:rPr>
        <w:t>23万元。</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采购需求：</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1141"/>
        <w:gridCol w:w="1559"/>
        <w:gridCol w:w="46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标的名称</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数量及</w:t>
            </w:r>
          </w:p>
          <w:p>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01</w:t>
            </w: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2022年防城港校区固定资产搬迁服务采购</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约1</w:t>
            </w:r>
            <w:r>
              <w:rPr>
                <w:rFonts w:ascii="宋体" w:hAnsi="宋体" w:cs="宋体"/>
                <w:color w:val="000000" w:themeColor="text1"/>
                <w:szCs w:val="21"/>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车次</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r>
              <w:rPr>
                <w:rFonts w:hint="eastAsia" w:ascii="宋体" w:hAnsi="宋体"/>
                <w:color w:val="auto"/>
                <w:szCs w:val="21"/>
                <w:highlight w:val="none"/>
              </w:rPr>
              <w:t>一、项目概况</w:t>
            </w:r>
          </w:p>
          <w:p>
            <w:pPr>
              <w:widowControl/>
              <w:jc w:val="left"/>
              <w:rPr>
                <w:rFonts w:ascii="宋体" w:hAnsi="宋体"/>
                <w:color w:val="auto"/>
                <w:szCs w:val="21"/>
                <w:highlight w:val="none"/>
              </w:rPr>
            </w:pPr>
            <w:r>
              <w:rPr>
                <w:rFonts w:hint="eastAsia" w:ascii="宋体" w:hAnsi="宋体"/>
                <w:color w:val="auto"/>
                <w:szCs w:val="21"/>
                <w:highlight w:val="none"/>
              </w:rPr>
              <w:t>广西财经学院防城港校区（防城港市江山半岛科教园区内）物资搬迁至我校明秀校区（南宁市明秀西路100号）及相思湖校区（南宁市大学西路189号）指定位置，详细物资参数及要求见《搬迁设备清单》（清单答疑会现场提供）。</w:t>
            </w:r>
          </w:p>
          <w:p>
            <w:pPr>
              <w:widowControl/>
              <w:jc w:val="left"/>
              <w:rPr>
                <w:rFonts w:ascii="宋体" w:hAnsi="宋体"/>
                <w:color w:val="auto"/>
                <w:szCs w:val="21"/>
                <w:highlight w:val="none"/>
              </w:rPr>
            </w:pPr>
            <w:r>
              <w:rPr>
                <w:rFonts w:hint="eastAsia" w:ascii="宋体" w:hAnsi="宋体"/>
                <w:color w:val="auto"/>
                <w:szCs w:val="21"/>
                <w:highlight w:val="none"/>
              </w:rPr>
              <w:t>二、服务范围及工作内容</w:t>
            </w:r>
          </w:p>
          <w:p>
            <w:pPr>
              <w:widowControl/>
              <w:jc w:val="left"/>
              <w:rPr>
                <w:rFonts w:ascii="宋体" w:hAnsi="宋体"/>
                <w:color w:val="auto"/>
                <w:szCs w:val="21"/>
                <w:highlight w:val="none"/>
              </w:rPr>
            </w:pPr>
            <w:r>
              <w:rPr>
                <w:rFonts w:hint="eastAsia" w:ascii="宋体" w:hAnsi="宋体"/>
                <w:color w:val="auto"/>
                <w:szCs w:val="21"/>
                <w:highlight w:val="none"/>
              </w:rPr>
              <w:t>负责防城港校区物资拆卸、打包、运输至明秀校区和相思湖校区指定位置，并按要求进行组装、摆放。</w:t>
            </w:r>
          </w:p>
          <w:p>
            <w:pPr>
              <w:widowControl/>
              <w:jc w:val="left"/>
              <w:rPr>
                <w:rFonts w:ascii="宋体" w:hAnsi="宋体"/>
                <w:color w:val="auto"/>
                <w:szCs w:val="21"/>
                <w:highlight w:val="none"/>
              </w:rPr>
            </w:pPr>
            <w:r>
              <w:rPr>
                <w:rFonts w:hint="eastAsia" w:ascii="宋体" w:hAnsi="宋体"/>
                <w:color w:val="auto"/>
                <w:szCs w:val="21"/>
                <w:highlight w:val="none"/>
              </w:rPr>
              <w:t>三、服务要求</w:t>
            </w:r>
          </w:p>
          <w:p>
            <w:pPr>
              <w:widowControl/>
              <w:jc w:val="left"/>
              <w:rPr>
                <w:rFonts w:ascii="宋体" w:hAnsi="宋体"/>
                <w:color w:val="auto"/>
                <w:szCs w:val="21"/>
                <w:highlight w:val="none"/>
              </w:rPr>
            </w:pPr>
            <w:r>
              <w:rPr>
                <w:rFonts w:hint="eastAsia" w:ascii="宋体" w:hAnsi="宋体"/>
                <w:color w:val="auto"/>
                <w:szCs w:val="21"/>
                <w:highlight w:val="none"/>
              </w:rPr>
              <w:t>1.树立“服务第一，客户至上”的思想，切实做好搬迁服务工作。</w:t>
            </w:r>
          </w:p>
          <w:p>
            <w:pPr>
              <w:widowControl/>
              <w:jc w:val="left"/>
              <w:rPr>
                <w:rFonts w:ascii="宋体" w:hAnsi="宋体"/>
                <w:color w:val="auto"/>
                <w:szCs w:val="21"/>
                <w:highlight w:val="none"/>
              </w:rPr>
            </w:pPr>
            <w:r>
              <w:rPr>
                <w:rFonts w:hint="eastAsia" w:ascii="宋体" w:hAnsi="宋体"/>
                <w:color w:val="auto"/>
                <w:szCs w:val="21"/>
                <w:highlight w:val="none"/>
              </w:rPr>
              <w:t>2.拆装、搬运及运输过程确保甲方物资保安全，如有损坏、丢失等，照价赔偿。</w:t>
            </w:r>
          </w:p>
          <w:p>
            <w:pPr>
              <w:widowControl/>
              <w:jc w:val="left"/>
              <w:rPr>
                <w:rFonts w:ascii="宋体" w:hAnsi="宋体"/>
                <w:color w:val="auto"/>
                <w:szCs w:val="21"/>
                <w:highlight w:val="none"/>
              </w:rPr>
            </w:pPr>
            <w:r>
              <w:rPr>
                <w:rFonts w:hint="eastAsia" w:ascii="宋体" w:hAnsi="宋体"/>
                <w:color w:val="auto"/>
                <w:szCs w:val="21"/>
                <w:highlight w:val="none"/>
              </w:rPr>
              <w:t>3.制定专用搬迁工单，一式两联，包含运输物资清单登记，运输车辆信息登记，搬迁运输经手人，物资接收人等信息，用于搬迁后费用结算依据。</w:t>
            </w:r>
          </w:p>
          <w:p>
            <w:pPr>
              <w:widowControl/>
              <w:jc w:val="left"/>
              <w:rPr>
                <w:rFonts w:ascii="宋体" w:hAnsi="宋体"/>
                <w:color w:val="auto"/>
                <w:szCs w:val="21"/>
                <w:highlight w:val="none"/>
              </w:rPr>
            </w:pPr>
            <w:r>
              <w:rPr>
                <w:rFonts w:hint="eastAsia" w:ascii="宋体" w:hAnsi="宋体"/>
                <w:color w:val="auto"/>
                <w:szCs w:val="21"/>
                <w:highlight w:val="none"/>
              </w:rPr>
              <w:t>4.物资搬迁需按照甲方要求进行拆、装和打包（详见《搬迁设备清单》）。</w:t>
            </w:r>
          </w:p>
          <w:p>
            <w:pPr>
              <w:widowControl/>
              <w:jc w:val="left"/>
              <w:rPr>
                <w:rFonts w:ascii="宋体" w:hAnsi="宋体"/>
                <w:color w:val="auto"/>
                <w:szCs w:val="21"/>
                <w:highlight w:val="none"/>
              </w:rPr>
            </w:pPr>
            <w:r>
              <w:rPr>
                <w:rFonts w:hint="eastAsia" w:ascii="宋体" w:hAnsi="宋体"/>
                <w:color w:val="auto"/>
                <w:szCs w:val="21"/>
                <w:highlight w:val="none"/>
              </w:rPr>
              <w:t>5.物资摆放需按照接收人要求进行组装和指定位置摆放。</w:t>
            </w:r>
          </w:p>
          <w:p>
            <w:pPr>
              <w:widowControl/>
              <w:jc w:val="left"/>
              <w:rPr>
                <w:rFonts w:ascii="宋体" w:hAnsi="宋体"/>
                <w:color w:val="auto"/>
                <w:szCs w:val="21"/>
                <w:highlight w:val="none"/>
              </w:rPr>
            </w:pPr>
            <w:r>
              <w:rPr>
                <w:rFonts w:hint="eastAsia" w:ascii="宋体" w:hAnsi="宋体"/>
                <w:color w:val="auto"/>
                <w:szCs w:val="21"/>
                <w:highlight w:val="none"/>
              </w:rPr>
              <w:t>6.搬迁车辆要求：中型货车（车厢长≥4.2米，高≥2.5米，宽≥2米的高栏或厢式货车）及大型货车（厢长≥9.6米，高≥3米，宽≥2.5米的高栏或厢式货车）</w:t>
            </w:r>
          </w:p>
          <w:p>
            <w:pPr>
              <w:widowControl/>
              <w:jc w:val="left"/>
              <w:rPr>
                <w:rFonts w:ascii="宋体" w:hAnsi="宋体"/>
                <w:color w:val="auto"/>
                <w:szCs w:val="21"/>
                <w:highlight w:val="none"/>
              </w:rPr>
            </w:pPr>
            <w:r>
              <w:rPr>
                <w:rFonts w:hint="eastAsia" w:ascii="宋体" w:hAnsi="宋体"/>
                <w:color w:val="auto"/>
                <w:szCs w:val="21"/>
                <w:highlight w:val="none"/>
              </w:rPr>
              <w:t>7.搬迁费用按实际搬运车次结算，车次单价包含油费、过路费、拆装、打包、人工、税费等所有费用。</w:t>
            </w:r>
          </w:p>
          <w:p>
            <w:pPr>
              <w:widowControl/>
              <w:jc w:val="left"/>
              <w:rPr>
                <w:rFonts w:ascii="宋体" w:hAnsi="宋体"/>
                <w:color w:val="auto"/>
                <w:szCs w:val="21"/>
                <w:highlight w:val="none"/>
              </w:rPr>
            </w:pPr>
            <w:r>
              <w:rPr>
                <w:rFonts w:hint="eastAsia" w:ascii="宋体" w:hAnsi="宋体"/>
                <w:color w:val="auto"/>
                <w:szCs w:val="21"/>
                <w:highlight w:val="none"/>
              </w:rPr>
              <w:t>四、搬迁时间</w:t>
            </w:r>
          </w:p>
          <w:p>
            <w:pPr>
              <w:widowControl/>
              <w:jc w:val="left"/>
              <w:rPr>
                <w:rFonts w:ascii="宋体" w:hAnsi="宋体"/>
                <w:color w:val="auto"/>
                <w:szCs w:val="21"/>
                <w:highlight w:val="none"/>
              </w:rPr>
            </w:pPr>
            <w:r>
              <w:rPr>
                <w:rFonts w:hint="eastAsia" w:ascii="宋体" w:hAnsi="宋体"/>
                <w:color w:val="auto"/>
                <w:szCs w:val="21"/>
                <w:highlight w:val="none"/>
              </w:rPr>
              <w:t>15个工作日那内完成甲方指定物资搬迁工作。</w:t>
            </w:r>
          </w:p>
          <w:p>
            <w:pPr>
              <w:widowControl/>
              <w:jc w:val="left"/>
              <w:rPr>
                <w:rFonts w:ascii="宋体" w:hAnsi="宋体"/>
                <w:color w:val="auto"/>
                <w:szCs w:val="21"/>
                <w:highlight w:val="none"/>
              </w:rPr>
            </w:pPr>
            <w:r>
              <w:rPr>
                <w:rFonts w:hint="eastAsia" w:ascii="宋体" w:hAnsi="宋体"/>
                <w:color w:val="auto"/>
                <w:szCs w:val="21"/>
                <w:highlight w:val="none"/>
              </w:rPr>
              <w:t>五、采购预算及结算方式</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auto"/>
                <w:szCs w:val="21"/>
                <w:highlight w:val="none"/>
              </w:rPr>
              <w:t>本项目预计使用中型货车111车/次，大型货车16车/次，采购预算上限金额共计人民币肆拾捌万贰仟叁佰元整（￥482300.00）。最终结算金额以实际搬运车次结算，甲方审核工单无误后，乙方开具有效发票交由甲方出账。</w:t>
            </w:r>
          </w:p>
        </w:tc>
      </w:tr>
    </w:tbl>
    <w:p>
      <w:pPr>
        <w:ind w:firstLine="354" w:firstLineChars="147"/>
        <w:rPr>
          <w:rFonts w:ascii="黑体" w:hAnsi="黑体" w:eastAsia="黑体"/>
          <w:b/>
          <w:color w:val="000000" w:themeColor="text1"/>
          <w:sz w:val="24"/>
          <w14:textFill>
            <w14:solidFill>
              <w14:schemeClr w14:val="tx1"/>
            </w14:solidFill>
          </w14:textFill>
        </w:rPr>
      </w:pPr>
      <w:bookmarkStart w:id="10" w:name="_Toc35393799"/>
      <w:bookmarkStart w:id="11" w:name="_Toc28359090"/>
      <w:bookmarkStart w:id="12" w:name="_Toc35393630"/>
      <w:bookmarkStart w:id="13" w:name="_Toc28359013"/>
      <w:bookmarkStart w:id="14" w:name="_Toc44229879"/>
      <w:bookmarkStart w:id="15" w:name="_Toc71365906"/>
      <w:r>
        <w:rPr>
          <w:rFonts w:hint="eastAsia" w:ascii="黑体" w:hAnsi="黑体" w:eastAsia="黑体"/>
          <w:b/>
          <w:color w:val="000000" w:themeColor="text1"/>
          <w:sz w:val="24"/>
          <w14:textFill>
            <w14:solidFill>
              <w14:schemeClr w14:val="tx1"/>
            </w14:solidFill>
          </w14:textFill>
        </w:rPr>
        <w:t>二、申请人的资格条件：</w:t>
      </w:r>
      <w:bookmarkEnd w:id="10"/>
      <w:bookmarkEnd w:id="11"/>
      <w:bookmarkEnd w:id="12"/>
      <w:bookmarkEnd w:id="13"/>
      <w:bookmarkEnd w:id="14"/>
      <w:bookmarkEnd w:id="15"/>
    </w:p>
    <w:p>
      <w:pPr>
        <w:spacing w:line="360" w:lineRule="auto"/>
        <w:ind w:firstLine="420" w:firstLineChars="200"/>
        <w:rPr>
          <w:rFonts w:ascii="宋体" w:hAnsi="宋体"/>
          <w:color w:val="000000" w:themeColor="text1"/>
          <w:szCs w:val="21"/>
          <w14:textFill>
            <w14:solidFill>
              <w14:schemeClr w14:val="tx1"/>
            </w14:solidFill>
          </w14:textFill>
        </w:rPr>
      </w:pPr>
      <w:bookmarkStart w:id="16" w:name="_Toc28359014"/>
      <w:bookmarkStart w:id="17" w:name="_Toc35393631"/>
      <w:bookmarkStart w:id="18" w:name="_Toc28359091"/>
      <w:bookmarkStart w:id="19" w:name="_Toc35393800"/>
      <w:bookmarkStart w:id="20" w:name="_Toc44229880"/>
      <w:r>
        <w:rPr>
          <w:rFonts w:hint="eastAsia" w:ascii="宋体" w:hAnsi="宋体"/>
          <w:color w:val="000000" w:themeColor="text1"/>
          <w:szCs w:val="21"/>
          <w14:textFill>
            <w14:solidFill>
              <w14:schemeClr w14:val="tx1"/>
            </w14:solidFill>
          </w14:textFill>
        </w:rPr>
        <w:t>1.满足《中华人民共和国政府采购法》第二十二条规定。</w:t>
      </w:r>
    </w:p>
    <w:p>
      <w:pPr>
        <w:spacing w:line="360" w:lineRule="auto"/>
        <w:ind w:firstLine="420" w:firstLineChars="200"/>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 xml:space="preserve"> 本项目不接受联合体竞标</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本项目不允许转包</w:t>
      </w:r>
    </w:p>
    <w:p>
      <w:pPr>
        <w:ind w:firstLine="354" w:firstLineChars="147"/>
        <w:rPr>
          <w:rFonts w:ascii="黑体" w:hAnsi="黑体" w:eastAsia="黑体"/>
          <w:b/>
          <w:color w:val="000000" w:themeColor="text1"/>
          <w:sz w:val="24"/>
          <w:highlight w:val="none"/>
          <w14:textFill>
            <w14:solidFill>
              <w14:schemeClr w14:val="tx1"/>
            </w14:solidFill>
          </w14:textFill>
        </w:rPr>
      </w:pPr>
      <w:bookmarkStart w:id="68" w:name="_GoBack"/>
      <w:bookmarkEnd w:id="68"/>
      <w:bookmarkStart w:id="21" w:name="_Toc71365907"/>
      <w:r>
        <w:rPr>
          <w:rFonts w:hint="eastAsia" w:ascii="黑体" w:hAnsi="黑体" w:eastAsia="黑体"/>
          <w:b/>
          <w:color w:val="000000" w:themeColor="text1"/>
          <w:sz w:val="24"/>
          <w:highlight w:val="none"/>
          <w14:textFill>
            <w14:solidFill>
              <w14:schemeClr w14:val="tx1"/>
            </w14:solidFill>
          </w14:textFill>
        </w:rPr>
        <w:t>三、获取竞争性磋商文件</w:t>
      </w:r>
      <w:bookmarkEnd w:id="16"/>
      <w:bookmarkEnd w:id="17"/>
      <w:bookmarkEnd w:id="18"/>
      <w:bookmarkEnd w:id="19"/>
      <w:bookmarkEnd w:id="20"/>
      <w:bookmarkEnd w:id="21"/>
    </w:p>
    <w:p>
      <w:pPr>
        <w:spacing w:line="360" w:lineRule="auto"/>
        <w:ind w:firstLine="420" w:firstLineChars="200"/>
        <w:rPr>
          <w:rFonts w:ascii="宋体" w:hAnsi="宋体" w:cs="宋体"/>
          <w:bCs/>
          <w:color w:val="000000" w:themeColor="text1"/>
          <w:kern w:val="0"/>
          <w:szCs w:val="21"/>
          <w:highlight w:val="none"/>
          <w14:textFill>
            <w14:solidFill>
              <w14:schemeClr w14:val="tx1"/>
            </w14:solidFill>
          </w14:textFill>
        </w:rPr>
      </w:pPr>
      <w:bookmarkStart w:id="22" w:name="_Toc35393801"/>
      <w:bookmarkStart w:id="23" w:name="_Toc44229881"/>
      <w:bookmarkStart w:id="24" w:name="_Toc28359015"/>
      <w:bookmarkStart w:id="25" w:name="_Toc28359092"/>
      <w:bookmarkStart w:id="26" w:name="_Toc35393632"/>
      <w:r>
        <w:rPr>
          <w:rFonts w:hint="eastAsia" w:ascii="宋体" w:hAnsi="宋体" w:cs="宋体"/>
          <w:bCs/>
          <w:color w:val="000000" w:themeColor="text1"/>
          <w:kern w:val="0"/>
          <w:szCs w:val="21"/>
          <w:highlight w:val="none"/>
          <w14:textFill>
            <w14:solidFill>
              <w14:schemeClr w14:val="tx1"/>
            </w14:solidFill>
          </w14:textFill>
        </w:rPr>
        <w:t>时间：</w:t>
      </w:r>
      <w:r>
        <w:rPr>
          <w:rFonts w:hint="eastAsia" w:ascii="宋体" w:hAnsi="宋体"/>
          <w:bCs/>
          <w:color w:val="000000" w:themeColor="text1"/>
          <w:szCs w:val="21"/>
          <w:highlight w:val="none"/>
          <w:u w:val="single"/>
          <w14:textFill>
            <w14:solidFill>
              <w14:schemeClr w14:val="tx1"/>
            </w14:solidFill>
          </w14:textFill>
        </w:rPr>
        <w:t xml:space="preserve"> 2022 年</w:t>
      </w:r>
      <w:r>
        <w:rPr>
          <w:rFonts w:ascii="宋体" w:hAnsi="宋体"/>
          <w:bCs/>
          <w:color w:val="000000" w:themeColor="text1"/>
          <w:szCs w:val="21"/>
          <w:highlight w:val="none"/>
          <w:u w:val="single"/>
          <w14:textFill>
            <w14:solidFill>
              <w14:schemeClr w14:val="tx1"/>
            </w14:solidFill>
          </w14:textFill>
        </w:rPr>
        <w:t>9</w:t>
      </w:r>
      <w:r>
        <w:rPr>
          <w:rFonts w:hint="eastAsia" w:ascii="宋体" w:hAnsi="宋体"/>
          <w:bCs/>
          <w:color w:val="000000" w:themeColor="text1"/>
          <w:szCs w:val="21"/>
          <w:highlight w:val="none"/>
          <w:u w:val="single"/>
          <w14:textFill>
            <w14:solidFill>
              <w14:schemeClr w14:val="tx1"/>
            </w14:solidFill>
          </w14:textFill>
        </w:rPr>
        <w:t>月</w:t>
      </w:r>
      <w:r>
        <w:rPr>
          <w:rFonts w:ascii="宋体" w:hAnsi="宋体"/>
          <w:bCs/>
          <w:color w:val="000000" w:themeColor="text1"/>
          <w:szCs w:val="21"/>
          <w:highlight w:val="none"/>
          <w:u w:val="single"/>
          <w14:textFill>
            <w14:solidFill>
              <w14:schemeClr w14:val="tx1"/>
            </w14:solidFill>
          </w14:textFill>
        </w:rPr>
        <w:t>16</w:t>
      </w:r>
      <w:r>
        <w:rPr>
          <w:rFonts w:hint="eastAsia" w:ascii="宋体" w:hAnsi="宋体"/>
          <w:bCs/>
          <w:color w:val="000000" w:themeColor="text1"/>
          <w:szCs w:val="21"/>
          <w:highlight w:val="none"/>
          <w:u w:val="single"/>
          <w14:textFill>
            <w14:solidFill>
              <w14:schemeClr w14:val="tx1"/>
            </w14:solidFill>
          </w14:textFill>
        </w:rPr>
        <w:t>日</w:t>
      </w:r>
      <w:r>
        <w:rPr>
          <w:rFonts w:hint="eastAsia" w:ascii="宋体" w:hAnsi="宋体" w:cs="宋体"/>
          <w:bCs/>
          <w:color w:val="000000" w:themeColor="text1"/>
          <w:kern w:val="0"/>
          <w:szCs w:val="21"/>
          <w:highlight w:val="none"/>
          <w14:textFill>
            <w14:solidFill>
              <w14:schemeClr w14:val="tx1"/>
            </w14:solidFill>
          </w14:textFill>
        </w:rPr>
        <w:t>至</w:t>
      </w:r>
      <w:r>
        <w:rPr>
          <w:rFonts w:hint="eastAsia" w:ascii="宋体" w:hAnsi="宋体"/>
          <w:bCs/>
          <w:color w:val="000000" w:themeColor="text1"/>
          <w:szCs w:val="21"/>
          <w:highlight w:val="none"/>
          <w:u w:val="single"/>
          <w14:textFill>
            <w14:solidFill>
              <w14:schemeClr w14:val="tx1"/>
            </w14:solidFill>
          </w14:textFill>
        </w:rPr>
        <w:t>2022年</w:t>
      </w:r>
      <w:r>
        <w:rPr>
          <w:rFonts w:ascii="宋体" w:hAnsi="宋体"/>
          <w:bCs/>
          <w:color w:val="000000" w:themeColor="text1"/>
          <w:szCs w:val="21"/>
          <w:highlight w:val="none"/>
          <w:u w:val="single"/>
          <w14:textFill>
            <w14:solidFill>
              <w14:schemeClr w14:val="tx1"/>
            </w14:solidFill>
          </w14:textFill>
        </w:rPr>
        <w:t>9</w:t>
      </w:r>
      <w:r>
        <w:rPr>
          <w:rFonts w:hint="eastAsia" w:ascii="宋体" w:hAnsi="宋体"/>
          <w:bCs/>
          <w:color w:val="000000" w:themeColor="text1"/>
          <w:szCs w:val="21"/>
          <w:highlight w:val="none"/>
          <w:u w:val="single"/>
          <w14:textFill>
            <w14:solidFill>
              <w14:schemeClr w14:val="tx1"/>
            </w14:solidFill>
          </w14:textFill>
        </w:rPr>
        <w:t>月</w:t>
      </w:r>
      <w:r>
        <w:rPr>
          <w:rFonts w:ascii="宋体" w:hAnsi="宋体"/>
          <w:bCs/>
          <w:color w:val="000000" w:themeColor="text1"/>
          <w:szCs w:val="21"/>
          <w:highlight w:val="none"/>
          <w:u w:val="single"/>
          <w14:textFill>
            <w14:solidFill>
              <w14:schemeClr w14:val="tx1"/>
            </w14:solidFill>
          </w14:textFill>
        </w:rPr>
        <w:t>20</w:t>
      </w:r>
      <w:r>
        <w:rPr>
          <w:rFonts w:hint="eastAsia" w:ascii="宋体" w:hAnsi="宋体"/>
          <w:bCs/>
          <w:color w:val="000000" w:themeColor="text1"/>
          <w:szCs w:val="21"/>
          <w:highlight w:val="none"/>
          <w:u w:val="single"/>
          <w14:textFill>
            <w14:solidFill>
              <w14:schemeClr w14:val="tx1"/>
            </w14:solidFill>
          </w14:textFill>
        </w:rPr>
        <w:t>日</w:t>
      </w:r>
      <w:r>
        <w:rPr>
          <w:rFonts w:ascii="宋体" w:hAnsi="宋体" w:cs="宋体"/>
          <w:bCs/>
          <w:color w:val="000000" w:themeColor="text1"/>
          <w:kern w:val="0"/>
          <w:szCs w:val="21"/>
          <w:highlight w:val="none"/>
          <w14:textFill>
            <w14:solidFill>
              <w14:schemeClr w14:val="tx1"/>
            </w14:solidFill>
          </w14:textFill>
        </w:rPr>
        <w:t xml:space="preserve"> </w:t>
      </w:r>
    </w:p>
    <w:p>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olor w:val="auto"/>
          <w:szCs w:val="21"/>
          <w:highlight w:val="none"/>
        </w:rPr>
        <w:t>广西财经学院网站采购信息（</w:t>
      </w:r>
      <w:r>
        <w:rPr>
          <w:rFonts w:ascii="宋体" w:hAnsi="宋体"/>
          <w:color w:val="auto"/>
          <w:szCs w:val="21"/>
          <w:highlight w:val="none"/>
        </w:rPr>
        <w:t>https://www.gxufe.edu.cn/</w:t>
      </w:r>
      <w:r>
        <w:rPr>
          <w:rFonts w:hint="eastAsia" w:ascii="宋体" w:hAnsi="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方式：网上下载。本项目不提供纸质文件，</w:t>
      </w:r>
      <w:r>
        <w:rPr>
          <w:rFonts w:hint="eastAsia" w:ascii="宋体" w:hAnsi="宋体"/>
          <w:color w:val="auto"/>
          <w:szCs w:val="21"/>
          <w:highlight w:val="none"/>
        </w:rPr>
        <w:t>《搬迁设备清单》答疑会现场提供</w:t>
      </w:r>
      <w:r>
        <w:rPr>
          <w:rFonts w:hint="eastAsia" w:ascii="宋体" w:hAnsi="宋体" w:cs="宋体"/>
          <w:bCs/>
          <w:color w:val="auto"/>
          <w:kern w:val="0"/>
          <w:szCs w:val="21"/>
          <w:highlight w:val="none"/>
        </w:rPr>
        <w:t>。</w:t>
      </w:r>
    </w:p>
    <w:p>
      <w:pPr>
        <w:ind w:firstLine="354" w:firstLineChars="147"/>
        <w:rPr>
          <w:rFonts w:ascii="黑体" w:hAnsi="黑体" w:eastAsia="黑体"/>
          <w:b/>
          <w:color w:val="000000" w:themeColor="text1"/>
          <w:sz w:val="24"/>
          <w:highlight w:val="none"/>
          <w14:textFill>
            <w14:solidFill>
              <w14:schemeClr w14:val="tx1"/>
            </w14:solidFill>
          </w14:textFill>
        </w:rPr>
      </w:pPr>
      <w:bookmarkStart w:id="27" w:name="_Toc71365908"/>
      <w:r>
        <w:rPr>
          <w:rFonts w:hint="eastAsia" w:ascii="黑体" w:hAnsi="黑体" w:eastAsia="黑体"/>
          <w:b/>
          <w:color w:val="000000" w:themeColor="text1"/>
          <w:sz w:val="24"/>
          <w:highlight w:val="none"/>
          <w14:textFill>
            <w14:solidFill>
              <w14:schemeClr w14:val="tx1"/>
            </w14:solidFill>
          </w14:textFill>
        </w:rPr>
        <w:t>四、磋商保证金</w:t>
      </w:r>
    </w:p>
    <w:p>
      <w:pPr>
        <w:spacing w:line="360" w:lineRule="auto"/>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磋商保证金人民币壹万元。</w:t>
      </w:r>
    </w:p>
    <w:p>
      <w:pPr>
        <w:spacing w:line="360" w:lineRule="auto"/>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磋商保证金的交纳方式：银行转账，禁止采用现钞方式。采用银行转账方式的，在2</w:t>
      </w:r>
      <w:r>
        <w:rPr>
          <w:rFonts w:ascii="宋体" w:hAnsi="宋体" w:cs="宋体"/>
          <w:bCs/>
          <w:color w:val="000000" w:themeColor="text1"/>
          <w:kern w:val="0"/>
          <w:szCs w:val="21"/>
          <w:highlight w:val="none"/>
          <w14:textFill>
            <w14:solidFill>
              <w14:schemeClr w14:val="tx1"/>
            </w14:solidFill>
          </w14:textFill>
        </w:rPr>
        <w:t>022</w:t>
      </w:r>
      <w:r>
        <w:rPr>
          <w:rFonts w:hint="eastAsia" w:ascii="宋体" w:hAnsi="宋体" w:cs="宋体"/>
          <w:bCs/>
          <w:color w:val="000000" w:themeColor="text1"/>
          <w:kern w:val="0"/>
          <w:szCs w:val="21"/>
          <w:highlight w:val="none"/>
          <w14:textFill>
            <w14:solidFill>
              <w14:schemeClr w14:val="tx1"/>
            </w14:solidFill>
          </w14:textFill>
        </w:rPr>
        <w:t>年9月2</w:t>
      </w:r>
      <w:r>
        <w:rPr>
          <w:rFonts w:ascii="宋体" w:hAnsi="宋体" w:cs="宋体"/>
          <w:bCs/>
          <w:color w:val="000000" w:themeColor="text1"/>
          <w:kern w:val="0"/>
          <w:szCs w:val="21"/>
          <w:highlight w:val="none"/>
          <w14:textFill>
            <w14:solidFill>
              <w14:schemeClr w14:val="tx1"/>
            </w14:solidFill>
          </w14:textFill>
        </w:rPr>
        <w:t>1</w:t>
      </w:r>
      <w:r>
        <w:rPr>
          <w:rFonts w:hint="eastAsia" w:ascii="宋体" w:hAnsi="宋体" w:cs="宋体"/>
          <w:bCs/>
          <w:color w:val="000000" w:themeColor="text1"/>
          <w:kern w:val="0"/>
          <w:szCs w:val="21"/>
          <w:highlight w:val="none"/>
          <w14:textFill>
            <w14:solidFill>
              <w14:schemeClr w14:val="tx1"/>
            </w14:solidFill>
          </w14:textFill>
        </w:rPr>
        <w:t>日9时0分（北京时间）前交至指定账户并且到账（开户名称：广西财经学院，开户银行：</w:t>
      </w:r>
      <w:r>
        <w:rPr>
          <w:rFonts w:hint="eastAsia"/>
          <w:color w:val="636363"/>
          <w:szCs w:val="21"/>
          <w:highlight w:val="none"/>
          <w:shd w:val="clear" w:color="auto" w:fill="FFFFFF"/>
        </w:rPr>
        <w:t>中国银行南宁市明秀西路支行</w:t>
      </w:r>
      <w:r>
        <w:rPr>
          <w:rFonts w:hint="eastAsia" w:ascii="宋体" w:hAnsi="宋体" w:cs="宋体"/>
          <w:bCs/>
          <w:color w:val="000000" w:themeColor="text1"/>
          <w:kern w:val="0"/>
          <w:szCs w:val="21"/>
          <w:highlight w:val="none"/>
          <w14:textFill>
            <w14:solidFill>
              <w14:schemeClr w14:val="tx1"/>
            </w14:solidFill>
          </w14:textFill>
        </w:rPr>
        <w:t>，银行账号：</w:t>
      </w:r>
      <w:r>
        <w:rPr>
          <w:rFonts w:hint="eastAsia"/>
          <w:color w:val="636363"/>
          <w:szCs w:val="21"/>
          <w:highlight w:val="none"/>
          <w:shd w:val="clear" w:color="auto" w:fill="FFFFFF"/>
        </w:rPr>
        <w:t>611957485481</w:t>
      </w:r>
      <w:r>
        <w:rPr>
          <w:rFonts w:hint="eastAsia" w:ascii="宋体" w:hAnsi="宋体" w:cs="宋体"/>
          <w:bCs/>
          <w:color w:val="000000" w:themeColor="text1"/>
          <w:kern w:val="0"/>
          <w:szCs w:val="21"/>
          <w:highlight w:val="none"/>
          <w14:textFill>
            <w14:solidFill>
              <w14:schemeClr w14:val="tx1"/>
            </w14:solidFill>
          </w14:textFill>
        </w:rPr>
        <w:t>。否则视为无效磋商保证金。</w:t>
      </w:r>
    </w:p>
    <w:p>
      <w:pPr>
        <w:ind w:firstLine="354" w:firstLineChars="147"/>
        <w:rPr>
          <w:rFonts w:ascii="黑体" w:hAnsi="黑体" w:eastAsia="黑体"/>
          <w:b/>
          <w:color w:val="000000" w:themeColor="text1"/>
          <w:sz w:val="24"/>
          <w:highlight w:val="yellow"/>
          <w14:textFill>
            <w14:solidFill>
              <w14:schemeClr w14:val="tx1"/>
            </w14:solidFill>
          </w14:textFill>
        </w:rPr>
      </w:pPr>
    </w:p>
    <w:p>
      <w:pPr>
        <w:ind w:firstLine="354" w:firstLineChars="147"/>
        <w:rPr>
          <w:rFonts w:ascii="黑体" w:hAnsi="黑体" w:eastAsia="黑体"/>
          <w:b/>
          <w:color w:val="000000" w:themeColor="text1"/>
          <w:sz w:val="24"/>
          <w:highlight w:val="yellow"/>
          <w14:textFill>
            <w14:solidFill>
              <w14:schemeClr w14:val="tx1"/>
            </w14:solidFill>
          </w14:textFill>
        </w:rPr>
      </w:pPr>
      <w:r>
        <w:rPr>
          <w:rFonts w:hint="eastAsia" w:ascii="黑体" w:hAnsi="黑体" w:eastAsia="黑体"/>
          <w:b/>
          <w:color w:val="000000" w:themeColor="text1"/>
          <w:sz w:val="24"/>
          <w:highlight w:val="yellow"/>
          <w14:textFill>
            <w14:solidFill>
              <w14:schemeClr w14:val="tx1"/>
            </w14:solidFill>
          </w14:textFill>
        </w:rPr>
        <w:t>五、现场答疑会</w:t>
      </w:r>
    </w:p>
    <w:p>
      <w:pPr>
        <w:ind w:firstLine="308" w:firstLineChars="147"/>
        <w:rPr>
          <w:rFonts w:ascii="宋体" w:hAnsi="宋体" w:cs="宋体"/>
          <w:bCs/>
          <w:color w:val="000000" w:themeColor="text1"/>
          <w:kern w:val="0"/>
          <w:szCs w:val="21"/>
          <w:highlight w:val="yellow"/>
          <w14:textFill>
            <w14:solidFill>
              <w14:schemeClr w14:val="tx1"/>
            </w14:solidFill>
          </w14:textFill>
        </w:rPr>
      </w:pPr>
      <w:r>
        <w:rPr>
          <w:rFonts w:hint="eastAsia" w:ascii="宋体" w:hAnsi="宋体" w:cs="宋体"/>
          <w:bCs/>
          <w:color w:val="000000" w:themeColor="text1"/>
          <w:kern w:val="0"/>
          <w:szCs w:val="21"/>
          <w:highlight w:val="yellow"/>
          <w14:textFill>
            <w14:solidFill>
              <w14:schemeClr w14:val="tx1"/>
            </w14:solidFill>
          </w14:textFill>
        </w:rPr>
        <w:t>2</w:t>
      </w:r>
      <w:r>
        <w:rPr>
          <w:rFonts w:ascii="宋体" w:hAnsi="宋体" w:cs="宋体"/>
          <w:bCs/>
          <w:color w:val="000000" w:themeColor="text1"/>
          <w:kern w:val="0"/>
          <w:szCs w:val="21"/>
          <w:highlight w:val="yellow"/>
          <w14:textFill>
            <w14:solidFill>
              <w14:schemeClr w14:val="tx1"/>
            </w14:solidFill>
          </w14:textFill>
        </w:rPr>
        <w:t>022</w:t>
      </w:r>
      <w:r>
        <w:rPr>
          <w:rFonts w:hint="eastAsia" w:ascii="宋体" w:hAnsi="宋体" w:cs="宋体"/>
          <w:bCs/>
          <w:color w:val="000000" w:themeColor="text1"/>
          <w:kern w:val="0"/>
          <w:szCs w:val="21"/>
          <w:highlight w:val="yellow"/>
          <w14:textFill>
            <w14:solidFill>
              <w14:schemeClr w14:val="tx1"/>
            </w14:solidFill>
          </w14:textFill>
        </w:rPr>
        <w:t>年9月2</w:t>
      </w:r>
      <w:r>
        <w:rPr>
          <w:rFonts w:ascii="宋体" w:hAnsi="宋体" w:cs="宋体"/>
          <w:bCs/>
          <w:color w:val="000000" w:themeColor="text1"/>
          <w:kern w:val="0"/>
          <w:szCs w:val="21"/>
          <w:highlight w:val="yellow"/>
          <w14:textFill>
            <w14:solidFill>
              <w14:schemeClr w14:val="tx1"/>
            </w14:solidFill>
          </w14:textFill>
        </w:rPr>
        <w:t>1</w:t>
      </w:r>
      <w:r>
        <w:rPr>
          <w:rFonts w:hint="eastAsia" w:ascii="宋体" w:hAnsi="宋体" w:cs="宋体"/>
          <w:bCs/>
          <w:color w:val="000000" w:themeColor="text1"/>
          <w:kern w:val="0"/>
          <w:szCs w:val="21"/>
          <w:highlight w:val="yellow"/>
          <w14:textFill>
            <w14:solidFill>
              <w14:schemeClr w14:val="tx1"/>
            </w14:solidFill>
          </w14:textFill>
        </w:rPr>
        <w:t>日9时0分准时在广西财经学院相思湖校区后勤管理服务中心3</w:t>
      </w:r>
      <w:r>
        <w:rPr>
          <w:rFonts w:ascii="宋体" w:hAnsi="宋体" w:cs="宋体"/>
          <w:bCs/>
          <w:color w:val="000000" w:themeColor="text1"/>
          <w:kern w:val="0"/>
          <w:szCs w:val="21"/>
          <w:highlight w:val="yellow"/>
          <w14:textFill>
            <w14:solidFill>
              <w14:schemeClr w14:val="tx1"/>
            </w14:solidFill>
          </w14:textFill>
        </w:rPr>
        <w:t>26</w:t>
      </w:r>
      <w:r>
        <w:rPr>
          <w:rFonts w:hint="eastAsia" w:ascii="宋体" w:hAnsi="宋体" w:cs="宋体"/>
          <w:bCs/>
          <w:color w:val="000000" w:themeColor="text1"/>
          <w:kern w:val="0"/>
          <w:szCs w:val="21"/>
          <w:highlight w:val="yellow"/>
          <w14:textFill>
            <w14:solidFill>
              <w14:schemeClr w14:val="tx1"/>
            </w14:solidFill>
          </w14:textFill>
        </w:rPr>
        <w:t>会议室召开现场答疑会，供应商持磋商保证金收据（转账后在学校财务处开具）或转账凭证参加，答疑会不接受未缴纳磋商保证金供应商参加，请供应商准时到会。如供应商迟到和缺席，学校不再进行二次答疑。</w:t>
      </w:r>
    </w:p>
    <w:p>
      <w:pPr>
        <w:ind w:firstLine="354" w:firstLineChars="147"/>
        <w:rPr>
          <w:rFonts w:ascii="黑体" w:hAnsi="黑体" w:eastAsia="黑体"/>
          <w:b/>
          <w:color w:val="000000" w:themeColor="text1"/>
          <w:sz w:val="24"/>
          <w:highlight w:val="yellow"/>
          <w14:textFill>
            <w14:solidFill>
              <w14:schemeClr w14:val="tx1"/>
            </w14:solidFill>
          </w14:textFill>
        </w:rPr>
      </w:pPr>
      <w:r>
        <w:rPr>
          <w:rFonts w:hint="eastAsia" w:ascii="黑体" w:hAnsi="黑体" w:eastAsia="黑体"/>
          <w:b/>
          <w:color w:val="000000" w:themeColor="text1"/>
          <w:sz w:val="24"/>
          <w:highlight w:val="yellow"/>
          <w14:textFill>
            <w14:solidFill>
              <w14:schemeClr w14:val="tx1"/>
            </w14:solidFill>
          </w14:textFill>
        </w:rPr>
        <w:t>六、响应文件提交</w:t>
      </w:r>
      <w:bookmarkEnd w:id="22"/>
      <w:bookmarkEnd w:id="23"/>
      <w:bookmarkEnd w:id="24"/>
      <w:bookmarkEnd w:id="25"/>
      <w:bookmarkEnd w:id="26"/>
      <w:bookmarkEnd w:id="27"/>
    </w:p>
    <w:p>
      <w:pPr>
        <w:spacing w:line="360" w:lineRule="auto"/>
        <w:ind w:firstLine="420" w:firstLineChars="200"/>
        <w:rPr>
          <w:rFonts w:ascii="宋体" w:hAnsi="宋体" w:cs="宋体"/>
          <w:color w:val="000000" w:themeColor="text1"/>
          <w:szCs w:val="21"/>
          <w:highlight w:val="yellow"/>
          <w:u w:val="single"/>
          <w14:textFill>
            <w14:solidFill>
              <w14:schemeClr w14:val="tx1"/>
            </w14:solidFill>
          </w14:textFill>
        </w:rPr>
      </w:pPr>
      <w:bookmarkStart w:id="28" w:name="_Toc28359093"/>
      <w:bookmarkStart w:id="29" w:name="_Toc28359016"/>
      <w:bookmarkStart w:id="30" w:name="_Toc44229882"/>
      <w:bookmarkStart w:id="31" w:name="_Toc35393633"/>
      <w:bookmarkStart w:id="32" w:name="_Toc35393802"/>
      <w:r>
        <w:rPr>
          <w:rFonts w:hint="eastAsia" w:ascii="宋体" w:hAnsi="宋体"/>
          <w:color w:val="000000" w:themeColor="text1"/>
          <w:szCs w:val="21"/>
          <w:highlight w:val="yellow"/>
          <w14:textFill>
            <w14:solidFill>
              <w14:schemeClr w14:val="tx1"/>
            </w14:solidFill>
          </w14:textFill>
        </w:rPr>
        <w:t>截止时间：</w:t>
      </w:r>
      <w:r>
        <w:rPr>
          <w:rFonts w:hint="eastAsia" w:ascii="宋体" w:hAnsi="宋体"/>
          <w:bCs/>
          <w:color w:val="000000" w:themeColor="text1"/>
          <w:szCs w:val="21"/>
          <w:highlight w:val="yellow"/>
          <w:u w:val="single"/>
          <w14:textFill>
            <w14:solidFill>
              <w14:schemeClr w14:val="tx1"/>
            </w14:solidFill>
          </w14:textFill>
        </w:rPr>
        <w:t xml:space="preserve"> 2022年</w:t>
      </w:r>
      <w:r>
        <w:rPr>
          <w:rFonts w:ascii="宋体" w:hAnsi="宋体"/>
          <w:bCs/>
          <w:color w:val="000000" w:themeColor="text1"/>
          <w:szCs w:val="21"/>
          <w:highlight w:val="yellow"/>
          <w:u w:val="single"/>
          <w14:textFill>
            <w14:solidFill>
              <w14:schemeClr w14:val="tx1"/>
            </w14:solidFill>
          </w14:textFill>
        </w:rPr>
        <w:t>9</w:t>
      </w:r>
      <w:r>
        <w:rPr>
          <w:rFonts w:hint="eastAsia" w:ascii="宋体" w:hAnsi="宋体"/>
          <w:bCs/>
          <w:color w:val="000000" w:themeColor="text1"/>
          <w:szCs w:val="21"/>
          <w:highlight w:val="yellow"/>
          <w:u w:val="single"/>
          <w14:textFill>
            <w14:solidFill>
              <w14:schemeClr w14:val="tx1"/>
            </w14:solidFill>
          </w14:textFill>
        </w:rPr>
        <w:t>月</w:t>
      </w:r>
      <w:r>
        <w:rPr>
          <w:rFonts w:ascii="宋体" w:hAnsi="宋体"/>
          <w:bCs/>
          <w:color w:val="000000" w:themeColor="text1"/>
          <w:szCs w:val="21"/>
          <w:highlight w:val="yellow"/>
          <w:u w:val="single"/>
          <w14:textFill>
            <w14:solidFill>
              <w14:schemeClr w14:val="tx1"/>
            </w14:solidFill>
          </w14:textFill>
        </w:rPr>
        <w:t>23</w:t>
      </w:r>
      <w:r>
        <w:rPr>
          <w:rFonts w:hint="eastAsia" w:ascii="宋体" w:hAnsi="宋体"/>
          <w:bCs/>
          <w:color w:val="000000" w:themeColor="text1"/>
          <w:szCs w:val="21"/>
          <w:highlight w:val="yellow"/>
          <w:u w:val="single"/>
          <w14:textFill>
            <w14:solidFill>
              <w14:schemeClr w14:val="tx1"/>
            </w14:solidFill>
          </w14:textFill>
        </w:rPr>
        <w:t xml:space="preserve">日 </w:t>
      </w:r>
      <w:r>
        <w:rPr>
          <w:rFonts w:ascii="宋体" w:hAnsi="宋体"/>
          <w:bCs/>
          <w:color w:val="000000" w:themeColor="text1"/>
          <w:szCs w:val="21"/>
          <w:highlight w:val="yellow"/>
          <w:u w:val="single"/>
          <w14:textFill>
            <w14:solidFill>
              <w14:schemeClr w14:val="tx1"/>
            </w14:solidFill>
          </w14:textFill>
        </w:rPr>
        <w:t>10</w:t>
      </w:r>
      <w:r>
        <w:rPr>
          <w:rFonts w:hint="eastAsia" w:ascii="宋体" w:hAnsi="宋体"/>
          <w:bCs/>
          <w:color w:val="000000" w:themeColor="text1"/>
          <w:szCs w:val="21"/>
          <w:highlight w:val="yellow"/>
          <w:u w:val="single"/>
          <w14:textFill>
            <w14:solidFill>
              <w14:schemeClr w14:val="tx1"/>
            </w14:solidFill>
          </w14:textFill>
        </w:rPr>
        <w:t>时</w:t>
      </w:r>
      <w:r>
        <w:rPr>
          <w:rFonts w:ascii="宋体" w:hAnsi="宋体"/>
          <w:bCs/>
          <w:color w:val="000000" w:themeColor="text1"/>
          <w:szCs w:val="21"/>
          <w:highlight w:val="yellow"/>
          <w:u w:val="single"/>
          <w14:textFill>
            <w14:solidFill>
              <w14:schemeClr w14:val="tx1"/>
            </w14:solidFill>
          </w14:textFill>
        </w:rPr>
        <w:t>0</w:t>
      </w:r>
      <w:r>
        <w:rPr>
          <w:rFonts w:hint="eastAsia" w:ascii="宋体" w:hAnsi="宋体"/>
          <w:bCs/>
          <w:color w:val="000000" w:themeColor="text1"/>
          <w:szCs w:val="21"/>
          <w:highlight w:val="yellow"/>
          <w:u w:val="single"/>
          <w14:textFill>
            <w14:solidFill>
              <w14:schemeClr w14:val="tx1"/>
            </w14:solidFill>
          </w14:textFill>
        </w:rPr>
        <w:t>分</w:t>
      </w:r>
      <w:r>
        <w:rPr>
          <w:rFonts w:hint="eastAsia" w:ascii="宋体" w:hAnsi="宋体"/>
          <w:bCs/>
          <w:color w:val="000000" w:themeColor="text1"/>
          <w:szCs w:val="21"/>
          <w:highlight w:val="yellow"/>
          <w14:textFill>
            <w14:solidFill>
              <w14:schemeClr w14:val="tx1"/>
            </w14:solidFill>
          </w14:textFill>
        </w:rPr>
        <w:t>（北京时间）</w:t>
      </w:r>
    </w:p>
    <w:p>
      <w:pPr>
        <w:spacing w:line="360" w:lineRule="auto"/>
        <w:ind w:firstLine="420" w:firstLineChars="200"/>
        <w:rPr>
          <w:rFonts w:ascii="宋体" w:hAnsi="宋体"/>
          <w:color w:val="000000" w:themeColor="text1"/>
          <w:szCs w:val="21"/>
          <w:highlight w:val="yellow"/>
          <w14:textFill>
            <w14:solidFill>
              <w14:schemeClr w14:val="tx1"/>
            </w14:solidFill>
          </w14:textFill>
        </w:rPr>
      </w:pPr>
      <w:r>
        <w:rPr>
          <w:rFonts w:hint="eastAsia" w:ascii="宋体" w:hAnsi="宋体"/>
          <w:color w:val="000000" w:themeColor="text1"/>
          <w:szCs w:val="21"/>
          <w:highlight w:val="yellow"/>
          <w14:textFill>
            <w14:solidFill>
              <w14:schemeClr w14:val="tx1"/>
            </w14:solidFill>
          </w14:textFill>
        </w:rPr>
        <w:t>地点：广西财经学院相思湖校区后勤管理服务中心</w:t>
      </w:r>
      <w:r>
        <w:rPr>
          <w:rFonts w:ascii="宋体" w:hAnsi="宋体"/>
          <w:color w:val="000000" w:themeColor="text1"/>
          <w:szCs w:val="21"/>
          <w:highlight w:val="yellow"/>
          <w14:textFill>
            <w14:solidFill>
              <w14:schemeClr w14:val="tx1"/>
            </w14:solidFill>
          </w14:textFill>
        </w:rPr>
        <w:t>326</w:t>
      </w:r>
      <w:r>
        <w:rPr>
          <w:rFonts w:hint="eastAsia" w:ascii="宋体" w:hAnsi="宋体"/>
          <w:color w:val="000000" w:themeColor="text1"/>
          <w:szCs w:val="21"/>
          <w:highlight w:val="yellow"/>
          <w14:textFill>
            <w14:solidFill>
              <w14:schemeClr w14:val="tx1"/>
            </w14:solidFill>
          </w14:textFill>
        </w:rPr>
        <w:t>室</w:t>
      </w:r>
    </w:p>
    <w:p>
      <w:pPr>
        <w:ind w:firstLine="354" w:firstLineChars="147"/>
        <w:rPr>
          <w:rFonts w:ascii="黑体" w:hAnsi="黑体" w:eastAsia="黑体"/>
          <w:b/>
          <w:color w:val="000000" w:themeColor="text1"/>
          <w:sz w:val="24"/>
          <w:highlight w:val="yellow"/>
          <w14:textFill>
            <w14:solidFill>
              <w14:schemeClr w14:val="tx1"/>
            </w14:solidFill>
          </w14:textFill>
        </w:rPr>
      </w:pPr>
      <w:bookmarkStart w:id="33" w:name="_Toc71365909"/>
      <w:r>
        <w:rPr>
          <w:rFonts w:hint="eastAsia" w:ascii="黑体" w:hAnsi="黑体" w:eastAsia="黑体"/>
          <w:b/>
          <w:color w:val="000000" w:themeColor="text1"/>
          <w:sz w:val="24"/>
          <w:highlight w:val="yellow"/>
          <w14:textFill>
            <w14:solidFill>
              <w14:schemeClr w14:val="tx1"/>
            </w14:solidFill>
          </w14:textFill>
        </w:rPr>
        <w:t>七、开启</w:t>
      </w:r>
      <w:bookmarkEnd w:id="28"/>
      <w:bookmarkEnd w:id="29"/>
      <w:bookmarkEnd w:id="30"/>
      <w:bookmarkEnd w:id="31"/>
      <w:bookmarkEnd w:id="32"/>
      <w:bookmarkEnd w:id="33"/>
    </w:p>
    <w:p>
      <w:pPr>
        <w:spacing w:line="360" w:lineRule="auto"/>
        <w:ind w:firstLine="420" w:firstLineChars="200"/>
        <w:rPr>
          <w:rFonts w:ascii="宋体" w:hAnsi="宋体"/>
          <w:bCs/>
          <w:color w:val="000000" w:themeColor="text1"/>
          <w:szCs w:val="21"/>
          <w:highlight w:val="yellow"/>
          <w:u w:val="single"/>
          <w14:textFill>
            <w14:solidFill>
              <w14:schemeClr w14:val="tx1"/>
            </w14:solidFill>
          </w14:textFill>
        </w:rPr>
      </w:pPr>
      <w:r>
        <w:rPr>
          <w:rFonts w:hint="eastAsia" w:ascii="宋体" w:hAnsi="宋体"/>
          <w:color w:val="000000" w:themeColor="text1"/>
          <w:szCs w:val="21"/>
          <w:highlight w:val="yellow"/>
          <w14:textFill>
            <w14:solidFill>
              <w14:schemeClr w14:val="tx1"/>
            </w14:solidFill>
          </w14:textFill>
        </w:rPr>
        <w:t>1</w:t>
      </w:r>
      <w:r>
        <w:rPr>
          <w:rFonts w:ascii="宋体" w:hAnsi="宋体"/>
          <w:color w:val="000000" w:themeColor="text1"/>
          <w:szCs w:val="21"/>
          <w:highlight w:val="yellow"/>
          <w14:textFill>
            <w14:solidFill>
              <w14:schemeClr w14:val="tx1"/>
            </w14:solidFill>
          </w14:textFill>
        </w:rPr>
        <w:t>.</w:t>
      </w:r>
      <w:r>
        <w:rPr>
          <w:rFonts w:hint="eastAsia" w:ascii="宋体" w:hAnsi="宋体"/>
          <w:color w:val="000000" w:themeColor="text1"/>
          <w:szCs w:val="21"/>
          <w:highlight w:val="yellow"/>
          <w14:textFill>
            <w14:solidFill>
              <w14:schemeClr w14:val="tx1"/>
            </w14:solidFill>
          </w14:textFill>
        </w:rPr>
        <w:t>时间：</w:t>
      </w:r>
      <w:r>
        <w:rPr>
          <w:rFonts w:hint="eastAsia" w:ascii="宋体" w:hAnsi="宋体"/>
          <w:color w:val="000000" w:themeColor="text1"/>
          <w:szCs w:val="21"/>
          <w:highlight w:val="yellow"/>
          <w:u w:val="single"/>
          <w14:textFill>
            <w14:solidFill>
              <w14:schemeClr w14:val="tx1"/>
            </w14:solidFill>
          </w14:textFill>
        </w:rPr>
        <w:t xml:space="preserve"> 2022  </w:t>
      </w:r>
      <w:r>
        <w:rPr>
          <w:rFonts w:hint="eastAsia" w:ascii="宋体" w:hAnsi="宋体"/>
          <w:bCs/>
          <w:color w:val="000000" w:themeColor="text1"/>
          <w:szCs w:val="21"/>
          <w:highlight w:val="yellow"/>
          <w14:textFill>
            <w14:solidFill>
              <w14:schemeClr w14:val="tx1"/>
            </w14:solidFill>
          </w14:textFill>
        </w:rPr>
        <w:t>年9月2</w:t>
      </w:r>
      <w:r>
        <w:rPr>
          <w:rFonts w:ascii="宋体" w:hAnsi="宋体"/>
          <w:bCs/>
          <w:color w:val="000000" w:themeColor="text1"/>
          <w:szCs w:val="21"/>
          <w:highlight w:val="yellow"/>
          <w14:textFill>
            <w14:solidFill>
              <w14:schemeClr w14:val="tx1"/>
            </w14:solidFill>
          </w14:textFill>
        </w:rPr>
        <w:t>3</w:t>
      </w:r>
      <w:r>
        <w:rPr>
          <w:rFonts w:hint="eastAsia" w:ascii="宋体" w:hAnsi="宋体"/>
          <w:bCs/>
          <w:color w:val="000000" w:themeColor="text1"/>
          <w:szCs w:val="21"/>
          <w:highlight w:val="yellow"/>
          <w14:textFill>
            <w14:solidFill>
              <w14:schemeClr w14:val="tx1"/>
            </w14:solidFill>
          </w14:textFill>
        </w:rPr>
        <w:t>日1</w:t>
      </w:r>
      <w:r>
        <w:rPr>
          <w:rFonts w:ascii="宋体" w:hAnsi="宋体"/>
          <w:bCs/>
          <w:color w:val="000000" w:themeColor="text1"/>
          <w:szCs w:val="21"/>
          <w:highlight w:val="yellow"/>
          <w14:textFill>
            <w14:solidFill>
              <w14:schemeClr w14:val="tx1"/>
            </w14:solidFill>
          </w14:textFill>
        </w:rPr>
        <w:t>0</w:t>
      </w:r>
      <w:r>
        <w:rPr>
          <w:rFonts w:hint="eastAsia" w:ascii="宋体" w:hAnsi="宋体"/>
          <w:bCs/>
          <w:color w:val="000000" w:themeColor="text1"/>
          <w:szCs w:val="21"/>
          <w:highlight w:val="yellow"/>
          <w14:textFill>
            <w14:solidFill>
              <w14:schemeClr w14:val="tx1"/>
            </w14:solidFill>
          </w14:textFill>
        </w:rPr>
        <w:t>时</w:t>
      </w:r>
      <w:r>
        <w:rPr>
          <w:rFonts w:ascii="宋体" w:hAnsi="宋体"/>
          <w:bCs/>
          <w:color w:val="000000" w:themeColor="text1"/>
          <w:szCs w:val="21"/>
          <w:highlight w:val="yellow"/>
          <w14:textFill>
            <w14:solidFill>
              <w14:schemeClr w14:val="tx1"/>
            </w14:solidFill>
          </w14:textFill>
        </w:rPr>
        <w:t>10</w:t>
      </w:r>
      <w:r>
        <w:rPr>
          <w:rFonts w:hint="eastAsia" w:ascii="宋体" w:hAnsi="宋体"/>
          <w:bCs/>
          <w:color w:val="000000" w:themeColor="text1"/>
          <w:szCs w:val="21"/>
          <w:highlight w:val="yellow"/>
          <w14:textFill>
            <w14:solidFill>
              <w14:schemeClr w14:val="tx1"/>
            </w14:solidFill>
          </w14:textFill>
        </w:rPr>
        <w:t>分（北京时间）</w:t>
      </w:r>
    </w:p>
    <w:p>
      <w:pPr>
        <w:spacing w:line="360" w:lineRule="auto"/>
        <w:ind w:firstLine="420" w:firstLineChars="200"/>
        <w:rPr>
          <w:rFonts w:ascii="宋体" w:hAnsi="宋体"/>
          <w:bCs/>
          <w:color w:val="000000" w:themeColor="text1"/>
          <w:szCs w:val="21"/>
          <w:highlight w:val="yellow"/>
          <w:u w:val="single"/>
          <w14:textFill>
            <w14:solidFill>
              <w14:schemeClr w14:val="tx1"/>
            </w14:solidFill>
          </w14:textFill>
        </w:rPr>
      </w:pPr>
      <w:r>
        <w:rPr>
          <w:rFonts w:hint="eastAsia" w:ascii="宋体" w:hAnsi="宋体"/>
          <w:color w:val="000000" w:themeColor="text1"/>
          <w:szCs w:val="21"/>
          <w:highlight w:val="yellow"/>
          <w14:textFill>
            <w14:solidFill>
              <w14:schemeClr w14:val="tx1"/>
            </w14:solidFill>
          </w14:textFill>
        </w:rPr>
        <w:t>2</w:t>
      </w:r>
      <w:r>
        <w:rPr>
          <w:rFonts w:ascii="宋体" w:hAnsi="宋体"/>
          <w:color w:val="000000" w:themeColor="text1"/>
          <w:szCs w:val="21"/>
          <w:highlight w:val="yellow"/>
          <w14:textFill>
            <w14:solidFill>
              <w14:schemeClr w14:val="tx1"/>
            </w14:solidFill>
          </w14:textFill>
        </w:rPr>
        <w:t>.</w:t>
      </w:r>
      <w:r>
        <w:rPr>
          <w:rFonts w:hint="eastAsia" w:ascii="宋体" w:hAnsi="宋体"/>
          <w:color w:val="000000" w:themeColor="text1"/>
          <w:szCs w:val="21"/>
          <w:highlight w:val="yellow"/>
          <w14:textFill>
            <w14:solidFill>
              <w14:schemeClr w14:val="tx1"/>
            </w14:solidFill>
          </w14:textFill>
        </w:rPr>
        <w:t>地点：广西财经学院相思湖校区后勤管理服务中心会议室</w:t>
      </w:r>
    </w:p>
    <w:p>
      <w:pPr>
        <w:ind w:firstLine="354" w:firstLineChars="147"/>
        <w:rPr>
          <w:rFonts w:ascii="黑体" w:hAnsi="黑体" w:eastAsia="黑体"/>
          <w:b/>
          <w:color w:val="000000" w:themeColor="text1"/>
          <w:sz w:val="24"/>
          <w:highlight w:val="yellow"/>
          <w14:textFill>
            <w14:solidFill>
              <w14:schemeClr w14:val="tx1"/>
            </w14:solidFill>
          </w14:textFill>
        </w:rPr>
      </w:pPr>
      <w:bookmarkStart w:id="34" w:name="_Toc35393634"/>
      <w:bookmarkStart w:id="35" w:name="_Toc35393803"/>
      <w:bookmarkStart w:id="36" w:name="_Toc71365910"/>
      <w:bookmarkStart w:id="37" w:name="_Toc44229883"/>
      <w:bookmarkStart w:id="38" w:name="_Toc28359094"/>
      <w:bookmarkStart w:id="39" w:name="_Toc28359017"/>
      <w:r>
        <w:rPr>
          <w:rFonts w:hint="eastAsia" w:ascii="黑体" w:hAnsi="黑体" w:eastAsia="黑体"/>
          <w:b/>
          <w:color w:val="000000" w:themeColor="text1"/>
          <w:sz w:val="24"/>
          <w:highlight w:val="yellow"/>
          <w14:textFill>
            <w14:solidFill>
              <w14:schemeClr w14:val="tx1"/>
            </w14:solidFill>
          </w14:textFill>
        </w:rPr>
        <w:t>八、公告期限</w:t>
      </w:r>
      <w:bookmarkEnd w:id="34"/>
      <w:bookmarkEnd w:id="35"/>
      <w:bookmarkEnd w:id="36"/>
      <w:bookmarkEnd w:id="37"/>
      <w:bookmarkEnd w:id="38"/>
      <w:bookmarkEnd w:id="39"/>
    </w:p>
    <w:p>
      <w:pPr>
        <w:spacing w:line="360" w:lineRule="auto"/>
        <w:ind w:firstLine="420" w:firstLineChars="200"/>
        <w:rPr>
          <w:rFonts w:ascii="宋体" w:hAnsi="宋体" w:cs="宋体"/>
          <w:color w:val="000000" w:themeColor="text1"/>
          <w:kern w:val="0"/>
          <w:szCs w:val="21"/>
          <w:highlight w:val="yellow"/>
          <w14:textFill>
            <w14:solidFill>
              <w14:schemeClr w14:val="tx1"/>
            </w14:solidFill>
          </w14:textFill>
        </w:rPr>
      </w:pPr>
      <w:r>
        <w:rPr>
          <w:rFonts w:hint="eastAsia" w:ascii="宋体" w:hAnsi="宋体" w:cs="宋体"/>
          <w:color w:val="000000" w:themeColor="text1"/>
          <w:kern w:val="0"/>
          <w:szCs w:val="21"/>
          <w:highlight w:val="yellow"/>
          <w14:textFill>
            <w14:solidFill>
              <w14:schemeClr w14:val="tx1"/>
            </w14:solidFill>
          </w14:textFill>
        </w:rPr>
        <w:t>自本公告发布之日起3个工作日。</w:t>
      </w:r>
    </w:p>
    <w:p>
      <w:pPr>
        <w:ind w:firstLine="354" w:firstLineChars="147"/>
        <w:rPr>
          <w:rFonts w:ascii="黑体" w:hAnsi="黑体" w:eastAsia="黑体"/>
          <w:b/>
          <w:color w:val="000000" w:themeColor="text1"/>
          <w:sz w:val="24"/>
          <w:highlight w:val="yellow"/>
          <w14:textFill>
            <w14:solidFill>
              <w14:schemeClr w14:val="tx1"/>
            </w14:solidFill>
          </w14:textFill>
        </w:rPr>
      </w:pPr>
      <w:bookmarkStart w:id="40" w:name="_Toc35393636"/>
      <w:bookmarkStart w:id="41" w:name="_Toc44229885"/>
      <w:bookmarkStart w:id="42" w:name="_Toc35393805"/>
      <w:bookmarkStart w:id="43" w:name="_Toc28359018"/>
      <w:bookmarkStart w:id="44" w:name="_Toc28359095"/>
      <w:r>
        <w:rPr>
          <w:rFonts w:hint="eastAsia" w:ascii="黑体" w:hAnsi="黑体" w:eastAsia="黑体"/>
          <w:b/>
          <w:color w:val="000000" w:themeColor="text1"/>
          <w:sz w:val="24"/>
          <w:highlight w:val="yellow"/>
          <w14:textFill>
            <w14:solidFill>
              <w14:schemeClr w14:val="tx1"/>
            </w14:solidFill>
          </w14:textFill>
        </w:rPr>
        <w:t>九、凡对本次采购提出询问，请按</w:t>
      </w:r>
      <w:r>
        <w:rPr>
          <w:rFonts w:ascii="黑体" w:hAnsi="黑体" w:eastAsia="黑体"/>
          <w:b/>
          <w:color w:val="000000" w:themeColor="text1"/>
          <w:sz w:val="24"/>
          <w:highlight w:val="yellow"/>
          <w14:textFill>
            <w14:solidFill>
              <w14:schemeClr w14:val="tx1"/>
            </w14:solidFill>
          </w14:textFill>
        </w:rPr>
        <w:t>以下方式</w:t>
      </w:r>
      <w:r>
        <w:rPr>
          <w:rFonts w:hint="eastAsia" w:ascii="黑体" w:hAnsi="黑体" w:eastAsia="黑体"/>
          <w:b/>
          <w:color w:val="000000" w:themeColor="text1"/>
          <w:sz w:val="24"/>
          <w:highlight w:val="yellow"/>
          <w14:textFill>
            <w14:solidFill>
              <w14:schemeClr w14:val="tx1"/>
            </w14:solidFill>
          </w14:textFill>
        </w:rPr>
        <w:t>联系。</w:t>
      </w:r>
      <w:bookmarkEnd w:id="40"/>
      <w:bookmarkEnd w:id="41"/>
      <w:bookmarkEnd w:id="42"/>
      <w:bookmarkEnd w:id="43"/>
      <w:bookmarkEnd w:id="44"/>
    </w:p>
    <w:bookmarkEnd w:id="3"/>
    <w:p>
      <w:pPr>
        <w:spacing w:line="400" w:lineRule="exact"/>
        <w:ind w:firstLine="420" w:firstLineChars="200"/>
        <w:rPr>
          <w:rFonts w:ascii="宋体" w:hAnsi="宋体"/>
          <w:color w:val="000000" w:themeColor="text1"/>
          <w:szCs w:val="22"/>
          <w:highlight w:val="yellow"/>
          <w14:textFill>
            <w14:solidFill>
              <w14:schemeClr w14:val="tx1"/>
            </w14:solidFill>
          </w14:textFill>
        </w:rPr>
      </w:pPr>
      <w:r>
        <w:rPr>
          <w:rFonts w:hint="eastAsia" w:ascii="宋体" w:hAnsi="宋体"/>
          <w:color w:val="000000" w:themeColor="text1"/>
          <w:szCs w:val="22"/>
          <w:highlight w:val="yellow"/>
          <w14:textFill>
            <w14:solidFill>
              <w14:schemeClr w14:val="tx1"/>
            </w14:solidFill>
          </w14:textFill>
        </w:rPr>
        <w:t>项目联系人：</w:t>
      </w:r>
      <w:r>
        <w:rPr>
          <w:rFonts w:ascii="宋体" w:hAnsi="宋体"/>
          <w:color w:val="000000" w:themeColor="text1"/>
          <w:szCs w:val="22"/>
          <w:highlight w:val="yellow"/>
          <w14:textFill>
            <w14:solidFill>
              <w14:schemeClr w14:val="tx1"/>
            </w14:solidFill>
          </w14:textFill>
        </w:rPr>
        <w:t xml:space="preserve"> </w:t>
      </w:r>
      <w:r>
        <w:rPr>
          <w:rFonts w:hint="eastAsia" w:ascii="宋体" w:hAnsi="宋体"/>
          <w:color w:val="000000" w:themeColor="text1"/>
          <w:szCs w:val="22"/>
          <w:highlight w:val="yellow"/>
          <w14:textFill>
            <w14:solidFill>
              <w14:schemeClr w14:val="tx1"/>
            </w14:solidFill>
          </w14:textFill>
        </w:rPr>
        <w:t>李奎霖</w:t>
      </w:r>
    </w:p>
    <w:p>
      <w:pPr>
        <w:spacing w:line="400" w:lineRule="exact"/>
        <w:ind w:firstLine="420" w:firstLineChars="200"/>
        <w:rPr>
          <w:rFonts w:ascii="方正小标宋简体" w:eastAsia="方正小标宋简体"/>
          <w:b/>
          <w:color w:val="000000" w:themeColor="text1"/>
          <w:sz w:val="32"/>
          <w:szCs w:val="32"/>
          <w:highlight w:val="yellow"/>
          <w14:textFill>
            <w14:solidFill>
              <w14:schemeClr w14:val="tx1"/>
            </w14:solidFill>
          </w14:textFill>
        </w:rPr>
      </w:pPr>
      <w:r>
        <w:rPr>
          <w:rFonts w:hint="eastAsia" w:ascii="宋体" w:hAnsi="宋体"/>
          <w:color w:val="000000" w:themeColor="text1"/>
          <w:szCs w:val="21"/>
          <w:highlight w:val="yellow"/>
          <w14:textFill>
            <w14:solidFill>
              <w14:schemeClr w14:val="tx1"/>
            </w14:solidFill>
          </w14:textFill>
        </w:rPr>
        <w:t>电　话：0771-3835027</w:t>
      </w:r>
      <w:r>
        <w:rPr>
          <w:rFonts w:ascii="方正小标宋简体" w:eastAsia="方正小标宋简体"/>
          <w:b/>
          <w:color w:val="000000" w:themeColor="text1"/>
          <w:sz w:val="32"/>
          <w:szCs w:val="32"/>
          <w:highlight w:val="yellow"/>
          <w14:textFill>
            <w14:solidFill>
              <w14:schemeClr w14:val="tx1"/>
            </w14:solidFill>
          </w14:textFill>
        </w:rPr>
        <w:t xml:space="preserve"> </w:t>
      </w:r>
      <w:r>
        <w:rPr>
          <w:rFonts w:ascii="方正小标宋简体" w:eastAsia="方正小标宋简体"/>
          <w:b/>
          <w:color w:val="000000" w:themeColor="text1"/>
          <w:sz w:val="32"/>
          <w:szCs w:val="32"/>
          <w:highlight w:val="yellow"/>
          <w14:textFill>
            <w14:solidFill>
              <w14:schemeClr w14:val="tx1"/>
            </w14:solidFill>
          </w14:textFill>
        </w:rPr>
        <w:br w:type="page"/>
      </w:r>
    </w:p>
    <w:p>
      <w:pPr>
        <w:spacing w:line="400" w:lineRule="exact"/>
        <w:jc w:val="center"/>
        <w:rPr>
          <w:rFonts w:ascii="方正小标宋简体" w:eastAsia="方正小标宋简体"/>
          <w:b/>
          <w:color w:val="000000" w:themeColor="text1"/>
          <w:sz w:val="32"/>
          <w:szCs w:val="32"/>
          <w14:textFill>
            <w14:solidFill>
              <w14:schemeClr w14:val="tx1"/>
            </w14:solidFill>
          </w14:textFill>
        </w:rPr>
      </w:pPr>
    </w:p>
    <w:p>
      <w:pPr>
        <w:pStyle w:val="2"/>
        <w:jc w:val="center"/>
        <w:rPr>
          <w:color w:val="000000" w:themeColor="text1"/>
          <w14:textFill>
            <w14:solidFill>
              <w14:schemeClr w14:val="tx1"/>
            </w14:solidFill>
          </w14:textFill>
        </w:rPr>
      </w:pPr>
      <w:bookmarkStart w:id="45" w:name="_Toc103607499"/>
      <w:r>
        <w:rPr>
          <w:rFonts w:hint="eastAsia"/>
          <w:color w:val="000000" w:themeColor="text1"/>
          <w14:textFill>
            <w14:solidFill>
              <w14:schemeClr w14:val="tx1"/>
            </w14:solidFill>
          </w14:textFill>
        </w:rPr>
        <w:t>第二章供应商须知</w:t>
      </w:r>
      <w:bookmarkEnd w:id="45"/>
    </w:p>
    <w:p>
      <w:pPr>
        <w:spacing w:line="400" w:lineRule="exact"/>
        <w:jc w:val="center"/>
        <w:rPr>
          <w:rFonts w:ascii="宋体" w:hAnsi="宋体"/>
          <w:b/>
          <w:color w:val="000000" w:themeColor="text1"/>
          <w:sz w:val="32"/>
          <w:szCs w:val="32"/>
          <w14:textFill>
            <w14:solidFill>
              <w14:schemeClr w14:val="tx1"/>
            </w14:solidFill>
          </w14:textFill>
        </w:rPr>
      </w:pPr>
    </w:p>
    <w:p>
      <w:pPr>
        <w:spacing w:line="40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一、总则</w:t>
      </w:r>
    </w:p>
    <w:p>
      <w:pPr>
        <w:spacing w:line="400" w:lineRule="exact"/>
        <w:rPr>
          <w:rFonts w:ascii="宋体" w:hAnsi="宋体"/>
          <w:color w:val="000000" w:themeColor="text1"/>
          <w:szCs w:val="21"/>
          <w14:textFill>
            <w14:solidFill>
              <w14:schemeClr w14:val="tx1"/>
            </w14:solidFill>
          </w14:textFill>
        </w:rPr>
      </w:pPr>
    </w:p>
    <w:p>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1.供应商的资格条件</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供应商的资格条件详见“竞争性磋商公告”。</w:t>
      </w:r>
    </w:p>
    <w:p>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w:t>
      </w:r>
      <w:r>
        <w:rPr>
          <w:rFonts w:hint="eastAsia" w:ascii="黑体" w:hAnsi="黑体" w:eastAsia="黑体" w:cs="宋体"/>
          <w:b/>
          <w:bCs/>
          <w:color w:val="000000" w:themeColor="text1"/>
          <w:sz w:val="24"/>
          <w14:textFill>
            <w14:solidFill>
              <w14:schemeClr w14:val="tx1"/>
            </w14:solidFill>
          </w14:textFill>
        </w:rPr>
        <w:t>.竞标费用</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 xml:space="preserve">             </w:t>
      </w:r>
    </w:p>
    <w:p>
      <w:pPr>
        <w:spacing w:line="360" w:lineRule="auto"/>
        <w:ind w:firstLine="482" w:firstLineChars="200"/>
        <w:rPr>
          <w:rFonts w:ascii="黑体" w:hAnsi="黑体" w:eastAsia="黑体" w:cs="宋体"/>
          <w:b/>
          <w:bCs/>
          <w:color w:val="000000" w:themeColor="text1"/>
          <w:sz w:val="24"/>
          <w14:textFill>
            <w14:solidFill>
              <w14:schemeClr w14:val="tx1"/>
            </w14:solidFill>
          </w14:textFill>
        </w:rPr>
      </w:pPr>
      <w:bookmarkStart w:id="46" w:name="_Toc254970673"/>
      <w:bookmarkStart w:id="47" w:name="_Toc254970532"/>
      <w:r>
        <w:rPr>
          <w:rFonts w:ascii="黑体" w:hAnsi="黑体" w:eastAsia="黑体" w:cs="宋体"/>
          <w:b/>
          <w:bCs/>
          <w:color w:val="000000" w:themeColor="text1"/>
          <w:sz w:val="24"/>
          <w14:textFill>
            <w14:solidFill>
              <w14:schemeClr w14:val="tx1"/>
            </w14:solidFill>
          </w14:textFill>
        </w:rPr>
        <w:t>3</w:t>
      </w:r>
      <w:r>
        <w:rPr>
          <w:rFonts w:hint="eastAsia" w:ascii="黑体" w:hAnsi="黑体" w:eastAsia="黑体" w:cs="宋体"/>
          <w:b/>
          <w:bCs/>
          <w:color w:val="000000" w:themeColor="text1"/>
          <w:sz w:val="24"/>
          <w14:textFill>
            <w14:solidFill>
              <w14:schemeClr w14:val="tx1"/>
            </w14:solidFill>
          </w14:textFill>
        </w:rPr>
        <w:t>.特别说明</w:t>
      </w:r>
      <w:bookmarkEnd w:id="46"/>
      <w:bookmarkEnd w:id="47"/>
    </w:p>
    <w:p>
      <w:pPr>
        <w:spacing w:line="360" w:lineRule="auto"/>
        <w:ind w:firstLine="420" w:firstLineChars="200"/>
        <w:rPr>
          <w:rFonts w:ascii="宋体" w:hAnsi="宋体" w:cs="宋体"/>
          <w:color w:val="000000" w:themeColor="text1"/>
          <w:szCs w:val="21"/>
          <w14:textFill>
            <w14:solidFill>
              <w14:schemeClr w14:val="tx1"/>
            </w14:solidFill>
          </w14:textFill>
        </w:rPr>
      </w:pPr>
      <w:bookmarkStart w:id="48" w:name="_8.1提供相同品牌产品且通过资格审查、符合性审查的不同投标人参加同一合"/>
      <w:bookmarkEnd w:id="48"/>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bookmarkStart w:id="49" w:name="_Hlk65832145"/>
      <w:r>
        <w:rPr>
          <w:rFonts w:hint="eastAsia" w:ascii="宋体" w:hAnsi="宋体"/>
          <w:color w:val="000000" w:themeColor="text1"/>
          <w:szCs w:val="21"/>
          <w14:textFill>
            <w14:solidFill>
              <w14:schemeClr w14:val="tx1"/>
            </w14:solidFill>
          </w14:textFill>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000000" w:themeColor="text1"/>
          <w:szCs w:val="21"/>
          <w14:textFill>
            <w14:solidFill>
              <w14:schemeClr w14:val="tx1"/>
            </w14:solidFill>
          </w14:textFill>
        </w:rPr>
        <w:t>。</w:t>
      </w:r>
    </w:p>
    <w:bookmarkEnd w:id="49"/>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在采购活动中，采购人员及相关人员与供应商有下列利害关系之一的，应当回避：</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（1）参加采购活动前3年内与供应商存在劳动关系；</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（2）参加采购活动前3年内担任供应商的董事、监事；</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（3）参加采购活动前3年内是供应商的控股股东或者实际控制人；</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（4）与供应商的法定代表人或者负责人有夫妻、直系血亲、三代以内旁系血亲或者近姻亲关系；</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（5）与供应商有其他可能影响采购活动公平、公正进行的关系。</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供应商认为采购人员及相关人员与其他供应商有利害关系的，可以向采购人书面提出回避申请，并说明理由。采购人应当及时询问被申请回避人员，有利害关系的被申请回避人员应当回避。</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有下列情形之一的视为供应商相互串通竞标，响应文件将被视为无效：</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（1）不同供应商的响应文件由同一单位或者个人编制； </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（2）不同供应商委托同一单位或者个人办理竞标事宜；</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（3）不同的供应商的响应文件载明的项目管理员为同一个人；</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（4）不同供应商的响应文件异常一致或者报价呈规律性差异；</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（5）不同供应商的响应文件相互混装；</w:t>
      </w:r>
    </w:p>
    <w:p>
      <w:pPr>
        <w:tabs>
          <w:tab w:val="left" w:pos="6931"/>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（6）不同供应商的磋商保证金从同一单位或者个人账户转出。</w:t>
      </w:r>
      <w:r>
        <w:rPr>
          <w:rFonts w:ascii="宋体" w:hAnsi="宋体" w:cs="宋体"/>
          <w:color w:val="000000" w:themeColor="text1"/>
          <w:szCs w:val="21"/>
          <w14:textFill>
            <w14:solidFill>
              <w14:schemeClr w14:val="tx1"/>
            </w14:solidFill>
          </w14:textFill>
        </w:rPr>
        <w:tab/>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供应商有下列情形之一的，属于恶意串通行为，将报同级监督管理部门：</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（2）供应商按照采购人或者采购代理机构的授意撤换、修改响应文件；</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（3）供应商之间协商报价、技术方案等响应文件或者响应文件的实质性内容；</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（4）属于同一集团、协会、商会等组织成员的供应商按照该组织要求协同参加采购活动；</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（5）供应商之间事先约定一致抬高或者压低报价，或者在采购活动中事先约定轮流以高价位或者低价位成交，或者事先约定由某一特定供应商成交，然后再参加竞标；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（6）供应商之间商定部分供应商放弃参加采购活动或者放弃成交；</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ind w:left="1" w:firstLine="417" w:firstLineChars="199"/>
        <w:jc w:val="center"/>
        <w:rPr>
          <w:rFonts w:ascii="宋体" w:hAnsi="宋体"/>
          <w:color w:val="000000" w:themeColor="text1"/>
          <w14:textFill>
            <w14:solidFill>
              <w14:schemeClr w14:val="tx1"/>
            </w14:solidFill>
          </w14:textFill>
        </w:rPr>
      </w:pPr>
      <w:bookmarkStart w:id="50" w:name="_Toc254970534"/>
      <w:bookmarkStart w:id="51" w:name="_Toc254970675"/>
    </w:p>
    <w:p>
      <w:pPr>
        <w:spacing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二、磋商文件</w:t>
      </w:r>
      <w:bookmarkEnd w:id="50"/>
      <w:bookmarkEnd w:id="51"/>
    </w:p>
    <w:p>
      <w:pPr>
        <w:spacing w:line="360" w:lineRule="auto"/>
        <w:rPr>
          <w:rFonts w:ascii="宋体" w:hAnsi="宋体"/>
          <w:color w:val="000000" w:themeColor="text1"/>
          <w:szCs w:val="21"/>
          <w14:textFill>
            <w14:solidFill>
              <w14:schemeClr w14:val="tx1"/>
            </w14:solidFill>
          </w14:textFill>
        </w:rPr>
      </w:pPr>
    </w:p>
    <w:p>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4</w:t>
      </w:r>
      <w:r>
        <w:rPr>
          <w:rFonts w:hint="eastAsia" w:ascii="黑体" w:hAnsi="黑体" w:eastAsia="黑体" w:cs="宋体"/>
          <w:b/>
          <w:bCs/>
          <w:color w:val="000000" w:themeColor="text1"/>
          <w:sz w:val="24"/>
          <w14:textFill>
            <w14:solidFill>
              <w14:schemeClr w14:val="tx1"/>
            </w14:solidFill>
          </w14:textFill>
        </w:rPr>
        <w:t>.磋商文件的构成</w:t>
      </w:r>
    </w:p>
    <w:p>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（1）竞争性磋商公告；</w:t>
      </w:r>
    </w:p>
    <w:p>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（2）供应商须知； </w:t>
      </w:r>
    </w:p>
    <w:p>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（3）采购需求；</w:t>
      </w:r>
    </w:p>
    <w:p>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（4）评审程序、评审方法和评审标准；</w:t>
      </w:r>
    </w:p>
    <w:p>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（5）响应文件格式；</w:t>
      </w:r>
    </w:p>
    <w:p>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5</w:t>
      </w:r>
      <w:r>
        <w:rPr>
          <w:rFonts w:hint="eastAsia" w:ascii="黑体" w:hAnsi="黑体" w:eastAsia="黑体" w:cs="宋体"/>
          <w:b/>
          <w:bCs/>
          <w:color w:val="000000" w:themeColor="text1"/>
          <w:sz w:val="24"/>
          <w14:textFill>
            <w14:solidFill>
              <w14:schemeClr w14:val="tx1"/>
            </w14:solidFill>
          </w14:textFill>
        </w:rPr>
        <w:t>.供应商的询问</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供应商应认真阅读磋商文件的采购需求，如供应商对磋商文件有疑问的，如要求采购人作出澄清或者修改的，供应商尽可能在</w:t>
      </w:r>
      <w:r>
        <w:rPr>
          <w:rFonts w:ascii="宋体" w:hAnsi="宋体"/>
          <w:color w:val="000000" w:themeColor="text1"/>
          <w:szCs w:val="21"/>
          <w14:textFill>
            <w14:solidFill>
              <w14:schemeClr w14:val="tx1"/>
            </w14:solidFill>
          </w14:textFill>
        </w:rPr>
        <w:t>提交首次响应文件截止之日前</w:t>
      </w:r>
      <w:r>
        <w:rPr>
          <w:rFonts w:hint="eastAsia" w:ascii="宋体" w:hAnsi="宋体"/>
          <w:color w:val="000000" w:themeColor="text1"/>
          <w:szCs w:val="21"/>
          <w14:textFill>
            <w14:solidFill>
              <w14:schemeClr w14:val="tx1"/>
            </w14:solidFill>
          </w14:textFill>
        </w:rPr>
        <w:t>，以书面形式向</w:t>
      </w:r>
      <w:r>
        <w:rPr>
          <w:rFonts w:ascii="宋体" w:hAnsi="宋体"/>
          <w:color w:val="000000" w:themeColor="text1"/>
          <w:szCs w:val="21"/>
          <w14:textFill>
            <w14:solidFill>
              <w14:schemeClr w14:val="tx1"/>
            </w14:solidFill>
          </w14:textFill>
        </w:rPr>
        <w:t>采购人</w:t>
      </w:r>
      <w:r>
        <w:rPr>
          <w:rFonts w:hint="eastAsia" w:ascii="宋体" w:hAnsi="宋体"/>
          <w:color w:val="000000" w:themeColor="text1"/>
          <w:szCs w:val="21"/>
          <w14:textFill>
            <w14:solidFill>
              <w14:schemeClr w14:val="tx1"/>
            </w14:solidFill>
          </w14:textFill>
        </w:rPr>
        <w:t>提出。</w:t>
      </w:r>
    </w:p>
    <w:p>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6</w:t>
      </w:r>
      <w:r>
        <w:rPr>
          <w:rFonts w:hint="eastAsia" w:ascii="黑体" w:hAnsi="黑体" w:eastAsia="黑体" w:cs="宋体"/>
          <w:b/>
          <w:bCs/>
          <w:color w:val="000000" w:themeColor="text1"/>
          <w:sz w:val="24"/>
          <w14:textFill>
            <w14:solidFill>
              <w14:schemeClr w14:val="tx1"/>
            </w14:solidFill>
          </w14:textFill>
        </w:rPr>
        <w:t>.磋商文件的澄清和修改</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提交首次响应文件截止之日前，采购人或者磋商小组可以对已发出的磋商文件进行必要的澄清或者修改，澄清或者修改的内容作为磋商文件的组成部分。澄清或者修改的内容可能影响响应文件编制的，采购人或者磋商小组在提交首次响应文件截止之日3个工作日前，以书面形式通知所有</w:t>
      </w:r>
      <w:r>
        <w:rPr>
          <w:rFonts w:hint="eastAsia" w:ascii="宋体" w:hAnsi="宋体"/>
          <w:color w:val="000000" w:themeColor="text1"/>
          <w:szCs w:val="21"/>
          <w14:textFill>
            <w14:solidFill>
              <w14:schemeClr w14:val="tx1"/>
            </w14:solidFill>
          </w14:textFill>
        </w:rPr>
        <w:t>获取</w:t>
      </w:r>
      <w:r>
        <w:rPr>
          <w:rFonts w:ascii="宋体" w:hAnsi="宋体"/>
          <w:color w:val="000000" w:themeColor="text1"/>
          <w:szCs w:val="21"/>
          <w14:textFill>
            <w14:solidFill>
              <w14:schemeClr w14:val="tx1"/>
            </w14:solidFill>
          </w14:textFill>
        </w:rPr>
        <w:t>磋商文件的供应商，不足3个工作日的，应当顺延提交首次响应文件截止之日。</w:t>
      </w:r>
    </w:p>
    <w:p>
      <w:pPr>
        <w:spacing w:line="360" w:lineRule="auto"/>
        <w:rPr>
          <w:rFonts w:ascii="宋体" w:hAnsi="宋体"/>
          <w:color w:val="000000" w:themeColor="text1"/>
          <w:szCs w:val="21"/>
          <w14:textFill>
            <w14:solidFill>
              <w14:schemeClr w14:val="tx1"/>
            </w14:solidFill>
          </w14:textFill>
        </w:rPr>
      </w:pPr>
    </w:p>
    <w:p>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三、响应文件的编制</w:t>
      </w:r>
    </w:p>
    <w:p>
      <w:pPr>
        <w:spacing w:line="360" w:lineRule="auto"/>
        <w:rPr>
          <w:rFonts w:ascii="宋体" w:hAnsi="宋体"/>
          <w:color w:val="000000" w:themeColor="text1"/>
          <w:szCs w:val="21"/>
          <w14:textFill>
            <w14:solidFill>
              <w14:schemeClr w14:val="tx1"/>
            </w14:solidFill>
          </w14:textFill>
        </w:rPr>
      </w:pPr>
    </w:p>
    <w:p>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7</w:t>
      </w:r>
      <w:r>
        <w:rPr>
          <w:rFonts w:hint="eastAsia" w:ascii="黑体" w:hAnsi="黑体" w:eastAsia="黑体" w:cs="宋体"/>
          <w:b/>
          <w:bCs/>
          <w:color w:val="000000" w:themeColor="text1"/>
          <w:sz w:val="24"/>
          <w14:textFill>
            <w14:solidFill>
              <w14:schemeClr w14:val="tx1"/>
            </w14:solidFill>
          </w14:textFill>
        </w:rPr>
        <w:t>.响应文件的编制原则</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8</w:t>
      </w:r>
      <w:r>
        <w:rPr>
          <w:rFonts w:hint="eastAsia" w:ascii="黑体" w:hAnsi="黑体" w:eastAsia="黑体" w:cs="宋体"/>
          <w:b/>
          <w:bCs/>
          <w:color w:val="000000" w:themeColor="text1"/>
          <w:sz w:val="24"/>
          <w14:textFill>
            <w14:solidFill>
              <w14:schemeClr w14:val="tx1"/>
            </w14:solidFill>
          </w14:textFill>
        </w:rPr>
        <w:t>.响应文件的组成</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12.1响应文件由资格证明文件、报价文件、商务技术文件三部分组成。</w:t>
      </w:r>
    </w:p>
    <w:p>
      <w:pPr>
        <w:spacing w:line="360" w:lineRule="auto"/>
        <w:ind w:left="840" w:leftChars="200" w:hanging="420" w:hanging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12.1.1资格证明文件：供应商为法人或者其他组织的提供其营业执照等证明文件（如营业执照或者事业单位法人证书或者执业许可证或者登记证书等）</w:t>
      </w:r>
    </w:p>
    <w:p>
      <w:pPr>
        <w:spacing w:line="360" w:lineRule="auto"/>
        <w:ind w:left="840" w:leftChars="200" w:hanging="420" w:hanging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12.1.2报价文件：竞标报价表（格式后附）；（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pPr>
        <w:spacing w:line="360" w:lineRule="auto"/>
        <w:ind w:left="840" w:leftChars="200" w:hanging="420" w:hanging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12.1.3商务技术文件：（1）法定代表人身份证明书及法定代表人有效身份证正反面复印件（格式后附）；（</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）。（2）授权委托书及委托代理人有效身份证正反面复印件（格式后附）；（</w:t>
      </w:r>
      <w:r>
        <w:rPr>
          <w:rFonts w:hint="eastAsia" w:ascii="宋体" w:hAnsi="宋体" w:cs="宋体"/>
          <w:b/>
          <w:color w:val="000000" w:themeColor="text1"/>
          <w:szCs w:val="21"/>
          <w14:textFill>
            <w14:solidFill>
              <w14:schemeClr w14:val="tx1"/>
            </w14:solidFill>
          </w14:textFill>
        </w:rPr>
        <w:t>委托时必须提供，否则响应文件按无效响应处理</w:t>
      </w:r>
      <w:r>
        <w:rPr>
          <w:rFonts w:hint="eastAsia" w:ascii="宋体" w:hAnsi="宋体" w:cs="宋体"/>
          <w:color w:val="000000" w:themeColor="text1"/>
          <w:szCs w:val="21"/>
          <w14:textFill>
            <w14:solidFill>
              <w14:schemeClr w14:val="tx1"/>
            </w14:solidFill>
          </w14:textFill>
        </w:rPr>
        <w:t>）；（3）服务方案（格式自拟）（4）业绩证明材料</w:t>
      </w:r>
    </w:p>
    <w:p>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9</w:t>
      </w:r>
      <w:r>
        <w:rPr>
          <w:rFonts w:hint="eastAsia" w:ascii="黑体" w:hAnsi="黑体" w:eastAsia="黑体" w:cs="宋体"/>
          <w:b/>
          <w:bCs/>
          <w:color w:val="000000" w:themeColor="text1"/>
          <w:sz w:val="24"/>
          <w14:textFill>
            <w14:solidFill>
              <w14:schemeClr w14:val="tx1"/>
            </w14:solidFill>
          </w14:textFill>
        </w:rPr>
        <w:t>.计量单位</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10</w:t>
      </w:r>
      <w:r>
        <w:rPr>
          <w:rFonts w:hint="eastAsia" w:ascii="黑体" w:hAnsi="黑体" w:eastAsia="黑体" w:cs="宋体"/>
          <w:b/>
          <w:bCs/>
          <w:color w:val="000000" w:themeColor="text1"/>
          <w:sz w:val="24"/>
          <w14:textFill>
            <w14:solidFill>
              <w14:schemeClr w14:val="tx1"/>
            </w14:solidFill>
          </w14:textFill>
        </w:rPr>
        <w:t>.竞标的风险</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11</w:t>
      </w:r>
      <w:r>
        <w:rPr>
          <w:rFonts w:hint="eastAsia" w:ascii="黑体" w:hAnsi="黑体" w:eastAsia="黑体" w:cs="宋体"/>
          <w:b/>
          <w:bCs/>
          <w:color w:val="000000" w:themeColor="text1"/>
          <w:sz w:val="24"/>
          <w14:textFill>
            <w14:solidFill>
              <w14:schemeClr w14:val="tx1"/>
            </w14:solidFill>
          </w14:textFill>
        </w:rPr>
        <w:t>.竞标报价</w:t>
      </w:r>
    </w:p>
    <w:p>
      <w:pPr>
        <w:tabs>
          <w:tab w:val="left" w:pos="2492"/>
        </w:tabs>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.1竞标报价应按磋商文件中“竞标报价表”格式填写。</w:t>
      </w:r>
    </w:p>
    <w:p>
      <w:pPr>
        <w:spacing w:line="360" w:lineRule="auto"/>
        <w:ind w:left="426" w:leftChars="203"/>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竞标报价要求</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11.2.1</w:t>
      </w:r>
      <w:r>
        <w:rPr>
          <w:rFonts w:hint="eastAsia" w:ascii="宋体" w:hAnsi="宋体" w:cs="宋体"/>
          <w:color w:val="000000" w:themeColor="text1"/>
          <w:szCs w:val="21"/>
          <w14:textFill>
            <w14:solidFill>
              <w14:schemeClr w14:val="tx1"/>
            </w14:solidFill>
          </w14:textFill>
        </w:rPr>
        <w:t>供应商的竞标报价应符合以下要求，否则响应文件按无效响应处理：</w:t>
      </w:r>
    </w:p>
    <w:p>
      <w:pPr>
        <w:spacing w:line="360" w:lineRule="auto"/>
        <w:ind w:left="420" w:left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（1）供应商必须就“采购需求”中所竞标的每个分标的全部内容分别作完整唯一总价报价，</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不得存在漏项报价；</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）供应商必须就所竞标的分标的单项内容作唯一报价。</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竞标报价（包含首次报价、最后报价）超过所竞标分标规定的采购预算金额或者最高限价的，其响应文件将按无效处理。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bookmarkStart w:id="52" w:name="_Hlk42592874"/>
      <w:r>
        <w:rPr>
          <w:rFonts w:hint="eastAsia" w:ascii="宋体" w:hAnsi="宋体" w:cs="宋体"/>
          <w:color w:val="000000" w:themeColor="text1"/>
          <w:szCs w:val="21"/>
          <w14:textFill>
            <w14:solidFill>
              <w14:schemeClr w14:val="tx1"/>
            </w14:solidFill>
          </w14:textFill>
        </w:rPr>
        <w:t>竞标报价（包含首次报价、最后报价）超过分项采购预算金额或者最高限价的，其响应文件将按无效处理。</w:t>
      </w:r>
    </w:p>
    <w:bookmarkEnd w:id="52"/>
    <w:p>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12</w:t>
      </w:r>
      <w:r>
        <w:rPr>
          <w:rFonts w:hint="eastAsia" w:ascii="黑体" w:hAnsi="黑体" w:eastAsia="黑体" w:cs="宋体"/>
          <w:b/>
          <w:bCs/>
          <w:color w:val="000000" w:themeColor="text1"/>
          <w:sz w:val="24"/>
          <w14:textFill>
            <w14:solidFill>
              <w14:schemeClr w14:val="tx1"/>
            </w14:solidFill>
          </w14:textFill>
        </w:rPr>
        <w:t>.竞标有效期</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.2供应商的响应文件在竞标有效期内均保持有效。</w:t>
      </w:r>
    </w:p>
    <w:p>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13</w:t>
      </w:r>
      <w:r>
        <w:rPr>
          <w:rFonts w:hint="eastAsia" w:ascii="黑体" w:hAnsi="黑体" w:eastAsia="黑体" w:cs="宋体"/>
          <w:b/>
          <w:bCs/>
          <w:color w:val="000000" w:themeColor="text1"/>
          <w:sz w:val="24"/>
          <w14:textFill>
            <w14:solidFill>
              <w14:schemeClr w14:val="tx1"/>
            </w14:solidFill>
          </w14:textFill>
        </w:rPr>
        <w:t>.磋商保证金 见竞争性磋商公告</w:t>
      </w:r>
    </w:p>
    <w:p>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w:t>
      </w:r>
      <w:r>
        <w:rPr>
          <w:rFonts w:ascii="黑体" w:hAnsi="黑体" w:eastAsia="黑体" w:cs="宋体"/>
          <w:b/>
          <w:bCs/>
          <w:color w:val="000000" w:themeColor="text1"/>
          <w:sz w:val="24"/>
          <w14:textFill>
            <w14:solidFill>
              <w14:schemeClr w14:val="tx1"/>
            </w14:solidFill>
          </w14:textFill>
        </w:rPr>
        <w:t>4</w:t>
      </w:r>
      <w:r>
        <w:rPr>
          <w:rFonts w:hint="eastAsia" w:ascii="黑体" w:hAnsi="黑体" w:eastAsia="黑体" w:cs="宋体"/>
          <w:b/>
          <w:bCs/>
          <w:color w:val="000000" w:themeColor="text1"/>
          <w:sz w:val="24"/>
          <w14:textFill>
            <w14:solidFill>
              <w14:schemeClr w14:val="tx1"/>
            </w14:solidFill>
          </w14:textFill>
        </w:rPr>
        <w:t>.响应文件编制的要求</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14.1</w:t>
      </w:r>
      <w:r>
        <w:rPr>
          <w:rFonts w:hint="eastAsia" w:ascii="宋体" w:hAnsi="宋体" w:cs="宋体"/>
          <w:color w:val="000000" w:themeColor="text1"/>
          <w:szCs w:val="21"/>
          <w14:textFill>
            <w14:solidFill>
              <w14:schemeClr w14:val="tx1"/>
            </w14:solidFill>
          </w14:textFill>
        </w:rPr>
        <w:t>响应文件须由供应商在规定位置签字、盖章（具体以供应商须知前附表或响应文件格式规定为准），否则按无效响应处理。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14.2</w:t>
      </w:r>
      <w:r>
        <w:rPr>
          <w:rFonts w:hint="eastAsia" w:ascii="宋体" w:hAnsi="宋体" w:cs="宋体"/>
          <w:color w:val="000000" w:themeColor="text1"/>
          <w:szCs w:val="21"/>
          <w14:textFill>
            <w14:solidFill>
              <w14:schemeClr w14:val="tx1"/>
            </w14:solidFill>
          </w14:textFill>
        </w:rPr>
        <w:t>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14.3</w:t>
      </w:r>
      <w:r>
        <w:rPr>
          <w:rFonts w:hint="eastAsia" w:ascii="宋体" w:hAnsi="宋体" w:cs="宋体"/>
          <w:color w:val="000000" w:themeColor="text1"/>
          <w:szCs w:val="21"/>
          <w14:textFill>
            <w14:solidFill>
              <w14:schemeClr w14:val="tx1"/>
            </w14:solidFill>
          </w14:textFill>
        </w:rPr>
        <w:t>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15</w:t>
      </w:r>
      <w:r>
        <w:rPr>
          <w:rFonts w:hint="eastAsia" w:ascii="黑体" w:hAnsi="黑体" w:eastAsia="黑体" w:cs="宋体"/>
          <w:b/>
          <w:bCs/>
          <w:color w:val="000000" w:themeColor="text1"/>
          <w:sz w:val="24"/>
          <w14:textFill>
            <w14:solidFill>
              <w14:schemeClr w14:val="tx1"/>
            </w14:solidFill>
          </w14:textFill>
        </w:rPr>
        <w:t>.响应文件的提交</w:t>
      </w:r>
    </w:p>
    <w:p>
      <w:pPr>
        <w:spacing w:line="360" w:lineRule="auto"/>
        <w:ind w:firstLine="420" w:firstLineChars="200"/>
        <w:rPr>
          <w:rFonts w:hAnsi="宋体"/>
          <w:b/>
          <w:color w:val="000000" w:themeColor="text1"/>
          <w14:textFill>
            <w14:solidFill>
              <w14:schemeClr w14:val="tx1"/>
            </w14:solidFill>
          </w14:textFill>
        </w:rPr>
      </w:pPr>
      <w:r>
        <w:rPr>
          <w:rFonts w:hAnsi="宋体"/>
          <w:bCs/>
          <w:color w:val="000000" w:themeColor="text1"/>
          <w:szCs w:val="21"/>
          <w14:textFill>
            <w14:solidFill>
              <w14:schemeClr w14:val="tx1"/>
            </w14:solidFill>
          </w14:textFill>
        </w:rPr>
        <w:t>15</w:t>
      </w:r>
      <w:r>
        <w:rPr>
          <w:rFonts w:hint="eastAsia" w:hAnsi="宋体"/>
          <w:bCs/>
          <w:color w:val="000000" w:themeColor="text1"/>
          <w:szCs w:val="21"/>
          <w14:textFill>
            <w14:solidFill>
              <w14:schemeClr w14:val="tx1"/>
            </w14:solidFill>
          </w14:textFill>
        </w:rPr>
        <w:t>.1供应商必须按“</w:t>
      </w:r>
      <w:r>
        <w:rPr>
          <w:rFonts w:hint="eastAsia" w:ascii="宋体" w:hAnsi="宋体" w:cs="宋体"/>
          <w:color w:val="000000" w:themeColor="text1"/>
          <w:szCs w:val="21"/>
          <w14:textFill>
            <w14:solidFill>
              <w14:schemeClr w14:val="tx1"/>
            </w14:solidFill>
          </w14:textFill>
        </w:rPr>
        <w:t>竞争性磋商公告</w:t>
      </w:r>
      <w:r>
        <w:rPr>
          <w:rFonts w:hint="eastAsia" w:hAnsi="宋体"/>
          <w:bCs/>
          <w:color w:val="000000" w:themeColor="text1"/>
          <w:szCs w:val="21"/>
          <w14:textFill>
            <w14:solidFill>
              <w14:schemeClr w14:val="tx1"/>
            </w14:solidFill>
          </w14:textFill>
        </w:rPr>
        <w:t>”规定的</w:t>
      </w:r>
      <w:r>
        <w:rPr>
          <w:rFonts w:hint="eastAsia" w:ascii="宋体" w:hAnsi="宋体" w:cs="宋体"/>
          <w:color w:val="000000" w:themeColor="text1"/>
          <w:szCs w:val="21"/>
          <w14:textFill>
            <w14:solidFill>
              <w14:schemeClr w14:val="tx1"/>
            </w14:solidFill>
          </w14:textFill>
        </w:rPr>
        <w:t>时间</w:t>
      </w:r>
      <w:r>
        <w:rPr>
          <w:rFonts w:hint="eastAsia" w:ascii="宋体" w:hAnsi="宋体"/>
          <w:color w:val="000000" w:themeColor="text1"/>
          <w:szCs w:val="21"/>
          <w14:textFill>
            <w14:solidFill>
              <w14:schemeClr w14:val="tx1"/>
            </w14:solidFill>
          </w14:textFill>
        </w:rPr>
        <w:t>及</w:t>
      </w:r>
      <w:r>
        <w:rPr>
          <w:rFonts w:hint="eastAsia" w:hAnsi="宋体"/>
          <w:bCs/>
          <w:color w:val="000000" w:themeColor="text1"/>
          <w:szCs w:val="21"/>
          <w14:textFill>
            <w14:solidFill>
              <w14:schemeClr w14:val="tx1"/>
            </w14:solidFill>
          </w14:textFill>
        </w:rPr>
        <w:t>地点提交响应文件。</w:t>
      </w:r>
    </w:p>
    <w:p>
      <w:pPr>
        <w:spacing w:line="360" w:lineRule="auto"/>
        <w:rPr>
          <w:rFonts w:ascii="宋体" w:hAnsi="宋体"/>
          <w:color w:val="000000" w:themeColor="text1"/>
          <w:szCs w:val="21"/>
          <w14:textFill>
            <w14:solidFill>
              <w14:schemeClr w14:val="tx1"/>
            </w14:solidFill>
          </w14:textFill>
        </w:rPr>
      </w:pPr>
    </w:p>
    <w:p>
      <w:pPr>
        <w:spacing w:line="360" w:lineRule="auto"/>
        <w:ind w:left="420" w:firstLine="420"/>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四、评审及磋商</w:t>
      </w:r>
    </w:p>
    <w:p>
      <w:pPr>
        <w:spacing w:line="360" w:lineRule="auto"/>
        <w:ind w:left="420" w:firstLine="420"/>
        <w:rPr>
          <w:rFonts w:ascii="宋体" w:hAnsi="宋体"/>
          <w:color w:val="000000" w:themeColor="text1"/>
          <w:szCs w:val="21"/>
          <w14:textFill>
            <w14:solidFill>
              <w14:schemeClr w14:val="tx1"/>
            </w14:solidFill>
          </w14:textFill>
        </w:rPr>
      </w:pPr>
    </w:p>
    <w:p>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16</w:t>
      </w:r>
      <w:r>
        <w:rPr>
          <w:rFonts w:hint="eastAsia" w:ascii="黑体" w:hAnsi="黑体" w:eastAsia="黑体" w:cs="宋体"/>
          <w:b/>
          <w:bCs/>
          <w:color w:val="000000" w:themeColor="text1"/>
          <w:sz w:val="24"/>
          <w14:textFill>
            <w14:solidFill>
              <w14:schemeClr w14:val="tx1"/>
            </w14:solidFill>
          </w14:textFill>
        </w:rPr>
        <w:t>.磋商小组成立</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磋商小组由采购人代表和评审专家共3人以上单数组成</w:t>
      </w:r>
      <w:r>
        <w:rPr>
          <w:rFonts w:hint="eastAsia" w:hAnsi="宋体"/>
          <w:bCs/>
          <w:color w:val="000000" w:themeColor="text1"/>
          <w:szCs w:val="21"/>
          <w14:textFill>
            <w14:solidFill>
              <w14:schemeClr w14:val="tx1"/>
            </w14:solidFill>
          </w14:textFill>
        </w:rPr>
        <w:t>。</w:t>
      </w:r>
    </w:p>
    <w:p>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17</w:t>
      </w:r>
      <w:r>
        <w:rPr>
          <w:rFonts w:hint="eastAsia" w:ascii="黑体" w:hAnsi="黑体" w:eastAsia="黑体" w:cs="宋体"/>
          <w:b/>
          <w:bCs/>
          <w:color w:val="000000" w:themeColor="text1"/>
          <w:sz w:val="24"/>
          <w14:textFill>
            <w14:solidFill>
              <w14:schemeClr w14:val="tx1"/>
            </w14:solidFill>
          </w14:textFill>
        </w:rPr>
        <w:t>.评审程序、评审方法和评审标准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17</w:t>
      </w:r>
      <w:r>
        <w:rPr>
          <w:rFonts w:hint="eastAsia" w:ascii="宋体" w:hAnsi="宋体" w:cs="宋体"/>
          <w:color w:val="000000" w:themeColor="text1"/>
          <w:szCs w:val="21"/>
          <w14:textFill>
            <w14:solidFill>
              <w14:schemeClr w14:val="tx1"/>
            </w14:solidFill>
          </w14:textFill>
        </w:rPr>
        <w:t>.1本项目的评审方法为综合评分法。</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17.2</w:t>
      </w:r>
      <w:r>
        <w:rPr>
          <w:rFonts w:hint="eastAsia" w:ascii="宋体" w:hAnsi="宋体" w:cs="宋体"/>
          <w:color w:val="000000" w:themeColor="text1"/>
          <w:szCs w:val="21"/>
          <w14:textFill>
            <w14:solidFill>
              <w14:schemeClr w14:val="tx1"/>
            </w14:solidFill>
          </w14:textFill>
        </w:rPr>
        <w:t>磋商小组</w:t>
      </w:r>
      <w:r>
        <w:rPr>
          <w:rFonts w:ascii="宋体" w:hAnsi="宋体" w:cs="宋体"/>
          <w:color w:val="000000" w:themeColor="text1"/>
          <w:szCs w:val="21"/>
          <w14:textFill>
            <w14:solidFill>
              <w14:schemeClr w14:val="tx1"/>
            </w14:solidFill>
          </w14:textFill>
        </w:rPr>
        <w:t>按照</w:t>
      </w:r>
      <w:r>
        <w:rPr>
          <w:rFonts w:hint="eastAsia" w:ascii="宋体" w:hAnsi="宋体" w:cs="宋体"/>
          <w:color w:val="000000" w:themeColor="text1"/>
          <w:szCs w:val="21"/>
          <w14:textFill>
            <w14:solidFill>
              <w14:schemeClr w14:val="tx1"/>
            </w14:solidFill>
          </w14:textFill>
        </w:rPr>
        <w:t>“第四章 评审程序、评审方法和评审标准”</w:t>
      </w:r>
      <w:r>
        <w:rPr>
          <w:rFonts w:ascii="宋体" w:hAnsi="宋体" w:cs="宋体"/>
          <w:color w:val="000000" w:themeColor="text1"/>
          <w:szCs w:val="21"/>
          <w14:textFill>
            <w14:solidFill>
              <w14:schemeClr w14:val="tx1"/>
            </w14:solidFill>
          </w14:textFill>
        </w:rPr>
        <w:t>规定的方法、评审因素、标准和程序对</w:t>
      </w:r>
      <w:r>
        <w:rPr>
          <w:rFonts w:hint="eastAsia" w:ascii="宋体" w:hAnsi="宋体" w:cs="宋体"/>
          <w:color w:val="000000" w:themeColor="text1"/>
          <w:szCs w:val="21"/>
          <w14:textFill>
            <w14:solidFill>
              <w14:schemeClr w14:val="tx1"/>
            </w14:solidFill>
          </w14:textFill>
        </w:rPr>
        <w:t>响应</w:t>
      </w:r>
      <w:r>
        <w:rPr>
          <w:rFonts w:ascii="宋体" w:hAnsi="宋体" w:cs="宋体"/>
          <w:color w:val="000000" w:themeColor="text1"/>
          <w:szCs w:val="21"/>
          <w14:textFill>
            <w14:solidFill>
              <w14:schemeClr w14:val="tx1"/>
            </w14:solidFill>
          </w14:textFill>
        </w:rPr>
        <w:t>文件进行评审。</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17.3</w:t>
      </w:r>
      <w:r>
        <w:rPr>
          <w:rFonts w:hint="eastAsia" w:ascii="宋体" w:hAnsi="宋体" w:cs="宋体"/>
          <w:color w:val="000000" w:themeColor="text1"/>
          <w14:textFill>
            <w14:solidFill>
              <w14:schemeClr w14:val="tx1"/>
            </w14:solidFill>
          </w14:textFill>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pStyle w:val="2"/>
        <w:jc w:val="center"/>
        <w:rPr>
          <w:color w:val="000000" w:themeColor="text1"/>
          <w14:textFill>
            <w14:solidFill>
              <w14:schemeClr w14:val="tx1"/>
            </w14:solidFill>
          </w14:textFill>
        </w:rPr>
      </w:pPr>
      <w:bookmarkStart w:id="53" w:name="_Toc103607500"/>
      <w:r>
        <w:rPr>
          <w:rFonts w:hint="eastAsia"/>
          <w:color w:val="000000" w:themeColor="text1"/>
          <w14:textFill>
            <w14:solidFill>
              <w14:schemeClr w14:val="tx1"/>
            </w14:solidFill>
          </w14:textFill>
        </w:rPr>
        <w:t>第三章采购需求</w:t>
      </w:r>
      <w:bookmarkEnd w:id="53"/>
    </w:p>
    <w:p>
      <w:pPr>
        <w:spacing w:line="44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采购项目技术规格、参数及要求</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“实质性要求”是指采购需求中带“▲”的条款或者不能负偏离的条款或者已经指明不满足按响应文件按无效处理的条款。</w:t>
      </w:r>
    </w:p>
    <w:p>
      <w:pPr>
        <w:spacing w:line="360" w:lineRule="auto"/>
        <w:ind w:firstLine="424" w:firstLineChars="202"/>
        <w:jc w:val="left"/>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.供应商应根据自身实际情况如实响应磋商文件</w:t>
      </w:r>
      <w:r>
        <w:rPr>
          <w:rFonts w:hint="eastAsia" w:ascii="宋体" w:hAnsi="宋体"/>
          <w:color w:val="000000" w:themeColor="text1"/>
          <w:szCs w:val="21"/>
          <w14:textFill>
            <w14:solidFill>
              <w14:schemeClr w14:val="tx1"/>
            </w14:solidFill>
          </w14:textFill>
        </w:rPr>
        <w:t>，不得仅将</w:t>
      </w:r>
      <w:r>
        <w:rPr>
          <w:rFonts w:hint="eastAsia" w:ascii="宋体" w:hAnsi="宋体" w:cs="宋体"/>
          <w:color w:val="000000" w:themeColor="text1"/>
          <w:szCs w:val="21"/>
          <w14:textFill>
            <w14:solidFill>
              <w14:schemeClr w14:val="tx1"/>
            </w14:solidFill>
          </w14:textFill>
        </w:rPr>
        <w:t>磋商文件</w:t>
      </w:r>
      <w:r>
        <w:rPr>
          <w:rFonts w:hint="eastAsia" w:ascii="宋体" w:hAnsi="宋体"/>
          <w:color w:val="000000" w:themeColor="text1"/>
          <w:szCs w:val="21"/>
          <w14:textFill>
            <w14:solidFill>
              <w14:schemeClr w14:val="tx1"/>
            </w14:solidFill>
          </w14:textFill>
        </w:rPr>
        <w:t>内容简单复制粘贴作为竞标响应，还应当提供相关证明材料，否则将按无效响应处理（定制采购不适用本条款）。</w:t>
      </w:r>
      <w:r>
        <w:rPr>
          <w:rFonts w:hint="eastAsia"/>
          <w:color w:val="000000" w:themeColor="text1"/>
          <w14:textFill>
            <w14:solidFill>
              <w14:schemeClr w14:val="tx1"/>
            </w14:solidFill>
          </w14:textFill>
        </w:rPr>
        <w:t>对于重要技术条款或技术参数应当在响应文件中提供技术支持资料，技术支持资料以磋商文件中规定的形式为准，否则将视为无效技术支持资料。</w:t>
      </w:r>
    </w:p>
    <w:p>
      <w:pPr>
        <w:spacing w:line="360" w:lineRule="auto"/>
        <w:ind w:firstLine="424" w:firstLineChars="202"/>
        <w:jc w:val="left"/>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供应商必须自行为其竞标产品侵犯他人的知识产权或者专利成果的行为承担相应法律责任。</w:t>
      </w:r>
    </w:p>
    <w:p>
      <w:pPr>
        <w:spacing w:line="360" w:lineRule="auto"/>
        <w:ind w:firstLine="424" w:firstLineChars="202"/>
        <w:jc w:val="left"/>
        <w:rPr>
          <w:rFonts w:ascii="宋体" w:hAnsi="宋体"/>
          <w:color w:val="000000" w:themeColor="text1"/>
          <w:szCs w:val="21"/>
          <w14:textFill>
            <w14:solidFill>
              <w14:schemeClr w14:val="tx1"/>
            </w14:solidFill>
          </w14:textFill>
        </w:rPr>
      </w:pPr>
    </w:p>
    <w:tbl>
      <w:tblPr>
        <w:tblStyle w:val="2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6"/>
        <w:gridCol w:w="1095"/>
        <w:gridCol w:w="495"/>
        <w:gridCol w:w="1017"/>
        <w:gridCol w:w="6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40" w:type="pct"/>
            <w:vAlign w:val="center"/>
          </w:tcPr>
          <w:p>
            <w:pPr>
              <w:tabs>
                <w:tab w:val="left" w:pos="180"/>
                <w:tab w:val="left" w:pos="1620"/>
              </w:tabs>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874" w:type="pct"/>
            <w:gridSpan w:val="2"/>
            <w:vAlign w:val="center"/>
          </w:tcPr>
          <w:p>
            <w:pPr>
              <w:tabs>
                <w:tab w:val="left" w:pos="180"/>
                <w:tab w:val="left" w:pos="1620"/>
              </w:tabs>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标的名称</w:t>
            </w:r>
          </w:p>
        </w:tc>
        <w:tc>
          <w:tcPr>
            <w:tcW w:w="559" w:type="pct"/>
            <w:vAlign w:val="center"/>
          </w:tcPr>
          <w:p>
            <w:pPr>
              <w:tabs>
                <w:tab w:val="left" w:pos="180"/>
                <w:tab w:val="left" w:pos="1620"/>
              </w:tabs>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数量及单位</w:t>
            </w:r>
          </w:p>
        </w:tc>
        <w:tc>
          <w:tcPr>
            <w:tcW w:w="3326" w:type="pct"/>
            <w:vAlign w:val="center"/>
          </w:tcPr>
          <w:p>
            <w:pPr>
              <w:tabs>
                <w:tab w:val="left" w:pos="180"/>
                <w:tab w:val="left" w:pos="1620"/>
              </w:tabs>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240" w:type="pct"/>
            <w:vAlign w:val="center"/>
          </w:tcPr>
          <w:p>
            <w:pPr>
              <w:tabs>
                <w:tab w:val="left" w:pos="180"/>
                <w:tab w:val="left" w:pos="1620"/>
              </w:tabs>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874" w:type="pct"/>
            <w:gridSpan w:val="2"/>
            <w:vAlign w:val="center"/>
          </w:tcPr>
          <w:p>
            <w:pPr>
              <w:tabs>
                <w:tab w:val="left" w:pos="180"/>
                <w:tab w:val="left" w:pos="1620"/>
              </w:tabs>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2022年防城港校区固定资产搬迁服务采购</w:t>
            </w:r>
          </w:p>
        </w:tc>
        <w:tc>
          <w:tcPr>
            <w:tcW w:w="559" w:type="pct"/>
            <w:vAlign w:val="center"/>
          </w:tcPr>
          <w:p>
            <w:pPr>
              <w:tabs>
                <w:tab w:val="left" w:pos="180"/>
                <w:tab w:val="left" w:pos="1620"/>
              </w:tabs>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约1</w:t>
            </w:r>
            <w:r>
              <w:rPr>
                <w:rFonts w:ascii="宋体" w:hAnsi="宋体" w:cs="宋体"/>
                <w:color w:val="000000" w:themeColor="text1"/>
                <w:szCs w:val="21"/>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车次</w:t>
            </w:r>
          </w:p>
        </w:tc>
        <w:tc>
          <w:tcPr>
            <w:tcW w:w="3326" w:type="pct"/>
            <w:vAlign w:val="center"/>
          </w:tcPr>
          <w:p>
            <w:pPr>
              <w:widowControl/>
              <w:jc w:val="left"/>
              <w:rPr>
                <w:rFonts w:ascii="宋体" w:hAnsi="宋体"/>
                <w:color w:val="FF0000"/>
                <w:szCs w:val="21"/>
              </w:rPr>
            </w:pPr>
            <w:r>
              <w:rPr>
                <w:rFonts w:hint="eastAsia" w:ascii="宋体" w:hAnsi="宋体"/>
                <w:color w:val="FF0000"/>
                <w:szCs w:val="21"/>
              </w:rPr>
              <w:t>一、项目概况</w:t>
            </w:r>
          </w:p>
          <w:p>
            <w:pPr>
              <w:widowControl/>
              <w:jc w:val="left"/>
              <w:rPr>
                <w:rFonts w:ascii="宋体" w:hAnsi="宋体"/>
                <w:color w:val="FF0000"/>
                <w:szCs w:val="21"/>
              </w:rPr>
            </w:pPr>
            <w:r>
              <w:rPr>
                <w:rFonts w:hint="eastAsia" w:ascii="宋体" w:hAnsi="宋体"/>
                <w:color w:val="FF0000"/>
                <w:szCs w:val="21"/>
              </w:rPr>
              <w:t>广西财经学院防城港校区（防城港市江山半岛科教园区内）物资搬迁至我校明秀校区（南宁市明秀西路100号）及相思湖校区（南宁市大学西路189号）指定位置，详细物资参数及要求见《搬迁设备清单》</w:t>
            </w:r>
            <w:r>
              <w:rPr>
                <w:rFonts w:hint="eastAsia" w:ascii="宋体" w:hAnsi="宋体"/>
                <w:color w:val="FF0000"/>
                <w:szCs w:val="21"/>
                <w:highlight w:val="yellow"/>
              </w:rPr>
              <w:t>（清单答疑会现场提供）</w:t>
            </w:r>
            <w:r>
              <w:rPr>
                <w:rFonts w:hint="eastAsia" w:ascii="宋体" w:hAnsi="宋体"/>
                <w:color w:val="FF0000"/>
                <w:szCs w:val="21"/>
              </w:rPr>
              <w:t>。</w:t>
            </w:r>
          </w:p>
          <w:p>
            <w:pPr>
              <w:widowControl/>
              <w:jc w:val="left"/>
              <w:rPr>
                <w:rFonts w:ascii="宋体" w:hAnsi="宋体"/>
                <w:color w:val="FF0000"/>
                <w:szCs w:val="21"/>
              </w:rPr>
            </w:pPr>
            <w:r>
              <w:rPr>
                <w:rFonts w:hint="eastAsia" w:ascii="宋体" w:hAnsi="宋体"/>
                <w:color w:val="FF0000"/>
                <w:szCs w:val="21"/>
              </w:rPr>
              <w:t>二、服务范围及工作内容</w:t>
            </w:r>
          </w:p>
          <w:p>
            <w:pPr>
              <w:widowControl/>
              <w:jc w:val="left"/>
              <w:rPr>
                <w:rFonts w:ascii="宋体" w:hAnsi="宋体"/>
                <w:color w:val="FF0000"/>
                <w:szCs w:val="21"/>
              </w:rPr>
            </w:pPr>
            <w:r>
              <w:rPr>
                <w:rFonts w:hint="eastAsia" w:ascii="宋体" w:hAnsi="宋体"/>
                <w:color w:val="FF0000"/>
                <w:szCs w:val="21"/>
              </w:rPr>
              <w:t>负责防城港校区物资拆卸、打包、运输至明秀校区和相思湖校区指定位置，并按要求进行组装、摆放。</w:t>
            </w:r>
          </w:p>
          <w:p>
            <w:pPr>
              <w:widowControl/>
              <w:jc w:val="left"/>
              <w:rPr>
                <w:rFonts w:ascii="宋体" w:hAnsi="宋体"/>
                <w:color w:val="FF0000"/>
                <w:szCs w:val="21"/>
              </w:rPr>
            </w:pPr>
            <w:r>
              <w:rPr>
                <w:rFonts w:hint="eastAsia" w:ascii="宋体" w:hAnsi="宋体"/>
                <w:color w:val="FF0000"/>
                <w:szCs w:val="21"/>
              </w:rPr>
              <w:t>三、服务要求</w:t>
            </w:r>
          </w:p>
          <w:p>
            <w:pPr>
              <w:widowControl/>
              <w:jc w:val="left"/>
              <w:rPr>
                <w:rFonts w:ascii="宋体" w:hAnsi="宋体"/>
                <w:color w:val="FF0000"/>
                <w:szCs w:val="21"/>
              </w:rPr>
            </w:pPr>
            <w:r>
              <w:rPr>
                <w:rFonts w:hint="eastAsia" w:ascii="宋体" w:hAnsi="宋体"/>
                <w:color w:val="FF0000"/>
                <w:szCs w:val="21"/>
              </w:rPr>
              <w:t>1.树立“服务第一，客户至上”的思想，切实做好搬迁服务工作。</w:t>
            </w:r>
          </w:p>
          <w:p>
            <w:pPr>
              <w:widowControl/>
              <w:jc w:val="left"/>
              <w:rPr>
                <w:rFonts w:ascii="宋体" w:hAnsi="宋体"/>
                <w:color w:val="FF0000"/>
                <w:szCs w:val="21"/>
              </w:rPr>
            </w:pPr>
            <w:r>
              <w:rPr>
                <w:rFonts w:hint="eastAsia" w:ascii="宋体" w:hAnsi="宋体"/>
                <w:color w:val="FF0000"/>
                <w:szCs w:val="21"/>
              </w:rPr>
              <w:t>2.拆装、搬运及运输过程确保甲方物资保安全，如有损坏、丢失等，照价赔偿。</w:t>
            </w:r>
          </w:p>
          <w:p>
            <w:pPr>
              <w:widowControl/>
              <w:jc w:val="left"/>
              <w:rPr>
                <w:rFonts w:ascii="宋体" w:hAnsi="宋体"/>
                <w:color w:val="FF0000"/>
                <w:szCs w:val="21"/>
              </w:rPr>
            </w:pPr>
            <w:r>
              <w:rPr>
                <w:rFonts w:hint="eastAsia" w:ascii="宋体" w:hAnsi="宋体"/>
                <w:color w:val="FF0000"/>
                <w:szCs w:val="21"/>
              </w:rPr>
              <w:t>3.制定专用搬迁工单，一式两联，包含运输物资清单登记，运输车辆信息登记，搬迁运输经手人，物资接收人等信息，用于搬迁后费用结算依据。</w:t>
            </w:r>
          </w:p>
          <w:p>
            <w:pPr>
              <w:widowControl/>
              <w:jc w:val="left"/>
              <w:rPr>
                <w:rFonts w:ascii="宋体" w:hAnsi="宋体"/>
                <w:color w:val="FF0000"/>
                <w:szCs w:val="21"/>
              </w:rPr>
            </w:pPr>
            <w:r>
              <w:rPr>
                <w:rFonts w:hint="eastAsia" w:ascii="宋体" w:hAnsi="宋体"/>
                <w:color w:val="FF0000"/>
                <w:szCs w:val="21"/>
              </w:rPr>
              <w:t>4.物资搬迁需按照甲方要求进行拆、装和打包（详见《搬迁设备清单》）。</w:t>
            </w:r>
          </w:p>
          <w:p>
            <w:pPr>
              <w:widowControl/>
              <w:jc w:val="left"/>
              <w:rPr>
                <w:rFonts w:ascii="宋体" w:hAnsi="宋体"/>
                <w:color w:val="FF0000"/>
                <w:szCs w:val="21"/>
              </w:rPr>
            </w:pPr>
            <w:r>
              <w:rPr>
                <w:rFonts w:hint="eastAsia" w:ascii="宋体" w:hAnsi="宋体"/>
                <w:color w:val="FF0000"/>
                <w:szCs w:val="21"/>
              </w:rPr>
              <w:t>5.物资摆放需按照接收人要求进行组装和指定位置摆放。</w:t>
            </w:r>
          </w:p>
          <w:p>
            <w:pPr>
              <w:widowControl/>
              <w:jc w:val="left"/>
              <w:rPr>
                <w:rFonts w:ascii="宋体" w:hAnsi="宋体"/>
                <w:color w:val="FF0000"/>
                <w:szCs w:val="21"/>
              </w:rPr>
            </w:pPr>
            <w:r>
              <w:rPr>
                <w:rFonts w:hint="eastAsia" w:ascii="宋体" w:hAnsi="宋体"/>
                <w:color w:val="FF0000"/>
                <w:szCs w:val="21"/>
              </w:rPr>
              <w:t>6.搬迁车辆要求：中型货车（车厢长≥4.2米，高≥2.5米，宽≥2米的高栏或厢式货车）及大型货车（厢长≥9.6米，高≥3米，宽≥2.5米的高栏或厢式货车）</w:t>
            </w:r>
          </w:p>
          <w:p>
            <w:pPr>
              <w:widowControl/>
              <w:jc w:val="left"/>
              <w:rPr>
                <w:rFonts w:ascii="宋体" w:hAnsi="宋体"/>
                <w:color w:val="FF0000"/>
                <w:szCs w:val="21"/>
              </w:rPr>
            </w:pPr>
            <w:r>
              <w:rPr>
                <w:rFonts w:hint="eastAsia" w:ascii="宋体" w:hAnsi="宋体"/>
                <w:color w:val="FF0000"/>
                <w:szCs w:val="21"/>
              </w:rPr>
              <w:t>7.搬迁费用按实际搬运车次结算，车次单价包含油费、过路费、拆装、打包、人工、税费等所有费用。</w:t>
            </w:r>
          </w:p>
          <w:p>
            <w:pPr>
              <w:widowControl/>
              <w:jc w:val="left"/>
              <w:rPr>
                <w:rFonts w:ascii="宋体" w:hAnsi="宋体"/>
                <w:color w:val="FF0000"/>
                <w:szCs w:val="21"/>
              </w:rPr>
            </w:pPr>
            <w:r>
              <w:rPr>
                <w:rFonts w:hint="eastAsia" w:ascii="宋体" w:hAnsi="宋体"/>
                <w:color w:val="FF0000"/>
                <w:szCs w:val="21"/>
              </w:rPr>
              <w:t>四、搬迁时间</w:t>
            </w:r>
          </w:p>
          <w:p>
            <w:pPr>
              <w:widowControl/>
              <w:jc w:val="left"/>
              <w:rPr>
                <w:rFonts w:ascii="宋体" w:hAnsi="宋体"/>
                <w:color w:val="FF0000"/>
                <w:szCs w:val="21"/>
              </w:rPr>
            </w:pPr>
            <w:r>
              <w:rPr>
                <w:rFonts w:hint="eastAsia" w:ascii="宋体" w:hAnsi="宋体"/>
                <w:color w:val="FF0000"/>
                <w:szCs w:val="21"/>
              </w:rPr>
              <w:t>15个工作日那内完成甲方指定物资搬迁工作。</w:t>
            </w:r>
          </w:p>
          <w:p>
            <w:pPr>
              <w:widowControl/>
              <w:jc w:val="left"/>
              <w:rPr>
                <w:rFonts w:ascii="宋体" w:hAnsi="宋体"/>
                <w:color w:val="FF0000"/>
                <w:szCs w:val="21"/>
              </w:rPr>
            </w:pPr>
            <w:r>
              <w:rPr>
                <w:rFonts w:hint="eastAsia" w:ascii="宋体" w:hAnsi="宋体"/>
                <w:color w:val="FF0000"/>
                <w:szCs w:val="21"/>
              </w:rPr>
              <w:t>五、采购预算及结算方式</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FF0000"/>
                <w:szCs w:val="21"/>
              </w:rPr>
              <w:t>本项目预计使用中型货车111车/次，大型货车16车/次，采购预算上限金额共计人民币肆拾捌万贰仟叁佰元整（￥482300.00）。最终结算金额以实际搬运车次结算，甲方审核工单无误后，乙方开具有效发票交由甲方出账</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2"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合同签订时间</w:t>
            </w:r>
          </w:p>
        </w:tc>
        <w:tc>
          <w:tcPr>
            <w:tcW w:w="4158"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自成交通知书发出之日起 </w:t>
            </w:r>
            <w:r>
              <w:rPr>
                <w:rFonts w:hint="eastAsia" w:ascii="宋体" w:hAnsi="宋体"/>
                <w:color w:val="000000" w:themeColor="text1"/>
                <w:szCs w:val="21"/>
                <w:u w:val="single"/>
                <w14:textFill>
                  <w14:solidFill>
                    <w14:schemeClr w14:val="tx1"/>
                  </w14:solidFill>
                </w14:textFill>
              </w:rPr>
              <w:t>25</w:t>
            </w:r>
            <w:r>
              <w:rPr>
                <w:rFonts w:hint="eastAsia" w:ascii="宋体" w:hAnsi="宋体"/>
                <w:color w:val="000000" w:themeColor="text1"/>
                <w:szCs w:val="21"/>
                <w14:textFill>
                  <w14:solidFill>
                    <w14:schemeClr w14:val="tx1"/>
                  </w14:solidFill>
                </w14:textFill>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2"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搬迁时间和地点</w:t>
            </w:r>
          </w:p>
        </w:tc>
        <w:tc>
          <w:tcPr>
            <w:tcW w:w="4158" w:type="pct"/>
            <w:gridSpan w:val="3"/>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搬迁</w:t>
            </w:r>
            <w:r>
              <w:rPr>
                <w:rFonts w:hint="eastAsia" w:ascii="宋体" w:hAnsi="宋体" w:cs="宋体"/>
                <w:color w:val="000000" w:themeColor="text1"/>
                <w:szCs w:val="21"/>
                <w14:textFill>
                  <w14:solidFill>
                    <w14:schemeClr w14:val="tx1"/>
                  </w14:solidFill>
                </w14:textFill>
              </w:rPr>
              <w:t>时间：</w:t>
            </w:r>
            <w:r>
              <w:rPr>
                <w:rFonts w:hint="eastAsia" w:ascii="宋体" w:hAnsi="宋体" w:cs="宋体"/>
                <w:color w:val="FF0000"/>
                <w:szCs w:val="21"/>
              </w:rPr>
              <w:t>中标人需具备15个工作日内完成搬迁的能力，具体搬迁时间在签订合同后以甲方安排为准。</w:t>
            </w:r>
          </w:p>
          <w:p>
            <w:pPr>
              <w:tabs>
                <w:tab w:val="left" w:pos="180"/>
                <w:tab w:val="left" w:pos="1620"/>
              </w:tabs>
              <w:spacing w:line="380" w:lineRule="exact"/>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2、</w:t>
            </w:r>
            <w:r>
              <w:rPr>
                <w:rFonts w:ascii="宋体" w:hAnsi="宋体" w:cs="宋体"/>
                <w:color w:val="000000" w:themeColor="text1"/>
                <w:kern w:val="0"/>
                <w:szCs w:val="21"/>
                <w14:textFill>
                  <w14:solidFill>
                    <w14:schemeClr w14:val="tx1"/>
                  </w14:solidFill>
                </w14:textFill>
              </w:rPr>
              <w:t>搬迁</w:t>
            </w:r>
            <w:r>
              <w:rPr>
                <w:rFonts w:hint="eastAsia" w:ascii="宋体" w:hAnsi="宋体" w:cs="宋体"/>
                <w:color w:val="000000" w:themeColor="text1"/>
                <w:kern w:val="0"/>
                <w:szCs w:val="21"/>
                <w14:textFill>
                  <w14:solidFill>
                    <w14:schemeClr w14:val="tx1"/>
                  </w14:solidFill>
                </w14:textFill>
              </w:rPr>
              <w:t>地点：</w:t>
            </w:r>
            <w:r>
              <w:rPr>
                <w:rFonts w:ascii="宋体" w:hAnsi="宋体"/>
                <w:color w:val="000000" w:themeColor="text1"/>
                <w:szCs w:val="21"/>
                <w14:textFill>
                  <w14:solidFill>
                    <w14:schemeClr w14:val="tx1"/>
                  </w14:solidFill>
                </w14:textFill>
              </w:rPr>
              <w:t xml:space="preserve"> </w:t>
            </w:r>
            <w:r>
              <w:rPr>
                <w:rFonts w:hint="eastAsia" w:ascii="宋体" w:hAnsi="宋体"/>
                <w:color w:val="FF0000"/>
                <w:szCs w:val="21"/>
              </w:rPr>
              <w:t>从广西财经学院防城港校区（防城港市江山半岛科教园区内）搬迁至我校明秀校区（南宁市明秀西路100号）及相思湖校区（南宁市大学西路189号）指定位置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auto"/>
              <w:rPr>
                <w:rFonts w:ascii="宋体" w:hAnsi="宋体" w:cs="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验收标准：</w:t>
            </w:r>
            <w:r>
              <w:rPr>
                <w:rFonts w:hint="eastAsia" w:ascii="宋体" w:hAnsi="宋体"/>
                <w:bCs/>
                <w:color w:val="FF0000"/>
                <w:szCs w:val="21"/>
              </w:rPr>
              <w:t>装车物资体积需占车厢总容积80%或物资总质量达到车辆核定载重90%以上。</w:t>
            </w:r>
            <w:r>
              <w:rPr>
                <w:rFonts w:hint="eastAsia" w:ascii="宋体" w:hAnsi="宋体"/>
                <w:color w:val="FF0000"/>
                <w:szCs w:val="21"/>
              </w:rPr>
              <w:t>使用专用搬迁工单，一式两联，包含运输物资清单登记，运输车辆信息登记，搬迁运输经手人，物资接收人等信息以及装车后车厢载货情况相关照片。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其他要求：</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FF0000"/>
                <w:szCs w:val="21"/>
              </w:rPr>
              <w:t>拆装和运输过程需确保物质安全，如存在人为过失损坏，需按照资产原值（我校资产管理系统中登记的资产原始价值）和赔率进行赔偿。</w:t>
            </w:r>
          </w:p>
        </w:tc>
      </w:tr>
    </w:tbl>
    <w:p>
      <w:pPr>
        <w:tabs>
          <w:tab w:val="left" w:pos="180"/>
          <w:tab w:val="left" w:pos="1620"/>
        </w:tabs>
        <w:spacing w:line="360" w:lineRule="auto"/>
        <w:ind w:firstLine="422" w:firstLineChars="200"/>
        <w:rPr>
          <w:rFonts w:ascii="宋体" w:hAnsi="宋体" w:cs="宋体"/>
          <w:b/>
          <w:bCs/>
          <w:color w:val="000000" w:themeColor="text1"/>
          <w:szCs w:val="21"/>
          <w14:textFill>
            <w14:solidFill>
              <w14:schemeClr w14:val="tx1"/>
            </w14:solidFill>
          </w14:textFill>
        </w:rPr>
      </w:pPr>
    </w:p>
    <w:p>
      <w:pPr>
        <w:widowControl/>
        <w:jc w:val="left"/>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br w:type="page"/>
      </w:r>
    </w:p>
    <w:p>
      <w:pPr>
        <w:widowControl/>
        <w:jc w:val="left"/>
        <w:rPr>
          <w:rFonts w:ascii="宋体" w:hAnsi="宋体" w:cs="宋体"/>
          <w:b/>
          <w:bCs/>
          <w:color w:val="000000" w:themeColor="text1"/>
          <w:szCs w:val="21"/>
          <w14:textFill>
            <w14:solidFill>
              <w14:schemeClr w14:val="tx1"/>
            </w14:solidFill>
          </w14:textFill>
        </w:rPr>
      </w:pPr>
      <w:bookmarkStart w:id="54" w:name="_Toc103607501"/>
      <w:r>
        <w:rPr>
          <w:rFonts w:ascii="宋体" w:hAnsi="宋体" w:cs="宋体"/>
          <w:b/>
          <w:bCs/>
          <w:color w:val="000000" w:themeColor="text1"/>
          <w:szCs w:val="21"/>
          <w14:textFill>
            <w14:solidFill>
              <w14:schemeClr w14:val="tx1"/>
            </w14:solidFill>
          </w14:textFill>
        </w:rPr>
        <w:br w:type="page"/>
      </w:r>
    </w:p>
    <w:p>
      <w:pPr>
        <w:tabs>
          <w:tab w:val="left" w:pos="180"/>
          <w:tab w:val="left" w:pos="1620"/>
        </w:tabs>
        <w:spacing w:line="360" w:lineRule="auto"/>
        <w:ind w:firstLine="420" w:firstLineChars="200"/>
        <w:rPr>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第四章评审程序、评审方法和评审标准</w:t>
      </w:r>
      <w:bookmarkEnd w:id="54"/>
    </w:p>
    <w:p>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一、评审程序和评审方法</w:t>
      </w:r>
    </w:p>
    <w:p>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w:t>
      </w:r>
      <w:r>
        <w:rPr>
          <w:rFonts w:hint="eastAsia" w:ascii="黑体" w:hAnsi="黑体" w:eastAsia="黑体" w:cs="宋体"/>
          <w:b/>
          <w:bCs/>
          <w:color w:val="000000" w:themeColor="text1"/>
          <w:sz w:val="24"/>
          <w14:textFill>
            <w14:solidFill>
              <w14:schemeClr w14:val="tx1"/>
            </w14:solidFill>
          </w14:textFill>
        </w:rPr>
        <w:t>.资格审查</w:t>
      </w:r>
    </w:p>
    <w:p>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响应文件开启后，磋商小组依法对供应商的资格证明文件进行审查。</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.3供应商有下列情形之一的，资格审查不通过，其响应文件按无效响应处理：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）不具备磋商文件中规定的资格要求的；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（2）未按磋商文件规定的方式获取本磋商文件的供应商；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）响应文件的资格证明文件缺少任一项磋商文件规定的“必须提供”的文件资料或者无效的；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.4通过资格审查的合格供应商不足3家的，不得进入符合性审查环节，</w:t>
      </w:r>
      <w:r>
        <w:rPr>
          <w:rFonts w:hint="eastAsia" w:ascii="宋体" w:hAnsi="宋体"/>
          <w:color w:val="000000" w:themeColor="text1"/>
          <w:szCs w:val="21"/>
          <w14:textFill>
            <w14:solidFill>
              <w14:schemeClr w14:val="tx1"/>
            </w14:solidFill>
          </w14:textFill>
        </w:rPr>
        <w:t>采购人应当重新开展采购活动。</w:t>
      </w:r>
    </w:p>
    <w:p>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w:t>
      </w:r>
      <w:r>
        <w:rPr>
          <w:rFonts w:hint="eastAsia" w:ascii="黑体" w:hAnsi="黑体" w:eastAsia="黑体" w:cs="宋体"/>
          <w:b/>
          <w:bCs/>
          <w:color w:val="000000" w:themeColor="text1"/>
          <w:sz w:val="24"/>
          <w14:textFill>
            <w14:solidFill>
              <w14:schemeClr w14:val="tx1"/>
            </w14:solidFill>
          </w14:textFill>
        </w:rPr>
        <w:t>.符合性审查</w:t>
      </w:r>
    </w:p>
    <w:p>
      <w:pPr>
        <w:spacing w:line="360" w:lineRule="auto"/>
        <w:ind w:firstLine="420" w:firstLineChars="200"/>
        <w:rPr>
          <w:rFonts w:ascii="宋体" w:hAnsi="宋体" w:cs="宋体"/>
          <w:color w:val="000000" w:themeColor="text1"/>
          <w:szCs w:val="21"/>
          <w14:textFill>
            <w14:solidFill>
              <w14:schemeClr w14:val="tx1"/>
            </w14:solidFill>
          </w14:textFill>
        </w:rPr>
      </w:pPr>
      <w:bookmarkStart w:id="55" w:name="_Hlk42528882"/>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由磋商小组对</w:t>
      </w:r>
      <w:r>
        <w:rPr>
          <w:rFonts w:hint="eastAsia" w:ascii="宋体" w:hAnsi="宋体"/>
          <w:color w:val="000000" w:themeColor="text1"/>
          <w:szCs w:val="21"/>
          <w14:textFill>
            <w14:solidFill>
              <w14:schemeClr w14:val="tx1"/>
            </w14:solidFill>
          </w14:textFill>
        </w:rPr>
        <w:t>通过资格审查的合格供应商</w:t>
      </w:r>
      <w:r>
        <w:rPr>
          <w:rFonts w:hint="eastAsia" w:ascii="宋体" w:hAnsi="宋体" w:cs="宋体"/>
          <w:color w:val="000000" w:themeColor="text1"/>
          <w:szCs w:val="21"/>
          <w14:textFill>
            <w14:solidFill>
              <w14:schemeClr w14:val="tx1"/>
            </w14:solidFill>
          </w14:textFill>
        </w:rPr>
        <w:t>的响应文件的竞标报价、商务、技术等实质性要求进行符合性审查，以确定其是否满足磋商文件的实质性要求。</w:t>
      </w:r>
    </w:p>
    <w:bookmarkEnd w:id="55"/>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000000" w:themeColor="text1"/>
          <w:spacing w:val="-6"/>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磋商小组要求供应商澄清、说明或者更正响应文件应当以澄清函形式作出。供应商的澄清、说明或者更正应当以回函形式按照磋商小组的要求作出明确的澄清、说明或者更正，未按磋商小组的要求作出明确澄清、说明或者更正的供应商的响应文件将按照有利于采购人的原则由磋商小组进行判定。供应商的澄清、说明或者更正必须授权代表签字</w:t>
      </w:r>
      <w:r>
        <w:rPr>
          <w:rFonts w:hint="eastAsia" w:ascii="宋体" w:hAnsi="宋体" w:cs="宋体"/>
          <w:color w:val="000000" w:themeColor="text1"/>
          <w:spacing w:val="-6"/>
          <w:szCs w:val="21"/>
          <w14:textFill>
            <w14:solidFill>
              <w14:schemeClr w14:val="tx1"/>
            </w14:solidFill>
          </w14:textFill>
        </w:rPr>
        <w:t>。</w:t>
      </w:r>
    </w:p>
    <w:p>
      <w:pPr>
        <w:spacing w:line="360" w:lineRule="auto"/>
        <w:ind w:firstLine="396"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pacing w:val="-6"/>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 xml:space="preserve">首次响应文件报价出现前后不一致的，按照下列规定修正： </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（1）响应文件中报价表内容与响应文件中相应内容不一致的，以报价表为准；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（2）大写金额和小写金额不一致的，以大写金额为准；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（3）单价金额小数点或者百分比有明显错位的，以报价表的总价为准，并修改单价；</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（4）总价金额与按单价汇总金额不一致的，以单价金额计算结果为准。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商务技术报价评审</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在评审时，如发现下列情形之一的，将被视为响应文件无效处理：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（1）商务技术评审</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1）响应文件未按磋商文件要求签署、盖章；</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2）委托代理人未能出具有效身份证或者出具的身份证与授权委托书中的信息不符的； </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）商务要求负偏离的；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）响应文件的实质性内容未使用中文表述、使用计量单位不符合磋商文件要求；</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）响应文件中的文件资料因填写不齐全或者内容虚假或者出现其他情形而导致被磋商小组认定无效；</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）响应文件含有采购人不能接受的附加条件；</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）未响应磋商文件实质性要求；</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）法律、法规和磋商文件规定的其他无效情形。</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）报价评审</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1）响应文件未提供报价文件中规定的“竞标报价表”；</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2）未采用人民币报价或者未按照磋商文件标明的币种报价；</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4）竞标报价（包含首次报价、最后报价）超过所竞标分标规定的采购预算金额或者最高限价的（如本项目公布了最高限价）；</w:t>
      </w:r>
      <w:bookmarkStart w:id="56" w:name="_Hlk42596405"/>
      <w:r>
        <w:rPr>
          <w:rFonts w:hint="eastAsia" w:ascii="宋体" w:hAnsi="宋体" w:cs="宋体"/>
          <w:color w:val="000000" w:themeColor="text1"/>
          <w:szCs w:val="21"/>
          <w14:textFill>
            <w14:solidFill>
              <w14:schemeClr w14:val="tx1"/>
            </w14:solidFill>
          </w14:textFill>
        </w:rPr>
        <w:t>竞标报价（包含首次报价、最后报价）</w:t>
      </w:r>
      <w:bookmarkEnd w:id="56"/>
      <w:bookmarkStart w:id="57" w:name="_Hlk42596276"/>
      <w:r>
        <w:rPr>
          <w:rFonts w:hint="eastAsia" w:ascii="宋体" w:hAnsi="宋体" w:cs="宋体"/>
          <w:color w:val="000000" w:themeColor="text1"/>
          <w:szCs w:val="21"/>
          <w14:textFill>
            <w14:solidFill>
              <w14:schemeClr w14:val="tx1"/>
            </w14:solidFill>
          </w14:textFill>
        </w:rPr>
        <w:t>超过磋商文件分项采购预算金额或者最高限价的</w:t>
      </w:r>
      <w:bookmarkEnd w:id="57"/>
      <w:r>
        <w:rPr>
          <w:rFonts w:hint="eastAsia" w:ascii="宋体" w:hAnsi="宋体" w:cs="宋体"/>
          <w:color w:val="000000" w:themeColor="text1"/>
          <w:szCs w:val="21"/>
          <w14:textFill>
            <w14:solidFill>
              <w14:schemeClr w14:val="tx1"/>
            </w14:solidFill>
          </w14:textFill>
        </w:rPr>
        <w:t>（如本项目公布了最高限价）；</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响应文件响应的标的数量及单位与竞争性磋商采购文件要求实质性不一致的。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2.6</w:t>
      </w:r>
      <w:r>
        <w:rPr>
          <w:rFonts w:hint="eastAsia" w:ascii="宋体" w:hAnsi="宋体" w:cs="宋体"/>
          <w:color w:val="000000" w:themeColor="text1"/>
          <w:szCs w:val="21"/>
          <w14:textFill>
            <w14:solidFill>
              <w14:schemeClr w14:val="tx1"/>
            </w14:solidFill>
          </w14:textFill>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2.7</w:t>
      </w:r>
      <w:r>
        <w:rPr>
          <w:rFonts w:hint="eastAsia" w:ascii="宋体" w:hAnsi="宋体"/>
          <w:color w:val="000000" w:themeColor="text1"/>
          <w:szCs w:val="21"/>
          <w14:textFill>
            <w14:solidFill>
              <w14:schemeClr w14:val="tx1"/>
            </w14:solidFill>
          </w14:textFill>
        </w:rPr>
        <w:t>通过符合性审查的合格供应商不足3家的，不得进入磋商环节，采购人应当重新开展采购活动。</w:t>
      </w:r>
    </w:p>
    <w:p>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3</w:t>
      </w:r>
      <w:r>
        <w:rPr>
          <w:rFonts w:hint="eastAsia" w:ascii="黑体" w:hAnsi="黑体" w:eastAsia="黑体" w:cs="宋体"/>
          <w:b/>
          <w:bCs/>
          <w:color w:val="000000" w:themeColor="text1"/>
          <w:sz w:val="24"/>
          <w14:textFill>
            <w14:solidFill>
              <w14:schemeClr w14:val="tx1"/>
            </w14:solidFill>
          </w14:textFill>
        </w:rPr>
        <w:t>.磋商程序</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磋商小组</w:t>
      </w:r>
      <w:r>
        <w:rPr>
          <w:rFonts w:hint="eastAsia" w:ascii="宋体" w:hAnsi="宋体" w:cs="宋体"/>
          <w:color w:val="000000" w:themeColor="text1"/>
          <w:szCs w:val="21"/>
          <w14:textFill>
            <w14:solidFill>
              <w14:schemeClr w14:val="tx1"/>
            </w14:solidFill>
          </w14:textFill>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w:t>
      </w:r>
      <w:r>
        <w:rPr>
          <w:rFonts w:hint="eastAsia" w:ascii="宋体" w:hAnsi="宋体" w:cs="宋体"/>
          <w:color w:val="000000" w:themeColor="text1"/>
          <w:szCs w:val="21"/>
          <w14:textFill>
            <w14:solidFill>
              <w14:schemeClr w14:val="tx1"/>
            </w14:solidFill>
          </w14:textFill>
        </w:rPr>
        <w:t>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3.4</w:t>
      </w:r>
      <w:r>
        <w:rPr>
          <w:rFonts w:hint="eastAsia" w:ascii="宋体" w:hAnsi="宋体" w:cs="宋体"/>
          <w:color w:val="000000" w:themeColor="text1"/>
          <w:szCs w:val="21"/>
          <w14:textFill>
            <w14:solidFill>
              <w14:schemeClr w14:val="tx1"/>
            </w14:solidFill>
          </w14:textFill>
        </w:rPr>
        <w:t>供应商必须按照磋商文件的变动情况和磋商小组的要求以回函的形式重新提交响应文件，并加盖电子签章。参加磋商的供应商未在规定时间内重新提交响应文件的，视同退出磋商，其响应文件按无效处理。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3.5</w:t>
      </w:r>
      <w:r>
        <w:rPr>
          <w:rFonts w:hint="eastAsia" w:ascii="宋体" w:hAnsi="宋体" w:cs="宋体"/>
          <w:color w:val="000000" w:themeColor="text1"/>
          <w:szCs w:val="21"/>
          <w14:textFill>
            <w14:solidFill>
              <w14:schemeClr w14:val="tx1"/>
            </w14:solidFill>
          </w14:textFill>
        </w:rPr>
        <w:t>磋商中，</w:t>
      </w:r>
      <w:r>
        <w:rPr>
          <w:rFonts w:hint="eastAsia" w:ascii="宋体" w:hAnsi="宋体" w:cs="宋体"/>
          <w:color w:val="000000" w:themeColor="text1"/>
          <w:spacing w:val="-6"/>
          <w:szCs w:val="21"/>
          <w14:textFill>
            <w14:solidFill>
              <w14:schemeClr w14:val="tx1"/>
            </w14:solidFill>
          </w14:textFill>
        </w:rPr>
        <w:t>磋商的任何一方不得透露与磋商有关的其他供应商的技术资料、价格和其他信息。</w:t>
      </w:r>
    </w:p>
    <w:p>
      <w:pPr>
        <w:widowControl/>
        <w:tabs>
          <w:tab w:val="left" w:pos="540"/>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3.6</w:t>
      </w:r>
      <w:r>
        <w:rPr>
          <w:rFonts w:hint="eastAsia" w:ascii="宋体" w:hAnsi="宋体" w:cs="宋体"/>
          <w:color w:val="000000" w:themeColor="text1"/>
          <w:szCs w:val="21"/>
          <w14:textFill>
            <w14:solidFill>
              <w14:schemeClr w14:val="tx1"/>
            </w14:solidFill>
          </w14:textFill>
        </w:rPr>
        <w:t>磋商小组对磋商过程和重要磋商内容进行记录。</w:t>
      </w:r>
    </w:p>
    <w:p>
      <w:pPr>
        <w:widowControl/>
        <w:tabs>
          <w:tab w:val="left" w:pos="540"/>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对磋商过程提交的响应文件进行有效性、完整性和响应程度审查，通过审查的合格供应商不足3家的，采购人或者采购代理机构应当重新开展采购活动。</w:t>
      </w:r>
    </w:p>
    <w:p>
      <w:pPr>
        <w:spacing w:line="360" w:lineRule="auto"/>
        <w:ind w:firstLine="482" w:firstLineChars="200"/>
        <w:rPr>
          <w:rFonts w:ascii="宋体" w:hAnsi="宋体" w:cs="宋体"/>
          <w:color w:val="000000" w:themeColor="text1"/>
          <w:szCs w:val="21"/>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4.</w:t>
      </w:r>
      <w:r>
        <w:rPr>
          <w:rFonts w:hint="eastAsia" w:ascii="黑体" w:hAnsi="黑体" w:eastAsia="黑体" w:cs="宋体"/>
          <w:b/>
          <w:bCs/>
          <w:color w:val="000000" w:themeColor="text1"/>
          <w:sz w:val="24"/>
          <w14:textFill>
            <w14:solidFill>
              <w14:schemeClr w14:val="tx1"/>
            </w14:solidFill>
          </w14:textFill>
        </w:rPr>
        <w:t xml:space="preserve"> 最后报价</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磋商文件能够详细列明采购标的的技术、服务要求的，磋商结束后，磋商小组应当要求所有继续参加磋商的供应商在规定时间内提交最后报价，提交最后报价的供应商不得少于3家，否则必须重新采购。</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已经提交响应文件的供应商，在提交最后报价之前，可以根据磋商情况退出磋商，退出磋商的供应商的响应文件按无效响应处理。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供应商未在规定时间内提交最后报价的，视同退出磋商，其响应文件按无效处理。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4.4</w:t>
      </w:r>
      <w:r>
        <w:rPr>
          <w:rFonts w:hint="eastAsia" w:ascii="宋体" w:hAnsi="宋体" w:cs="宋体"/>
          <w:color w:val="000000" w:themeColor="text1"/>
          <w:szCs w:val="21"/>
          <w14:textFill>
            <w14:solidFill>
              <w14:schemeClr w14:val="tx1"/>
            </w14:solidFill>
          </w14:textFill>
        </w:rPr>
        <w:t>最后报价统一开启后，磋商小组对最后报价进行有效性、完整性和响应程度的审查。</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4.5</w:t>
      </w:r>
      <w:r>
        <w:rPr>
          <w:rFonts w:hint="eastAsia" w:ascii="宋体" w:hAnsi="宋体" w:cs="宋体"/>
          <w:color w:val="000000" w:themeColor="text1"/>
          <w:szCs w:val="21"/>
          <w14:textFill>
            <w14:solidFill>
              <w14:schemeClr w14:val="tx1"/>
            </w14:solidFill>
          </w14:textFill>
        </w:rPr>
        <w:t>最后报价出现前后不一致的，按照本章第</w:t>
      </w:r>
      <w:r>
        <w:rPr>
          <w:rFonts w:ascii="宋体" w:hAnsi="宋体" w:cs="宋体"/>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 xml:space="preserve">条的规定修正。 </w:t>
      </w:r>
    </w:p>
    <w:p>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5</w:t>
      </w:r>
      <w:r>
        <w:rPr>
          <w:rFonts w:ascii="黑体" w:hAnsi="黑体" w:eastAsia="黑体" w:cs="宋体"/>
          <w:b/>
          <w:bCs/>
          <w:color w:val="000000" w:themeColor="text1"/>
          <w:sz w:val="24"/>
          <w14:textFill>
            <w14:solidFill>
              <w14:schemeClr w14:val="tx1"/>
            </w14:solidFill>
          </w14:textFill>
        </w:rPr>
        <w:t>.</w:t>
      </w:r>
      <w:r>
        <w:rPr>
          <w:rFonts w:hint="eastAsia" w:ascii="黑体" w:hAnsi="黑体" w:eastAsia="黑体" w:cs="宋体"/>
          <w:b/>
          <w:bCs/>
          <w:color w:val="000000" w:themeColor="text1"/>
          <w:sz w:val="24"/>
          <w14:textFill>
            <w14:solidFill>
              <w14:schemeClr w14:val="tx1"/>
            </w14:solidFill>
          </w14:textFill>
        </w:rPr>
        <w:t>比较与评价</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w:t>
      </w:r>
      <w:r>
        <w:rPr>
          <w:rFonts w:hint="eastAsia" w:ascii="宋体" w:hAnsi="宋体" w:cs="宋体"/>
          <w:color w:val="000000" w:themeColor="text1"/>
          <w:szCs w:val="21"/>
          <w14:textFill>
            <w14:solidFill>
              <w14:schemeClr w14:val="tx1"/>
            </w14:solidFill>
          </w14:textFill>
        </w:rPr>
        <w:t>评审方法：综合评分法。</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5.2</w:t>
      </w:r>
      <w:r>
        <w:rPr>
          <w:rFonts w:hint="eastAsia" w:ascii="宋体" w:hAnsi="宋体" w:cs="宋体"/>
          <w:color w:val="000000" w:themeColor="text1"/>
          <w:szCs w:val="21"/>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5.3</w:t>
      </w:r>
      <w:r>
        <w:rPr>
          <w:rFonts w:hint="eastAsia" w:ascii="宋体" w:hAnsi="宋体" w:cs="宋体"/>
          <w:color w:val="000000" w:themeColor="text1"/>
          <w:szCs w:val="21"/>
          <w14:textFill>
            <w14:solidFill>
              <w14:schemeClr w14:val="tx1"/>
            </w14:solidFill>
          </w14:textFill>
        </w:rPr>
        <w:t>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（2）各供应商的得分为磋商小组所有成员的有效评分的算术平均数。</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5.4</w:t>
      </w:r>
      <w:r>
        <w:rPr>
          <w:rFonts w:hint="eastAsia" w:ascii="宋体" w:hAnsi="宋体" w:cs="宋体"/>
          <w:color w:val="000000" w:themeColor="text1"/>
          <w:szCs w:val="21"/>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5.5</w:t>
      </w:r>
      <w:r>
        <w:rPr>
          <w:rFonts w:hint="eastAsia" w:ascii="宋体" w:hAnsi="宋体" w:cs="宋体"/>
          <w:color w:val="000000" w:themeColor="text1"/>
          <w:szCs w:val="21"/>
          <w14:textFill>
            <w14:solidFill>
              <w14:schemeClr w14:val="tx1"/>
            </w14:solidFill>
          </w14:textFill>
        </w:rPr>
        <w:t>由磋商小组根据综合评分情况，按照评审得分由高到低顺序推荐3名以上成交候选供应商，并编写评</w:t>
      </w:r>
      <w:r>
        <w:rPr>
          <w:rFonts w:hint="eastAsia" w:ascii="宋体" w:hAnsi="宋体"/>
          <w:color w:val="000000" w:themeColor="text1"/>
          <w:kern w:val="0"/>
          <w:szCs w:val="21"/>
          <w14:textFill>
            <w14:solidFill>
              <w14:schemeClr w14:val="tx1"/>
            </w14:solidFill>
          </w14:textFill>
        </w:rPr>
        <w:t>审报告。符合本章第</w:t>
      </w:r>
      <w:r>
        <w:rPr>
          <w:rFonts w:ascii="宋体" w:hAnsi="宋体"/>
          <w:color w:val="000000" w:themeColor="text1"/>
          <w:kern w:val="0"/>
          <w:szCs w:val="21"/>
          <w14:textFill>
            <w14:solidFill>
              <w14:schemeClr w14:val="tx1"/>
            </w14:solidFill>
          </w14:textFill>
        </w:rPr>
        <w:t>4.3</w:t>
      </w:r>
      <w:r>
        <w:rPr>
          <w:rFonts w:hint="eastAsia" w:ascii="宋体" w:hAnsi="宋体"/>
          <w:color w:val="000000" w:themeColor="text1"/>
          <w:kern w:val="0"/>
          <w:szCs w:val="21"/>
          <w14:textFill>
            <w14:solidFill>
              <w14:schemeClr w14:val="tx1"/>
            </w14:solidFill>
          </w14:textFill>
        </w:rPr>
        <w:t>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olor w:val="000000" w:themeColor="text1"/>
          <w:kern w:val="0"/>
          <w:szCs w:val="21"/>
          <w14:textFill>
            <w14:solidFill>
              <w14:schemeClr w14:val="tx1"/>
            </w14:solidFill>
          </w14:textFill>
        </w:rPr>
        <w:t>5.6</w:t>
      </w:r>
      <w:r>
        <w:rPr>
          <w:rFonts w:hint="eastAsia" w:ascii="宋体" w:hAnsi="宋体"/>
          <w:color w:val="000000" w:themeColor="text1"/>
          <w:kern w:val="0"/>
          <w:szCs w:val="21"/>
          <w14:textFill>
            <w14:solidFill>
              <w14:schemeClr w14:val="tx1"/>
            </w14:solidFill>
          </w14:textFill>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二、评审标准</w:t>
      </w:r>
    </w:p>
    <w:p>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评审依据：磋商小组将以磋商响应文件为评审依据，对供应商的报价、技术、商务等方面内容按百分制打分。（计分方法按四舍五入取至百分位）</w:t>
      </w:r>
    </w:p>
    <w:tbl>
      <w:tblPr>
        <w:tblStyle w:val="22"/>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pPr>
              <w:widowControl/>
              <w:spacing w:line="360" w:lineRule="auto"/>
              <w:jc w:val="center"/>
              <w:rPr>
                <w:rFonts w:ascii="宋体" w:hAnsi="宋体" w:cs="Tahoma"/>
                <w:b/>
                <w:bCs/>
                <w:color w:val="000000" w:themeColor="text1"/>
                <w:kern w:val="0"/>
                <w:szCs w:val="21"/>
                <w14:textFill>
                  <w14:solidFill>
                    <w14:schemeClr w14:val="tx1"/>
                  </w14:solidFill>
                </w14:textFill>
              </w:rPr>
            </w:pPr>
            <w:r>
              <w:rPr>
                <w:rFonts w:hint="eastAsia" w:ascii="宋体" w:hAnsi="宋体" w:cs="Tahoma"/>
                <w:b/>
                <w:bCs/>
                <w:color w:val="000000" w:themeColor="text1"/>
                <w:kern w:val="0"/>
                <w:szCs w:val="21"/>
                <w14:textFill>
                  <w14:solidFill>
                    <w14:schemeClr w14:val="tx1"/>
                  </w14:solidFill>
                </w14:textFill>
              </w:rPr>
              <w:t>序号</w:t>
            </w:r>
          </w:p>
        </w:tc>
        <w:tc>
          <w:tcPr>
            <w:tcW w:w="1418" w:type="dxa"/>
            <w:vAlign w:val="center"/>
          </w:tcPr>
          <w:p>
            <w:pPr>
              <w:widowControl/>
              <w:spacing w:line="360" w:lineRule="auto"/>
              <w:jc w:val="center"/>
              <w:rPr>
                <w:rFonts w:ascii="宋体" w:hAnsi="宋体" w:cs="Tahoma"/>
                <w:b/>
                <w:bCs/>
                <w:color w:val="000000" w:themeColor="text1"/>
                <w:kern w:val="0"/>
                <w:szCs w:val="21"/>
                <w14:textFill>
                  <w14:solidFill>
                    <w14:schemeClr w14:val="tx1"/>
                  </w14:solidFill>
                </w14:textFill>
              </w:rPr>
            </w:pPr>
            <w:r>
              <w:rPr>
                <w:rFonts w:hint="eastAsia" w:ascii="宋体" w:hAnsi="宋体" w:cs="Tahoma"/>
                <w:b/>
                <w:bCs/>
                <w:color w:val="000000" w:themeColor="text1"/>
                <w:kern w:val="0"/>
                <w:szCs w:val="21"/>
                <w14:textFill>
                  <w14:solidFill>
                    <w14:schemeClr w14:val="tx1"/>
                  </w14:solidFill>
                </w14:textFill>
              </w:rPr>
              <w:t>评审因素</w:t>
            </w:r>
          </w:p>
        </w:tc>
        <w:tc>
          <w:tcPr>
            <w:tcW w:w="6288" w:type="dxa"/>
            <w:vAlign w:val="center"/>
          </w:tcPr>
          <w:p>
            <w:pPr>
              <w:widowControl/>
              <w:spacing w:line="360" w:lineRule="auto"/>
              <w:jc w:val="center"/>
              <w:rPr>
                <w:rFonts w:ascii="宋体" w:hAnsi="宋体" w:cs="Tahoma"/>
                <w:b/>
                <w:bCs/>
                <w:color w:val="000000" w:themeColor="text1"/>
                <w:kern w:val="0"/>
                <w:szCs w:val="21"/>
                <w14:textFill>
                  <w14:solidFill>
                    <w14:schemeClr w14:val="tx1"/>
                  </w14:solidFill>
                </w14:textFill>
              </w:rPr>
            </w:pPr>
            <w:r>
              <w:rPr>
                <w:rFonts w:hint="eastAsia" w:ascii="宋体" w:hAnsi="宋体" w:cs="Tahoma"/>
                <w:b/>
                <w:bCs/>
                <w:color w:val="000000" w:themeColor="text1"/>
                <w:kern w:val="0"/>
                <w:szCs w:val="21"/>
                <w14:textFill>
                  <w14:solidFill>
                    <w14:schemeClr w14:val="tx1"/>
                  </w14:solidFill>
                </w14:textFill>
              </w:rPr>
              <w:t>评审因素具体内容</w:t>
            </w:r>
          </w:p>
        </w:tc>
        <w:tc>
          <w:tcPr>
            <w:tcW w:w="851" w:type="dxa"/>
            <w:vAlign w:val="center"/>
          </w:tcPr>
          <w:p>
            <w:pPr>
              <w:widowControl/>
              <w:spacing w:line="360" w:lineRule="auto"/>
              <w:jc w:val="center"/>
              <w:rPr>
                <w:rFonts w:ascii="宋体" w:hAnsi="宋体" w:cs="Tahoma"/>
                <w:b/>
                <w:bCs/>
                <w:color w:val="000000" w:themeColor="text1"/>
                <w:kern w:val="0"/>
                <w:szCs w:val="21"/>
                <w14:textFill>
                  <w14:solidFill>
                    <w14:schemeClr w14:val="tx1"/>
                  </w14:solidFill>
                </w14:textFill>
              </w:rPr>
            </w:pPr>
            <w:r>
              <w:rPr>
                <w:rFonts w:hint="eastAsia" w:ascii="宋体" w:hAnsi="宋体" w:cs="Tahoma"/>
                <w:b/>
                <w:bCs/>
                <w:color w:val="000000" w:themeColor="text1"/>
                <w:kern w:val="0"/>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pPr>
              <w:widowControl/>
              <w:spacing w:line="360" w:lineRule="auto"/>
              <w:jc w:val="center"/>
              <w:rPr>
                <w:rFonts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1</w:t>
            </w:r>
          </w:p>
        </w:tc>
        <w:tc>
          <w:tcPr>
            <w:tcW w:w="1418" w:type="dxa"/>
            <w:vAlign w:val="center"/>
          </w:tcPr>
          <w:p>
            <w:pPr>
              <w:widowControl/>
              <w:spacing w:line="360" w:lineRule="auto"/>
              <w:jc w:val="center"/>
              <w:rPr>
                <w:rFonts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价格分</w:t>
            </w:r>
          </w:p>
        </w:tc>
        <w:tc>
          <w:tcPr>
            <w:tcW w:w="6288" w:type="dxa"/>
          </w:tcPr>
          <w:p>
            <w:pPr>
              <w:pStyle w:val="13"/>
              <w:spacing w:line="360" w:lineRule="auto"/>
              <w:ind w:firstLine="420" w:firstLineChars="200"/>
              <w:rPr>
                <w:rFonts w:hAnsi="宋体" w:cs="Courier New"/>
                <w:bCs/>
                <w:color w:val="000000" w:themeColor="text1"/>
                <w:kern w:val="2"/>
                <w:sz w:val="21"/>
                <w14:textFill>
                  <w14:solidFill>
                    <w14:schemeClr w14:val="tx1"/>
                  </w14:solidFill>
                </w14:textFill>
              </w:rPr>
            </w:pPr>
            <w:r>
              <w:rPr>
                <w:rFonts w:hint="eastAsia" w:hAnsi="宋体" w:cs="Courier New"/>
                <w:bCs/>
                <w:color w:val="000000" w:themeColor="text1"/>
                <w:kern w:val="2"/>
                <w:sz w:val="21"/>
                <w14:textFill>
                  <w14:solidFill>
                    <w14:schemeClr w14:val="tx1"/>
                  </w14:solidFill>
                </w14:textFill>
              </w:rPr>
              <w:t>（1）以进入比较与评价环节的最低的评审价为基准价，基准价得分为20分。</w:t>
            </w:r>
          </w:p>
          <w:p>
            <w:pPr>
              <w:pStyle w:val="13"/>
              <w:spacing w:line="360" w:lineRule="auto"/>
              <w:ind w:firstLine="420" w:firstLineChars="200"/>
              <w:rPr>
                <w:rFonts w:hAnsi="宋体" w:cs="Courier New"/>
                <w:bCs/>
                <w:color w:val="000000" w:themeColor="text1"/>
                <w:kern w:val="2"/>
                <w:sz w:val="21"/>
                <w14:textFill>
                  <w14:solidFill>
                    <w14:schemeClr w14:val="tx1"/>
                  </w14:solidFill>
                </w14:textFill>
              </w:rPr>
            </w:pPr>
            <w:r>
              <w:rPr>
                <w:rFonts w:hint="eastAsia" w:hAnsi="宋体" w:cs="Courier New"/>
                <w:bCs/>
                <w:color w:val="000000" w:themeColor="text1"/>
                <w:kern w:val="2"/>
                <w:sz w:val="21"/>
                <w14:textFill>
                  <w14:solidFill>
                    <w14:schemeClr w14:val="tx1"/>
                  </w14:solidFill>
                </w14:textFill>
              </w:rPr>
              <w:t>（2）价格分计算公式：</w:t>
            </w:r>
          </w:p>
          <w:p>
            <w:pPr>
              <w:pStyle w:val="13"/>
              <w:spacing w:line="360" w:lineRule="auto"/>
              <w:ind w:firstLine="420" w:firstLineChars="200"/>
              <w:rPr>
                <w:rFonts w:hAnsi="宋体" w:cs="Courier New"/>
                <w:bCs/>
                <w:color w:val="000000" w:themeColor="text1"/>
                <w:kern w:val="2"/>
                <w:sz w:val="21"/>
                <w14:textFill>
                  <w14:solidFill>
                    <w14:schemeClr w14:val="tx1"/>
                  </w14:solidFill>
                </w14:textFill>
              </w:rPr>
            </w:pPr>
            <w:r>
              <w:rPr>
                <w:rFonts w:hint="eastAsia" w:hAnsi="宋体" w:cs="Courier New"/>
                <w:bCs/>
                <w:color w:val="000000" w:themeColor="text1"/>
                <w:kern w:val="2"/>
                <w:sz w:val="21"/>
                <w14:textFill>
                  <w14:solidFill>
                    <w14:schemeClr w14:val="tx1"/>
                  </w14:solidFill>
                </w14:textFill>
              </w:rPr>
              <w:t>报价得分=（基准价/最后报价）×  20  分</w:t>
            </w:r>
          </w:p>
        </w:tc>
        <w:tc>
          <w:tcPr>
            <w:tcW w:w="851" w:type="dxa"/>
            <w:vAlign w:val="center"/>
          </w:tcPr>
          <w:p>
            <w:pPr>
              <w:widowControl/>
              <w:spacing w:line="360" w:lineRule="auto"/>
              <w:jc w:val="center"/>
              <w:rPr>
                <w:rFonts w:ascii="宋体" w:hAnsi="宋体" w:cs="Tahoma"/>
                <w:color w:val="000000" w:themeColor="text1"/>
                <w:kern w:val="0"/>
                <w:szCs w:val="21"/>
                <w14:textFill>
                  <w14:solidFill>
                    <w14:schemeClr w14:val="tx1"/>
                  </w14:solidFill>
                </w14:textFill>
              </w:rPr>
            </w:pPr>
            <w:r>
              <w:rPr>
                <w:rFonts w:ascii="宋体" w:hAnsi="宋体" w:cs="Tahoma"/>
                <w:color w:val="000000" w:themeColor="text1"/>
                <w:kern w:val="0"/>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pPr>
              <w:widowControl/>
              <w:spacing w:line="360" w:lineRule="auto"/>
              <w:jc w:val="center"/>
              <w:rPr>
                <w:rFonts w:ascii="宋体" w:hAnsi="宋体" w:cs="Tahoma"/>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2</w:t>
            </w:r>
          </w:p>
        </w:tc>
        <w:tc>
          <w:tcPr>
            <w:tcW w:w="1418" w:type="dxa"/>
            <w:vAlign w:val="center"/>
          </w:tcPr>
          <w:p>
            <w:pPr>
              <w:widowControl/>
              <w:spacing w:line="360" w:lineRule="auto"/>
              <w:jc w:val="center"/>
              <w:rPr>
                <w:rFonts w:ascii="宋体" w:hAnsi="宋体" w:cs="Tahoma"/>
                <w:color w:val="000000" w:themeColor="text1"/>
                <w:kern w:val="0"/>
                <w:szCs w:val="21"/>
                <w14:textFill>
                  <w14:solidFill>
                    <w14:schemeClr w14:val="tx1"/>
                  </w14:solidFill>
                </w14:textFill>
              </w:rPr>
            </w:pPr>
            <w:r>
              <w:rPr>
                <w:rFonts w:ascii="宋体" w:hAnsi="宋体"/>
                <w:bCs/>
                <w:color w:val="000000" w:themeColor="text1"/>
                <w:kern w:val="0"/>
                <w:szCs w:val="21"/>
                <w14:textFill>
                  <w14:solidFill>
                    <w14:schemeClr w14:val="tx1"/>
                  </w14:solidFill>
                </w14:textFill>
              </w:rPr>
              <w:t>服务方案分</w:t>
            </w:r>
          </w:p>
        </w:tc>
        <w:tc>
          <w:tcPr>
            <w:tcW w:w="7139" w:type="dxa"/>
            <w:gridSpan w:val="2"/>
          </w:tcPr>
          <w:p>
            <w:pPr>
              <w:widowControl/>
              <w:spacing w:line="360" w:lineRule="auto"/>
              <w:jc w:val="center"/>
              <w:rPr>
                <w:rFonts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vAlign w:val="center"/>
          </w:tcPr>
          <w:p>
            <w:pPr>
              <w:adjustRightInd w:val="0"/>
              <w:spacing w:line="360" w:lineRule="auto"/>
              <w:ind w:left="-105" w:leftChars="-50" w:right="-105" w:rightChars="-50"/>
              <w:jc w:val="center"/>
              <w:textAlignment w:val="baseline"/>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2</w:t>
            </w:r>
            <w:r>
              <w:rPr>
                <w:rFonts w:ascii="宋体" w:hAnsi="宋体"/>
                <w:bCs/>
                <w:color w:val="000000" w:themeColor="text1"/>
                <w:kern w:val="0"/>
                <w:szCs w:val="21"/>
                <w14:textFill>
                  <w14:solidFill>
                    <w14:schemeClr w14:val="tx1"/>
                  </w14:solidFill>
                </w14:textFill>
              </w:rPr>
              <w:t>.1</w:t>
            </w:r>
          </w:p>
        </w:tc>
        <w:tc>
          <w:tcPr>
            <w:tcW w:w="1418" w:type="dxa"/>
            <w:vAlign w:val="center"/>
          </w:tcPr>
          <w:p>
            <w:pPr>
              <w:adjustRightInd w:val="0"/>
              <w:spacing w:line="360" w:lineRule="auto"/>
              <w:jc w:val="center"/>
              <w:textAlignment w:val="baseline"/>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搬运服务方案分</w:t>
            </w:r>
          </w:p>
        </w:tc>
        <w:tc>
          <w:tcPr>
            <w:tcW w:w="6288" w:type="dxa"/>
            <w:vAlign w:val="center"/>
          </w:tcPr>
          <w:p>
            <w:pPr>
              <w:spacing w:line="360" w:lineRule="exact"/>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一档0～10分：响应速度一般（24小时内），物资保护方案简单，车辆基本能满足磋商文件的要求；</w:t>
            </w:r>
          </w:p>
          <w:p>
            <w:pPr>
              <w:spacing w:line="360" w:lineRule="exact"/>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二档10.1～20分：响应速度合理（12小时内），，物资保护方案较详细，车辆能完全满足磋商文件的要求，且能按时送达相关物资到指定地点；</w:t>
            </w:r>
          </w:p>
          <w:p>
            <w:pPr>
              <w:spacing w:line="360" w:lineRule="exact"/>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三档20.1～30分：响应速度迅速（6小时内），方案详细合理，具有针对性，能根据不同种类物资分类包装，车辆针对运输物品具有针对性方案，能完全满足磋商文件要求，且能按时送达相关物资到指定地点。</w:t>
            </w:r>
          </w:p>
        </w:tc>
        <w:tc>
          <w:tcPr>
            <w:tcW w:w="851" w:type="dxa"/>
            <w:vAlign w:val="center"/>
          </w:tcPr>
          <w:p>
            <w:pPr>
              <w:spacing w:line="360" w:lineRule="auto"/>
              <w:jc w:val="center"/>
              <w:rPr>
                <w:rFonts w:ascii="宋体" w:hAnsi="宋体" w:cs="Tahoma"/>
                <w:color w:val="000000" w:themeColor="text1"/>
                <w:kern w:val="0"/>
                <w:szCs w:val="21"/>
                <w14:textFill>
                  <w14:solidFill>
                    <w14:schemeClr w14:val="tx1"/>
                  </w14:solidFill>
                </w14:textFill>
              </w:rPr>
            </w:pPr>
            <w:r>
              <w:rPr>
                <w:rFonts w:ascii="宋体" w:hAnsi="宋体" w:cs="Tahoma"/>
                <w:color w:val="000000" w:themeColor="text1"/>
                <w:kern w:val="0"/>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vAlign w:val="center"/>
          </w:tcPr>
          <w:p>
            <w:pPr>
              <w:adjustRightInd w:val="0"/>
              <w:spacing w:line="360" w:lineRule="auto"/>
              <w:ind w:left="-105" w:leftChars="-50" w:right="-105" w:rightChars="-50"/>
              <w:jc w:val="center"/>
              <w:textAlignment w:val="baseline"/>
              <w:rPr>
                <w:rFonts w:ascii="宋体" w:hAnsi="宋体"/>
                <w:bCs/>
                <w:color w:val="000000" w:themeColor="text1"/>
                <w:kern w:val="0"/>
                <w:szCs w:val="21"/>
                <w14:textFill>
                  <w14:solidFill>
                    <w14:schemeClr w14:val="tx1"/>
                  </w14:solidFill>
                </w14:textFill>
              </w:rPr>
            </w:pPr>
            <w:r>
              <w:rPr>
                <w:rFonts w:ascii="宋体" w:hAnsi="宋体"/>
                <w:bCs/>
                <w:color w:val="000000" w:themeColor="text1"/>
                <w:kern w:val="0"/>
                <w:szCs w:val="21"/>
                <w14:textFill>
                  <w14:solidFill>
                    <w14:schemeClr w14:val="tx1"/>
                  </w14:solidFill>
                </w14:textFill>
              </w:rPr>
              <w:t>2.2</w:t>
            </w:r>
          </w:p>
        </w:tc>
        <w:tc>
          <w:tcPr>
            <w:tcW w:w="1418" w:type="dxa"/>
            <w:vAlign w:val="center"/>
          </w:tcPr>
          <w:p>
            <w:pPr>
              <w:adjustRightInd w:val="0"/>
              <w:spacing w:line="360" w:lineRule="auto"/>
              <w:jc w:val="center"/>
              <w:textAlignment w:val="baseline"/>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拆装服务方案分</w:t>
            </w:r>
          </w:p>
        </w:tc>
        <w:tc>
          <w:tcPr>
            <w:tcW w:w="6288" w:type="dxa"/>
            <w:vAlign w:val="center"/>
          </w:tcPr>
          <w:p>
            <w:pPr>
              <w:pStyle w:val="13"/>
              <w:spacing w:line="360" w:lineRule="exact"/>
              <w:ind w:firstLine="400" w:firstLineChars="200"/>
              <w:rPr>
                <w:rFonts w:hAnsi="宋体" w:cs="Courier New"/>
                <w:bCs/>
                <w:color w:val="000000" w:themeColor="text1"/>
                <w14:textFill>
                  <w14:solidFill>
                    <w14:schemeClr w14:val="tx1"/>
                  </w14:solidFill>
                </w14:textFill>
              </w:rPr>
            </w:pPr>
            <w:r>
              <w:rPr>
                <w:rFonts w:hint="eastAsia" w:hAnsi="宋体" w:cs="Courier New"/>
                <w:bCs/>
                <w:color w:val="000000" w:themeColor="text1"/>
                <w14:textFill>
                  <w14:solidFill>
                    <w14:schemeClr w14:val="tx1"/>
                  </w14:solidFill>
                </w14:textFill>
              </w:rPr>
              <w:t>一档0～8分：拆装方案简单，基本满足磋商文件的要求；</w:t>
            </w:r>
          </w:p>
          <w:p>
            <w:pPr>
              <w:pStyle w:val="13"/>
              <w:spacing w:line="360" w:lineRule="exact"/>
              <w:ind w:firstLine="400" w:firstLineChars="200"/>
              <w:rPr>
                <w:rFonts w:hAnsi="宋体" w:cs="Courier New"/>
                <w:bCs/>
                <w:color w:val="000000" w:themeColor="text1"/>
                <w14:textFill>
                  <w14:solidFill>
                    <w14:schemeClr w14:val="tx1"/>
                  </w14:solidFill>
                </w14:textFill>
              </w:rPr>
            </w:pPr>
            <w:r>
              <w:rPr>
                <w:rFonts w:hint="eastAsia" w:hAnsi="宋体" w:cs="Courier New"/>
                <w:bCs/>
                <w:color w:val="000000" w:themeColor="text1"/>
                <w14:textFill>
                  <w14:solidFill>
                    <w14:schemeClr w14:val="tx1"/>
                  </w14:solidFill>
                </w14:textFill>
              </w:rPr>
              <w:t>二档8.1～15分：拆装方案较详细，能完全满足磋商文件的要求；</w:t>
            </w:r>
          </w:p>
          <w:p>
            <w:pPr>
              <w:pStyle w:val="13"/>
              <w:spacing w:line="360" w:lineRule="exact"/>
              <w:ind w:firstLine="400" w:firstLineChars="200"/>
              <w:rPr>
                <w:rFonts w:hAnsi="宋体" w:cs="Courier New"/>
                <w:bCs/>
                <w:color w:val="000000" w:themeColor="text1"/>
                <w14:textFill>
                  <w14:solidFill>
                    <w14:schemeClr w14:val="tx1"/>
                  </w14:solidFill>
                </w14:textFill>
              </w:rPr>
            </w:pPr>
            <w:r>
              <w:rPr>
                <w:rFonts w:hint="eastAsia" w:hAnsi="宋体" w:cs="Courier New"/>
                <w:bCs/>
                <w:color w:val="000000" w:themeColor="text1"/>
                <w14:textFill>
                  <w14:solidFill>
                    <w14:schemeClr w14:val="tx1"/>
                  </w14:solidFill>
                </w14:textFill>
              </w:rPr>
              <w:t>三档15.1～20分：方案详细合理，具有针对性，且能完全满足磋商文件要求。</w:t>
            </w:r>
          </w:p>
        </w:tc>
        <w:tc>
          <w:tcPr>
            <w:tcW w:w="851" w:type="dxa"/>
            <w:vAlign w:val="center"/>
          </w:tcPr>
          <w:p>
            <w:pPr>
              <w:spacing w:line="360" w:lineRule="auto"/>
              <w:jc w:val="center"/>
              <w:rPr>
                <w:rFonts w:ascii="宋体" w:hAnsi="宋体" w:cs="Tahoma"/>
                <w:color w:val="000000" w:themeColor="text1"/>
                <w:kern w:val="0"/>
                <w:szCs w:val="21"/>
                <w14:textFill>
                  <w14:solidFill>
                    <w14:schemeClr w14:val="tx1"/>
                  </w14:solidFill>
                </w14:textFill>
              </w:rPr>
            </w:pPr>
            <w:r>
              <w:rPr>
                <w:rFonts w:ascii="宋体" w:hAnsi="宋体" w:cs="Tahoma"/>
                <w:color w:val="000000" w:themeColor="text1"/>
                <w:kern w:val="0"/>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33" w:type="dxa"/>
            <w:vAlign w:val="center"/>
          </w:tcPr>
          <w:p>
            <w:pPr>
              <w:adjustRightInd w:val="0"/>
              <w:spacing w:line="360" w:lineRule="auto"/>
              <w:ind w:left="-105" w:leftChars="-50" w:right="-105" w:rightChars="-50"/>
              <w:jc w:val="center"/>
              <w:textAlignment w:val="baseline"/>
              <w:rPr>
                <w:rFonts w:ascii="宋体" w:hAnsi="宋体"/>
                <w:bCs/>
                <w:color w:val="000000" w:themeColor="text1"/>
                <w:kern w:val="0"/>
                <w:szCs w:val="21"/>
                <w14:textFill>
                  <w14:solidFill>
                    <w14:schemeClr w14:val="tx1"/>
                  </w14:solidFill>
                </w14:textFill>
              </w:rPr>
            </w:pPr>
            <w:r>
              <w:rPr>
                <w:rFonts w:ascii="宋体" w:hAnsi="宋体"/>
                <w:bCs/>
                <w:color w:val="000000" w:themeColor="text1"/>
                <w:kern w:val="0"/>
                <w:szCs w:val="21"/>
                <w14:textFill>
                  <w14:solidFill>
                    <w14:schemeClr w14:val="tx1"/>
                  </w14:solidFill>
                </w14:textFill>
              </w:rPr>
              <w:t>2.3</w:t>
            </w:r>
          </w:p>
        </w:tc>
        <w:tc>
          <w:tcPr>
            <w:tcW w:w="1418" w:type="dxa"/>
            <w:vAlign w:val="center"/>
          </w:tcPr>
          <w:p>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hAnsi="宋体"/>
                <w:bCs/>
                <w:color w:val="000000" w:themeColor="text1"/>
                <w:kern w:val="0"/>
                <w14:textFill>
                  <w14:solidFill>
                    <w14:schemeClr w14:val="tx1"/>
                  </w14:solidFill>
                </w14:textFill>
              </w:rPr>
              <w:t>售后方案分</w:t>
            </w:r>
          </w:p>
        </w:tc>
        <w:tc>
          <w:tcPr>
            <w:tcW w:w="6288" w:type="dxa"/>
            <w:vAlign w:val="center"/>
          </w:tcPr>
          <w:p>
            <w:pPr>
              <w:spacing w:line="360" w:lineRule="exact"/>
              <w:ind w:firstLine="420" w:firstLineChars="200"/>
              <w:rPr>
                <w:rFonts w:ascii="宋体" w:hAnsi="宋体" w:cs="Courier New"/>
                <w:bCs/>
                <w:color w:val="000000" w:themeColor="text1"/>
                <w:kern w:val="0"/>
                <w:szCs w:val="21"/>
                <w14:textFill>
                  <w14:solidFill>
                    <w14:schemeClr w14:val="tx1"/>
                  </w14:solidFill>
                </w14:textFill>
              </w:rPr>
            </w:pPr>
            <w:r>
              <w:rPr>
                <w:rFonts w:hint="eastAsia" w:ascii="宋体" w:hAnsi="宋体" w:cs="Courier New"/>
                <w:bCs/>
                <w:color w:val="000000" w:themeColor="text1"/>
                <w:kern w:val="0"/>
                <w:szCs w:val="21"/>
                <w14:textFill>
                  <w14:solidFill>
                    <w14:schemeClr w14:val="tx1"/>
                  </w14:solidFill>
                </w14:textFill>
              </w:rPr>
              <w:t>一档1～8分：搬运过程或拆装过程造成的货物损失处理方案简单；</w:t>
            </w:r>
          </w:p>
          <w:p>
            <w:pPr>
              <w:spacing w:line="360" w:lineRule="exact"/>
              <w:ind w:firstLine="420" w:firstLineChars="200"/>
              <w:rPr>
                <w:rFonts w:ascii="宋体" w:hAnsi="宋体" w:cs="Courier New"/>
                <w:bCs/>
                <w:color w:val="000000" w:themeColor="text1"/>
                <w:kern w:val="0"/>
                <w:szCs w:val="21"/>
                <w14:textFill>
                  <w14:solidFill>
                    <w14:schemeClr w14:val="tx1"/>
                  </w14:solidFill>
                </w14:textFill>
              </w:rPr>
            </w:pPr>
            <w:r>
              <w:rPr>
                <w:rFonts w:hint="eastAsia" w:ascii="宋体" w:hAnsi="宋体" w:cs="Courier New"/>
                <w:bCs/>
                <w:color w:val="000000" w:themeColor="text1"/>
                <w:kern w:val="0"/>
                <w:szCs w:val="21"/>
                <w14:textFill>
                  <w14:solidFill>
                    <w14:schemeClr w14:val="tx1"/>
                  </w14:solidFill>
                </w14:textFill>
              </w:rPr>
              <w:t>二档8.1～15分：搬运过程或拆装过程造成的货物损失处理方案详细有效；</w:t>
            </w:r>
          </w:p>
          <w:p>
            <w:pPr>
              <w:spacing w:line="360" w:lineRule="exact"/>
              <w:ind w:firstLine="420" w:firstLineChars="200"/>
              <w:rPr>
                <w:rFonts w:ascii="宋体" w:hAnsi="宋体" w:cs="Courier New"/>
                <w:bCs/>
                <w:color w:val="000000" w:themeColor="text1"/>
                <w:kern w:val="0"/>
                <w:szCs w:val="21"/>
                <w14:textFill>
                  <w14:solidFill>
                    <w14:schemeClr w14:val="tx1"/>
                  </w14:solidFill>
                </w14:textFill>
              </w:rPr>
            </w:pPr>
            <w:r>
              <w:rPr>
                <w:rFonts w:hint="eastAsia" w:ascii="宋体" w:hAnsi="宋体" w:cs="Courier New"/>
                <w:bCs/>
                <w:color w:val="000000" w:themeColor="text1"/>
                <w:kern w:val="0"/>
                <w:szCs w:val="21"/>
                <w14:textFill>
                  <w14:solidFill>
                    <w14:schemeClr w14:val="tx1"/>
                  </w14:solidFill>
                </w14:textFill>
              </w:rPr>
              <w:t>三档15.1～20分：搬运过程或拆装过程造成的货物损失处理方案全面、科学，有针对性，能最大限度的保障采购人权益。</w:t>
            </w:r>
          </w:p>
        </w:tc>
        <w:tc>
          <w:tcPr>
            <w:tcW w:w="851" w:type="dxa"/>
            <w:vAlign w:val="center"/>
          </w:tcPr>
          <w:p>
            <w:pPr>
              <w:spacing w:line="360" w:lineRule="auto"/>
              <w:jc w:val="center"/>
              <w:rPr>
                <w:rFonts w:ascii="宋体" w:hAnsi="宋体" w:cs="Tahoma"/>
                <w:color w:val="000000" w:themeColor="text1"/>
                <w:kern w:val="0"/>
                <w:szCs w:val="21"/>
                <w14:textFill>
                  <w14:solidFill>
                    <w14:schemeClr w14:val="tx1"/>
                  </w14:solidFill>
                </w14:textFill>
              </w:rPr>
            </w:pPr>
            <w:r>
              <w:rPr>
                <w:rFonts w:ascii="宋体" w:hAnsi="宋体" w:cs="Tahoma"/>
                <w:color w:val="000000" w:themeColor="text1"/>
                <w:kern w:val="0"/>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Align w:val="center"/>
          </w:tcPr>
          <w:p>
            <w:pPr>
              <w:widowControl/>
              <w:spacing w:line="360" w:lineRule="auto"/>
              <w:jc w:val="center"/>
              <w:rPr>
                <w:rFonts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3</w:t>
            </w:r>
          </w:p>
        </w:tc>
        <w:tc>
          <w:tcPr>
            <w:tcW w:w="1418" w:type="dxa"/>
            <w:vAlign w:val="center"/>
          </w:tcPr>
          <w:p>
            <w:pPr>
              <w:widowControl/>
              <w:spacing w:line="360" w:lineRule="auto"/>
              <w:jc w:val="center"/>
              <w:rPr>
                <w:rFonts w:ascii="宋体" w:hAnsi="宋体" w:cs="Courier New"/>
                <w:bCs/>
                <w:color w:val="000000" w:themeColor="text1"/>
                <w:szCs w:val="21"/>
                <w14:textFill>
                  <w14:solidFill>
                    <w14:schemeClr w14:val="tx1"/>
                  </w14:solidFill>
                </w14:textFill>
              </w:rPr>
            </w:pPr>
            <w:r>
              <w:rPr>
                <w:rFonts w:hint="eastAsia" w:ascii="宋体" w:hAnsi="宋体" w:cs="Courier New"/>
                <w:bCs/>
                <w:color w:val="000000" w:themeColor="text1"/>
                <w:szCs w:val="21"/>
                <w14:textFill>
                  <w14:solidFill>
                    <w14:schemeClr w14:val="tx1"/>
                  </w14:solidFill>
                </w14:textFill>
              </w:rPr>
              <w:t>商务分</w:t>
            </w:r>
          </w:p>
        </w:tc>
        <w:tc>
          <w:tcPr>
            <w:tcW w:w="7139" w:type="dxa"/>
            <w:gridSpan w:val="2"/>
            <w:vAlign w:val="center"/>
          </w:tcPr>
          <w:p>
            <w:pPr>
              <w:widowControl/>
              <w:spacing w:line="360" w:lineRule="auto"/>
              <w:jc w:val="center"/>
              <w:rPr>
                <w:rFonts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Align w:val="center"/>
          </w:tcPr>
          <w:p>
            <w:pPr>
              <w:widowControl/>
              <w:spacing w:line="360" w:lineRule="auto"/>
              <w:jc w:val="center"/>
              <w:rPr>
                <w:rFonts w:ascii="宋体" w:hAnsi="宋体" w:cs="Tahoma"/>
                <w:color w:val="000000" w:themeColor="text1"/>
                <w:kern w:val="0"/>
                <w:szCs w:val="21"/>
                <w14:textFill>
                  <w14:solidFill>
                    <w14:schemeClr w14:val="tx1"/>
                  </w14:solidFill>
                </w14:textFill>
              </w:rPr>
            </w:pPr>
            <w:r>
              <w:rPr>
                <w:rFonts w:ascii="宋体" w:hAnsi="宋体" w:cs="Tahoma"/>
                <w:color w:val="000000" w:themeColor="text1"/>
                <w:kern w:val="0"/>
                <w:szCs w:val="21"/>
                <w14:textFill>
                  <w14:solidFill>
                    <w14:schemeClr w14:val="tx1"/>
                  </w14:solidFill>
                </w14:textFill>
              </w:rPr>
              <w:t>3.1</w:t>
            </w:r>
          </w:p>
        </w:tc>
        <w:tc>
          <w:tcPr>
            <w:tcW w:w="1418" w:type="dxa"/>
            <w:vAlign w:val="center"/>
          </w:tcPr>
          <w:p>
            <w:pPr>
              <w:widowControl/>
              <w:spacing w:line="360" w:lineRule="auto"/>
              <w:jc w:val="center"/>
              <w:rPr>
                <w:rFonts w:ascii="宋体" w:hAnsi="宋体" w:cs="Tahoma"/>
                <w:color w:val="000000" w:themeColor="text1"/>
                <w:kern w:val="0"/>
                <w:szCs w:val="21"/>
                <w14:textFill>
                  <w14:solidFill>
                    <w14:schemeClr w14:val="tx1"/>
                  </w14:solidFill>
                </w14:textFill>
              </w:rPr>
            </w:pPr>
            <w:r>
              <w:rPr>
                <w:rFonts w:hint="eastAsia" w:hAnsi="宋体"/>
                <w:color w:val="000000" w:themeColor="text1"/>
                <w:kern w:val="0"/>
                <w14:textFill>
                  <w14:solidFill>
                    <w14:schemeClr w14:val="tx1"/>
                  </w14:solidFill>
                </w14:textFill>
              </w:rPr>
              <w:t>业绩分</w:t>
            </w:r>
          </w:p>
        </w:tc>
        <w:tc>
          <w:tcPr>
            <w:tcW w:w="6288" w:type="dxa"/>
          </w:tcPr>
          <w:p>
            <w:pPr>
              <w:spacing w:line="360" w:lineRule="exact"/>
              <w:ind w:firstLine="420" w:firstLineChars="200"/>
              <w:rPr>
                <w:rFonts w:hAnsi="宋体" w:cs="Courier New"/>
                <w:bCs/>
                <w:color w:val="000000" w:themeColor="text1"/>
                <w14:textFill>
                  <w14:solidFill>
                    <w14:schemeClr w14:val="tx1"/>
                  </w14:solidFill>
                </w14:textFill>
              </w:rPr>
            </w:pPr>
            <w:r>
              <w:rPr>
                <w:rFonts w:hint="eastAsia" w:hAnsi="宋体" w:cs="Courier New"/>
                <w:bCs/>
                <w:color w:val="000000" w:themeColor="text1"/>
                <w14:textFill>
                  <w14:solidFill>
                    <w14:schemeClr w14:val="tx1"/>
                  </w14:solidFill>
                </w14:textFill>
              </w:rPr>
              <w:t>磋商供应商提供自2020年以来所承接过企事业单位大型搬迁服务工作的（需提供签订合同或协议等证明材料），每次得5分，满分10分。</w:t>
            </w:r>
          </w:p>
        </w:tc>
        <w:tc>
          <w:tcPr>
            <w:tcW w:w="851" w:type="dxa"/>
            <w:vAlign w:val="center"/>
          </w:tcPr>
          <w:p>
            <w:pPr>
              <w:widowControl/>
              <w:spacing w:line="360" w:lineRule="auto"/>
              <w:jc w:val="center"/>
              <w:rPr>
                <w:rFonts w:ascii="宋体" w:hAnsi="宋体" w:cs="Tahoma"/>
                <w:color w:val="000000" w:themeColor="text1"/>
                <w:kern w:val="0"/>
                <w:szCs w:val="21"/>
                <w14:textFill>
                  <w14:solidFill>
                    <w14:schemeClr w14:val="tx1"/>
                  </w14:solidFill>
                </w14:textFill>
              </w:rPr>
            </w:pPr>
            <w:r>
              <w:rPr>
                <w:rFonts w:ascii="宋体" w:hAnsi="宋体" w:cs="Tahoma"/>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tcPr>
          <w:p>
            <w:pPr>
              <w:pStyle w:val="13"/>
              <w:spacing w:line="360" w:lineRule="auto"/>
              <w:ind w:firstLine="420" w:firstLineChars="200"/>
              <w:rPr>
                <w:rFonts w:hAnsi="宋体" w:cs="Courier New"/>
                <w:bCs/>
                <w:color w:val="000000" w:themeColor="text1"/>
                <w:kern w:val="2"/>
                <w:sz w:val="21"/>
                <w14:textFill>
                  <w14:solidFill>
                    <w14:schemeClr w14:val="tx1"/>
                  </w14:solidFill>
                </w14:textFill>
              </w:rPr>
            </w:pPr>
            <w:r>
              <w:rPr>
                <w:rFonts w:hint="eastAsia" w:hAnsi="宋体" w:cs="Courier New"/>
                <w:bCs/>
                <w:color w:val="000000" w:themeColor="text1"/>
                <w:kern w:val="2"/>
                <w:sz w:val="21"/>
                <w14:textFill>
                  <w14:solidFill>
                    <w14:schemeClr w14:val="tx1"/>
                  </w14:solidFill>
                </w14:textFill>
              </w:rPr>
              <w:t>总得分＝1＋2＋3</w:t>
            </w:r>
          </w:p>
        </w:tc>
        <w:tc>
          <w:tcPr>
            <w:tcW w:w="851" w:type="dxa"/>
            <w:vAlign w:val="center"/>
          </w:tcPr>
          <w:p>
            <w:pPr>
              <w:widowControl/>
              <w:spacing w:line="360" w:lineRule="auto"/>
              <w:jc w:val="center"/>
              <w:rPr>
                <w:rFonts w:ascii="宋体" w:hAnsi="宋体" w:cs="Tahoma"/>
                <w:color w:val="000000" w:themeColor="text1"/>
                <w:kern w:val="0"/>
                <w:szCs w:val="21"/>
                <w14:textFill>
                  <w14:solidFill>
                    <w14:schemeClr w14:val="tx1"/>
                  </w14:solidFill>
                </w14:textFill>
              </w:rPr>
            </w:pPr>
          </w:p>
        </w:tc>
      </w:tr>
    </w:tbl>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7.</w:t>
      </w:r>
      <w:r>
        <w:rPr>
          <w:rFonts w:hint="eastAsia" w:ascii="宋体" w:hAnsi="宋体"/>
          <w:bCs/>
          <w:color w:val="000000" w:themeColor="text1"/>
          <w:szCs w:val="21"/>
          <w14:textFill>
            <w14:solidFill>
              <w14:schemeClr w14:val="tx1"/>
            </w14:solidFill>
          </w14:textFill>
        </w:rPr>
        <w:t>由磋商小组根据综合评分情况，按照评审得分由高到低顺序推荐3名以上成交候选供应商，并编写评审报告，</w:t>
      </w:r>
      <w:r>
        <w:rPr>
          <w:rFonts w:hint="eastAsia" w:ascii="宋体" w:hAnsi="宋体" w:cs="宋体"/>
          <w:color w:val="000000" w:themeColor="text1"/>
          <w14:textFill>
            <w14:solidFill>
              <w14:schemeClr w14:val="tx1"/>
            </w14:solidFill>
          </w14:textFill>
        </w:rPr>
        <w:t>评审报告</w:t>
      </w:r>
      <w:r>
        <w:rPr>
          <w:rFonts w:hint="eastAsia" w:hAnsi="宋体"/>
          <w:color w:val="000000" w:themeColor="text1"/>
          <w14:textFill>
            <w14:solidFill>
              <w14:schemeClr w14:val="tx1"/>
            </w14:solidFill>
          </w14:textFill>
        </w:rPr>
        <w:t>通过电子交易平台向采购人、采购代理机构提交。</w:t>
      </w:r>
      <w:r>
        <w:rPr>
          <w:rFonts w:hint="eastAsia" w:ascii="宋体" w:hAnsi="宋体"/>
          <w:bCs/>
          <w:color w:val="000000" w:themeColor="text1"/>
          <w:szCs w:val="21"/>
          <w14:textFill>
            <w14:solidFill>
              <w14:schemeClr w14:val="tx1"/>
            </w14:solidFill>
          </w14:textFill>
        </w:rPr>
        <w:t>符合本章第</w:t>
      </w:r>
      <w:r>
        <w:rPr>
          <w:rFonts w:ascii="宋体" w:hAnsi="宋体"/>
          <w:bCs/>
          <w:color w:val="000000" w:themeColor="text1"/>
          <w:szCs w:val="21"/>
          <w14:textFill>
            <w14:solidFill>
              <w14:schemeClr w14:val="tx1"/>
            </w14:solidFill>
          </w14:textFill>
        </w:rPr>
        <w:t>4.3</w:t>
      </w:r>
      <w:r>
        <w:rPr>
          <w:rFonts w:hint="eastAsia" w:ascii="宋体" w:hAnsi="宋体"/>
          <w:bCs/>
          <w:color w:val="000000" w:themeColor="text1"/>
          <w:szCs w:val="21"/>
          <w14:textFill>
            <w14:solidFill>
              <w14:schemeClr w14:val="tx1"/>
            </w14:solidFill>
          </w14:textFill>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pPr>
        <w:spacing w:line="400" w:lineRule="exact"/>
        <w:ind w:firstLine="420" w:firstLineChars="200"/>
        <w:rPr>
          <w:rFonts w:ascii="宋体" w:hAnsi="宋体" w:cs="宋体"/>
          <w:color w:val="000000" w:themeColor="text1"/>
          <w14:textFill>
            <w14:solidFill>
              <w14:schemeClr w14:val="tx1"/>
            </w14:solidFill>
          </w14:textFill>
        </w:rPr>
      </w:pPr>
    </w:p>
    <w:p>
      <w:pPr>
        <w:spacing w:line="400" w:lineRule="exact"/>
        <w:ind w:firstLine="420" w:firstLineChars="200"/>
        <w:rPr>
          <w:rFonts w:ascii="宋体" w:hAnsi="宋体" w:cs="宋体"/>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bookmarkStart w:id="58" w:name="_Toc103607502"/>
      <w:r>
        <w:rPr>
          <w:rFonts w:hint="eastAsia"/>
          <w:color w:val="000000" w:themeColor="text1"/>
          <w14:textFill>
            <w14:solidFill>
              <w14:schemeClr w14:val="tx1"/>
            </w14:solidFill>
          </w14:textFill>
        </w:rPr>
        <w:t>第五章响应文件格式</w:t>
      </w:r>
      <w:bookmarkEnd w:id="58"/>
    </w:p>
    <w:p>
      <w:pPr>
        <w:spacing w:line="240" w:lineRule="atLeast"/>
        <w:rPr>
          <w:rFonts w:ascii="宋体" w:hAnsi="宋体"/>
          <w:b/>
          <w:color w:val="000000" w:themeColor="text1"/>
          <w:sz w:val="32"/>
          <w:szCs w:val="32"/>
          <w14:textFill>
            <w14:solidFill>
              <w14:schemeClr w14:val="tx1"/>
            </w14:solidFill>
          </w14:textFill>
        </w:rPr>
      </w:pPr>
    </w:p>
    <w:p>
      <w:pPr>
        <w:spacing w:line="240" w:lineRule="atLeast"/>
        <w:rPr>
          <w:rFonts w:ascii="宋体" w:hAnsi="宋体"/>
          <w:b/>
          <w:color w:val="000000" w:themeColor="text1"/>
          <w:sz w:val="32"/>
          <w:szCs w:val="32"/>
          <w14:textFill>
            <w14:solidFill>
              <w14:schemeClr w14:val="tx1"/>
            </w14:solidFill>
          </w14:textFill>
        </w:rPr>
      </w:pPr>
    </w:p>
    <w:p>
      <w:pPr>
        <w:spacing w:line="240" w:lineRule="atLeast"/>
        <w:rPr>
          <w:rFonts w:ascii="宋体" w:hAnsi="宋体"/>
          <w:b/>
          <w:color w:val="000000" w:themeColor="text1"/>
          <w:sz w:val="32"/>
          <w:szCs w:val="32"/>
          <w14:textFill>
            <w14:solidFill>
              <w14:schemeClr w14:val="tx1"/>
            </w14:solidFill>
          </w14:textFill>
        </w:rPr>
      </w:pPr>
    </w:p>
    <w:p>
      <w:pPr>
        <w:spacing w:line="240" w:lineRule="atLeast"/>
        <w:rPr>
          <w:rFonts w:ascii="宋体" w:hAnsi="宋体"/>
          <w:b/>
          <w:color w:val="000000" w:themeColor="text1"/>
          <w:sz w:val="32"/>
          <w:szCs w:val="32"/>
          <w14:textFill>
            <w14:solidFill>
              <w14:schemeClr w14:val="tx1"/>
            </w14:solidFill>
          </w14:textFill>
        </w:rPr>
      </w:pPr>
    </w:p>
    <w:p>
      <w:pPr>
        <w:spacing w:line="240" w:lineRule="atLeast"/>
        <w:rPr>
          <w:rFonts w:ascii="宋体" w:hAnsi="宋体"/>
          <w:b/>
          <w:color w:val="000000" w:themeColor="text1"/>
          <w:sz w:val="32"/>
          <w:szCs w:val="32"/>
          <w14:textFill>
            <w14:solidFill>
              <w14:schemeClr w14:val="tx1"/>
            </w14:solidFill>
          </w14:textFill>
        </w:rPr>
      </w:pPr>
    </w:p>
    <w:p>
      <w:pPr>
        <w:spacing w:line="240" w:lineRule="atLeast"/>
        <w:rPr>
          <w:rFonts w:ascii="宋体" w:hAnsi="宋体"/>
          <w:b/>
          <w:color w:val="000000" w:themeColor="text1"/>
          <w:sz w:val="32"/>
          <w:szCs w:val="32"/>
          <w14:textFill>
            <w14:solidFill>
              <w14:schemeClr w14:val="tx1"/>
            </w14:solidFill>
          </w14:textFill>
        </w:rPr>
      </w:pPr>
    </w:p>
    <w:p>
      <w:pPr>
        <w:spacing w:line="240" w:lineRule="atLeast"/>
        <w:rPr>
          <w:rFonts w:ascii="宋体" w:hAnsi="宋体"/>
          <w:b/>
          <w:color w:val="000000" w:themeColor="text1"/>
          <w:sz w:val="32"/>
          <w:szCs w:val="32"/>
          <w14:textFill>
            <w14:solidFill>
              <w14:schemeClr w14:val="tx1"/>
            </w14:solidFill>
          </w14:textFill>
        </w:rPr>
      </w:pPr>
    </w:p>
    <w:p>
      <w:pPr>
        <w:spacing w:line="240" w:lineRule="atLeast"/>
        <w:rPr>
          <w:rFonts w:ascii="宋体" w:hAnsi="宋体"/>
          <w:b/>
          <w:color w:val="000000" w:themeColor="text1"/>
          <w:sz w:val="32"/>
          <w:szCs w:val="32"/>
          <w14:textFill>
            <w14:solidFill>
              <w14:schemeClr w14:val="tx1"/>
            </w14:solidFill>
          </w14:textFill>
        </w:rPr>
      </w:pPr>
    </w:p>
    <w:p>
      <w:pPr>
        <w:spacing w:line="240" w:lineRule="atLeast"/>
        <w:rPr>
          <w:rFonts w:ascii="宋体" w:hAnsi="宋体"/>
          <w:b/>
          <w:color w:val="000000" w:themeColor="text1"/>
          <w:sz w:val="32"/>
          <w:szCs w:val="32"/>
          <w14:textFill>
            <w14:solidFill>
              <w14:schemeClr w14:val="tx1"/>
            </w14:solidFill>
          </w14:textFill>
        </w:rPr>
      </w:pPr>
    </w:p>
    <w:p>
      <w:pPr>
        <w:spacing w:line="240" w:lineRule="atLeast"/>
        <w:rPr>
          <w:rFonts w:ascii="宋体" w:hAnsi="宋体"/>
          <w:b/>
          <w:color w:val="000000" w:themeColor="text1"/>
          <w:sz w:val="32"/>
          <w:szCs w:val="32"/>
          <w14:textFill>
            <w14:solidFill>
              <w14:schemeClr w14:val="tx1"/>
            </w14:solidFill>
          </w14:textFill>
        </w:rPr>
      </w:pPr>
    </w:p>
    <w:p>
      <w:pPr>
        <w:spacing w:line="240" w:lineRule="atLeast"/>
        <w:rPr>
          <w:rFonts w:ascii="宋体" w:hAnsi="宋体"/>
          <w:b/>
          <w:color w:val="000000" w:themeColor="text1"/>
          <w:sz w:val="32"/>
          <w:szCs w:val="32"/>
          <w14:textFill>
            <w14:solidFill>
              <w14:schemeClr w14:val="tx1"/>
            </w14:solidFill>
          </w14:textFill>
        </w:rPr>
      </w:pPr>
    </w:p>
    <w:p>
      <w:pPr>
        <w:widowControl/>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br w:type="page"/>
      </w:r>
    </w:p>
    <w:p>
      <w:pPr>
        <w:snapToGrid w:val="0"/>
        <w:spacing w:before="50" w:after="50"/>
        <w:outlineLvl w:val="1"/>
        <w:rPr>
          <w:rFonts w:ascii="宋体" w:hAnsi="宋体"/>
          <w:b/>
          <w:bCs/>
          <w:color w:val="000000" w:themeColor="text1"/>
          <w:sz w:val="24"/>
          <w14:textFill>
            <w14:solidFill>
              <w14:schemeClr w14:val="tx1"/>
            </w14:solidFill>
          </w14:textFill>
        </w:rPr>
      </w:pPr>
    </w:p>
    <w:p>
      <w:pPr>
        <w:snapToGrid w:val="0"/>
        <w:spacing w:before="156" w:beforeLines="50" w:after="50"/>
        <w:jc w:val="center"/>
        <w:rPr>
          <w:rFonts w:ascii="仿宋_GB2312" w:hAnsi="仿宋_GB2312" w:eastAsia="仿宋_GB2312" w:cs="仿宋_GB2312"/>
          <w:bCs/>
          <w:color w:val="000000" w:themeColor="text1"/>
          <w:sz w:val="32"/>
          <w:szCs w:val="32"/>
          <w14:textFill>
            <w14:solidFill>
              <w14:schemeClr w14:val="tx1"/>
            </w14:solidFill>
          </w14:textFill>
        </w:rPr>
      </w:pPr>
    </w:p>
    <w:p>
      <w:pPr>
        <w:rPr>
          <w:b/>
          <w:color w:val="000000" w:themeColor="text1"/>
          <w:sz w:val="32"/>
          <w:szCs w:val="32"/>
          <w14:textFill>
            <w14:solidFill>
              <w14:schemeClr w14:val="tx1"/>
            </w14:solidFill>
          </w14:textFill>
        </w:rPr>
      </w:pPr>
      <w:bookmarkStart w:id="59" w:name="_Toc35611438"/>
      <w:bookmarkStart w:id="60" w:name="_Toc44229899"/>
      <w:bookmarkStart w:id="61" w:name="_Toc71366186"/>
      <w:bookmarkStart w:id="62" w:name="_Toc35611516"/>
      <w:bookmarkStart w:id="63" w:name="_Toc31723070"/>
      <w:bookmarkStart w:id="64" w:name="_Toc31728084"/>
      <w:r>
        <w:rPr>
          <w:rFonts w:hint="eastAsia"/>
          <w:b/>
          <w:color w:val="000000" w:themeColor="text1"/>
          <w:sz w:val="32"/>
          <w:szCs w:val="32"/>
          <w14:textFill>
            <w14:solidFill>
              <w14:schemeClr w14:val="tx1"/>
            </w14:solidFill>
          </w14:textFill>
        </w:rPr>
        <w:t>一、资格证明文件格式</w:t>
      </w:r>
      <w:bookmarkEnd w:id="59"/>
      <w:bookmarkEnd w:id="60"/>
      <w:bookmarkEnd w:id="61"/>
      <w:bookmarkEnd w:id="62"/>
      <w:bookmarkEnd w:id="63"/>
      <w:bookmarkEnd w:id="64"/>
    </w:p>
    <w:p>
      <w:pPr>
        <w:snapToGrid w:val="0"/>
        <w:spacing w:before="156" w:beforeLines="50" w:after="50"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1.资格证明文件封面格式：</w:t>
      </w:r>
    </w:p>
    <w:p>
      <w:pPr>
        <w:snapToGrid w:val="0"/>
        <w:spacing w:before="156" w:beforeLines="50" w:after="50"/>
        <w:jc w:val="center"/>
        <w:rPr>
          <w:rFonts w:ascii="宋体" w:hAnsi="宋体"/>
          <w:color w:val="000000" w:themeColor="text1"/>
          <w:sz w:val="44"/>
          <w:szCs w:val="44"/>
          <w14:textFill>
            <w14:solidFill>
              <w14:schemeClr w14:val="tx1"/>
            </w14:solidFill>
          </w14:textFill>
        </w:rPr>
      </w:pPr>
    </w:p>
    <w:p>
      <w:pPr>
        <w:snapToGrid w:val="0"/>
        <w:spacing w:before="156" w:beforeLines="50" w:after="50"/>
        <w:rPr>
          <w:rFonts w:ascii="宋体" w:hAnsi="宋体"/>
          <w:color w:val="000000" w:themeColor="text1"/>
          <w:sz w:val="24"/>
          <w:szCs w:val="20"/>
          <w14:textFill>
            <w14:solidFill>
              <w14:schemeClr w14:val="tx1"/>
            </w14:solidFill>
          </w14:textFill>
        </w:rPr>
      </w:pPr>
    </w:p>
    <w:p>
      <w:pPr>
        <w:snapToGrid w:val="0"/>
        <w:spacing w:before="156" w:beforeLines="50" w:after="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资  格  证  明  文  件</w:t>
      </w:r>
    </w:p>
    <w:p>
      <w:pPr>
        <w:snapToGrid w:val="0"/>
        <w:spacing w:before="156" w:beforeLines="50" w:after="50"/>
        <w:rPr>
          <w:rFonts w:ascii="宋体" w:hAnsi="宋体"/>
          <w:bCs/>
          <w:color w:val="000000" w:themeColor="text1"/>
          <w:sz w:val="24"/>
          <w:szCs w:val="20"/>
          <w14:textFill>
            <w14:solidFill>
              <w14:schemeClr w14:val="tx1"/>
            </w14:solidFill>
          </w14:textFill>
        </w:rPr>
      </w:pPr>
    </w:p>
    <w:p>
      <w:pPr>
        <w:snapToGrid w:val="0"/>
        <w:spacing w:before="156" w:beforeLines="50" w:after="50"/>
        <w:rPr>
          <w:rFonts w:ascii="宋体" w:hAnsi="宋体"/>
          <w:bCs/>
          <w:color w:val="000000" w:themeColor="text1"/>
          <w:sz w:val="24"/>
          <w:szCs w:val="20"/>
          <w14:textFill>
            <w14:solidFill>
              <w14:schemeClr w14:val="tx1"/>
            </w14:solidFill>
          </w14:textFill>
        </w:rPr>
      </w:pPr>
    </w:p>
    <w:p>
      <w:pPr>
        <w:snapToGrid w:val="0"/>
        <w:spacing w:before="156" w:beforeLines="50" w:after="50"/>
        <w:rPr>
          <w:rFonts w:ascii="宋体" w:hAnsi="宋体"/>
          <w:bCs/>
          <w:color w:val="000000" w:themeColor="text1"/>
          <w:sz w:val="24"/>
          <w:szCs w:val="20"/>
          <w14:textFill>
            <w14:solidFill>
              <w14:schemeClr w14:val="tx1"/>
            </w14:solidFill>
          </w14:textFill>
        </w:rPr>
      </w:pPr>
    </w:p>
    <w:p>
      <w:pPr>
        <w:snapToGrid w:val="0"/>
        <w:spacing w:before="156" w:beforeLines="50" w:after="50"/>
        <w:rPr>
          <w:rFonts w:ascii="宋体" w:hAnsi="宋体"/>
          <w:bCs/>
          <w:color w:val="000000" w:themeColor="text1"/>
          <w:sz w:val="24"/>
          <w:szCs w:val="20"/>
          <w14:textFill>
            <w14:solidFill>
              <w14:schemeClr w14:val="tx1"/>
            </w14:solidFill>
          </w14:textFill>
        </w:rPr>
      </w:pPr>
    </w:p>
    <w:p>
      <w:pPr>
        <w:snapToGrid w:val="0"/>
        <w:spacing w:before="156" w:beforeLines="50" w:after="50"/>
        <w:rPr>
          <w:rFonts w:ascii="宋体" w:hAnsi="宋体"/>
          <w:bCs/>
          <w:color w:val="000000" w:themeColor="text1"/>
          <w:sz w:val="24"/>
          <w:szCs w:val="20"/>
          <w14:textFill>
            <w14:solidFill>
              <w14:schemeClr w14:val="tx1"/>
            </w14:solidFill>
          </w14:textFill>
        </w:rPr>
      </w:pPr>
    </w:p>
    <w:p>
      <w:pPr>
        <w:snapToGrid w:val="0"/>
        <w:spacing w:before="156" w:beforeLines="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项目名称：</w:t>
      </w:r>
    </w:p>
    <w:p>
      <w:pPr>
        <w:snapToGrid w:val="0"/>
        <w:spacing w:before="156" w:beforeLines="50" w:after="50"/>
        <w:ind w:firstLine="720" w:firstLineChars="225"/>
        <w:rPr>
          <w:rFonts w:ascii="宋体" w:hAnsi="宋体" w:cs="仿宋_GB2312"/>
          <w:bCs/>
          <w:color w:val="000000" w:themeColor="text1"/>
          <w:sz w:val="32"/>
          <w:szCs w:val="32"/>
          <w14:textFill>
            <w14:solidFill>
              <w14:schemeClr w14:val="tx1"/>
            </w14:solidFill>
          </w14:textFill>
        </w:rPr>
      </w:pPr>
    </w:p>
    <w:p>
      <w:pPr>
        <w:snapToGrid w:val="0"/>
        <w:spacing w:before="156" w:beforeLines="50" w:after="50"/>
        <w:ind w:firstLine="720" w:firstLineChars="225"/>
        <w:rPr>
          <w:rFonts w:ascii="宋体" w:hAnsi="宋体" w:cs="仿宋_GB2312"/>
          <w:bCs/>
          <w:color w:val="000000" w:themeColor="text1"/>
          <w:sz w:val="32"/>
          <w:szCs w:val="32"/>
          <w14:textFill>
            <w14:solidFill>
              <w14:schemeClr w14:val="tx1"/>
            </w14:solidFill>
          </w14:textFill>
        </w:rPr>
      </w:pPr>
    </w:p>
    <w:p>
      <w:pPr>
        <w:snapToGrid w:val="0"/>
        <w:spacing w:before="156" w:beforeLines="50" w:after="50"/>
        <w:ind w:firstLine="720" w:firstLineChars="225"/>
        <w:rPr>
          <w:rFonts w:ascii="宋体" w:hAnsi="宋体" w:cs="仿宋_GB2312"/>
          <w:bCs/>
          <w:color w:val="000000" w:themeColor="text1"/>
          <w:sz w:val="32"/>
          <w:szCs w:val="32"/>
          <w14:textFill>
            <w14:solidFill>
              <w14:schemeClr w14:val="tx1"/>
            </w14:solidFill>
          </w14:textFill>
        </w:rPr>
      </w:pPr>
    </w:p>
    <w:p>
      <w:pPr>
        <w:pStyle w:val="5"/>
        <w:snapToGrid w:val="0"/>
        <w:spacing w:before="50" w:after="50"/>
        <w:ind w:firstLine="720" w:firstLineChars="225"/>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供应商名称：</w:t>
      </w:r>
    </w:p>
    <w:p>
      <w:pPr>
        <w:snapToGrid w:val="0"/>
        <w:spacing w:before="156" w:beforeLines="50" w:after="50"/>
        <w:ind w:firstLine="640" w:firstLineChars="200"/>
        <w:rPr>
          <w:rFonts w:ascii="宋体" w:hAnsi="宋体" w:cs="仿宋_GB2312"/>
          <w:bCs/>
          <w:color w:val="000000" w:themeColor="text1"/>
          <w:sz w:val="32"/>
          <w:szCs w:val="32"/>
          <w14:textFill>
            <w14:solidFill>
              <w14:schemeClr w14:val="tx1"/>
            </w14:solidFill>
          </w14:textFill>
        </w:rPr>
      </w:pPr>
    </w:p>
    <w:p>
      <w:pPr>
        <w:pStyle w:val="5"/>
        <w:snapToGrid w:val="0"/>
        <w:spacing w:before="50" w:after="50"/>
        <w:ind w:firstLine="720" w:firstLineChars="225"/>
        <w:rPr>
          <w:rFonts w:ascii="宋体" w:hAnsi="宋体" w:cs="仿宋_GB2312"/>
          <w:bCs/>
          <w:color w:val="000000" w:themeColor="text1"/>
          <w:sz w:val="32"/>
          <w:szCs w:val="32"/>
          <w14:textFill>
            <w14:solidFill>
              <w14:schemeClr w14:val="tx1"/>
            </w14:solidFill>
          </w14:textFill>
        </w:rPr>
      </w:pPr>
    </w:p>
    <w:p>
      <w:pPr>
        <w:pStyle w:val="5"/>
        <w:snapToGrid w:val="0"/>
        <w:spacing w:before="50" w:after="50"/>
        <w:ind w:firstLine="720" w:firstLineChars="225"/>
        <w:rPr>
          <w:rFonts w:ascii="宋体" w:hAnsi="宋体" w:cs="仿宋_GB2312"/>
          <w:bCs/>
          <w:color w:val="000000" w:themeColor="text1"/>
          <w:sz w:val="32"/>
          <w:szCs w:val="32"/>
          <w14:textFill>
            <w14:solidFill>
              <w14:schemeClr w14:val="tx1"/>
            </w14:solidFill>
          </w14:textFill>
        </w:rPr>
      </w:pPr>
    </w:p>
    <w:p>
      <w:pPr>
        <w:pStyle w:val="5"/>
        <w:snapToGrid w:val="0"/>
        <w:spacing w:before="50" w:after="50"/>
        <w:ind w:firstLine="1280" w:firstLineChars="400"/>
        <w:rPr>
          <w:rFonts w:ascii="宋体" w:hAnsi="宋体" w:cs="仿宋_GB2312"/>
          <w:bCs/>
          <w:color w:val="000000" w:themeColor="text1"/>
          <w:sz w:val="32"/>
          <w:szCs w:val="32"/>
          <w14:textFill>
            <w14:solidFill>
              <w14:schemeClr w14:val="tx1"/>
            </w14:solidFill>
          </w14:textFill>
        </w:rPr>
      </w:pPr>
    </w:p>
    <w:p>
      <w:pPr>
        <w:snapToGrid w:val="0"/>
        <w:spacing w:before="156" w:beforeLines="50" w:after="50"/>
        <w:jc w:val="center"/>
        <w:rPr>
          <w:rFonts w:ascii="宋体" w:hAnsi="宋体" w:cs="仿宋_GB2312"/>
          <w:color w:val="000000" w:themeColor="text1"/>
          <w:sz w:val="32"/>
          <w:szCs w:val="32"/>
          <w14:textFill>
            <w14:solidFill>
              <w14:schemeClr w14:val="tx1"/>
            </w14:solidFill>
          </w14:textFill>
        </w:rPr>
      </w:pPr>
      <w:r>
        <w:rPr>
          <w:rFonts w:hint="eastAsia" w:ascii="宋体" w:hAnsi="宋体" w:cs="仿宋_GB2312"/>
          <w:color w:val="000000" w:themeColor="text1"/>
          <w:sz w:val="32"/>
          <w:szCs w:val="32"/>
          <w14:textFill>
            <w14:solidFill>
              <w14:schemeClr w14:val="tx1"/>
            </w14:solidFill>
          </w14:textFill>
        </w:rPr>
        <w:t>年    月    日</w:t>
      </w:r>
    </w:p>
    <w:p>
      <w:pPr>
        <w:snapToGrid w:val="0"/>
        <w:spacing w:before="156" w:beforeLines="50" w:after="50" w:line="360" w:lineRule="auto"/>
        <w:ind w:left="142"/>
        <w:jc w:val="left"/>
        <w:rPr>
          <w:rFonts w:ascii="宋体" w:hAnsi="宋体"/>
          <w:b/>
          <w:bCs/>
          <w:color w:val="000000" w:themeColor="text1"/>
          <w:sz w:val="32"/>
          <w:szCs w:val="32"/>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2.资格证明文件目录</w:t>
      </w:r>
    </w:p>
    <w:p>
      <w:pPr>
        <w:snapToGrid w:val="0"/>
        <w:spacing w:before="156" w:beforeLines="50" w:after="50" w:line="360" w:lineRule="auto"/>
        <w:ind w:firstLine="645"/>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根据磋商文件规定及供应商提供的材料自行编写目录（部分格式后附）。</w:t>
      </w:r>
    </w:p>
    <w:p>
      <w:pPr>
        <w:snapToGrid w:val="0"/>
        <w:spacing w:before="156" w:beforeLines="50" w:after="50"/>
        <w:rPr>
          <w:rFonts w:ascii="宋体" w:hAnsi="宋体"/>
          <w:color w:val="000000" w:themeColor="text1"/>
          <w:sz w:val="24"/>
          <w:szCs w:val="20"/>
          <w14:textFill>
            <w14:solidFill>
              <w14:schemeClr w14:val="tx1"/>
            </w14:solidFill>
          </w14:textFill>
        </w:rPr>
      </w:pPr>
    </w:p>
    <w:p>
      <w:pPr>
        <w:spacing w:line="300" w:lineRule="auto"/>
        <w:rPr>
          <w:rFonts w:ascii="宋体" w:hAnsi="宋体"/>
          <w:color w:val="000000" w:themeColor="text1"/>
          <w:szCs w:val="21"/>
          <w14:textFill>
            <w14:solidFill>
              <w14:schemeClr w14:val="tx1"/>
            </w14:solidFill>
          </w14:textFill>
        </w:rPr>
      </w:pPr>
    </w:p>
    <w:p>
      <w:pPr>
        <w:spacing w:line="300" w:lineRule="auto"/>
        <w:rPr>
          <w:rFonts w:ascii="宋体" w:hAnsi="宋体"/>
          <w:color w:val="000000" w:themeColor="text1"/>
          <w:szCs w:val="21"/>
          <w14:textFill>
            <w14:solidFill>
              <w14:schemeClr w14:val="tx1"/>
            </w14:solidFill>
          </w14:textFill>
        </w:rPr>
      </w:pPr>
    </w:p>
    <w:p>
      <w:pPr>
        <w:spacing w:line="300" w:lineRule="auto"/>
        <w:rPr>
          <w:rFonts w:ascii="宋体" w:hAnsi="宋体"/>
          <w:color w:val="000000" w:themeColor="text1"/>
          <w:szCs w:val="21"/>
          <w14:textFill>
            <w14:solidFill>
              <w14:schemeClr w14:val="tx1"/>
            </w14:solidFill>
          </w14:textFill>
        </w:rPr>
      </w:pPr>
    </w:p>
    <w:p>
      <w:pPr>
        <w:spacing w:line="300" w:lineRule="auto"/>
        <w:rPr>
          <w:rFonts w:ascii="宋体" w:hAnsi="宋体"/>
          <w:color w:val="000000" w:themeColor="text1"/>
          <w:szCs w:val="21"/>
          <w14:textFill>
            <w14:solidFill>
              <w14:schemeClr w14:val="tx1"/>
            </w14:solidFill>
          </w14:textFill>
        </w:rPr>
      </w:pPr>
    </w:p>
    <w:p>
      <w:pPr>
        <w:spacing w:line="300" w:lineRule="auto"/>
        <w:rPr>
          <w:rFonts w:ascii="宋体" w:hAnsi="宋体"/>
          <w:color w:val="000000" w:themeColor="text1"/>
          <w:szCs w:val="21"/>
          <w14:textFill>
            <w14:solidFill>
              <w14:schemeClr w14:val="tx1"/>
            </w14:solidFill>
          </w14:textFill>
        </w:rPr>
      </w:pPr>
    </w:p>
    <w:p>
      <w:pPr>
        <w:spacing w:line="300" w:lineRule="auto"/>
        <w:rPr>
          <w:rFonts w:ascii="宋体" w:hAnsi="宋体"/>
          <w:color w:val="000000" w:themeColor="text1"/>
          <w:szCs w:val="21"/>
          <w14:textFill>
            <w14:solidFill>
              <w14:schemeClr w14:val="tx1"/>
            </w14:solidFill>
          </w14:textFill>
        </w:rPr>
      </w:pPr>
    </w:p>
    <w:p>
      <w:pPr>
        <w:spacing w:line="300" w:lineRule="auto"/>
        <w:rPr>
          <w:rFonts w:ascii="宋体" w:hAnsi="宋体"/>
          <w:color w:val="000000" w:themeColor="text1"/>
          <w:szCs w:val="21"/>
          <w14:textFill>
            <w14:solidFill>
              <w14:schemeClr w14:val="tx1"/>
            </w14:solidFill>
          </w14:textFill>
        </w:rPr>
      </w:pPr>
    </w:p>
    <w:p>
      <w:pPr>
        <w:spacing w:line="300" w:lineRule="auto"/>
        <w:rPr>
          <w:rFonts w:ascii="宋体" w:hAnsi="宋体"/>
          <w:color w:val="000000" w:themeColor="text1"/>
          <w:szCs w:val="21"/>
          <w14:textFill>
            <w14:solidFill>
              <w14:schemeClr w14:val="tx1"/>
            </w14:solidFill>
          </w14:textFill>
        </w:rPr>
      </w:pPr>
    </w:p>
    <w:p>
      <w:pPr>
        <w:spacing w:line="300" w:lineRule="auto"/>
        <w:rPr>
          <w:rFonts w:ascii="宋体" w:hAnsi="宋体"/>
          <w:color w:val="000000" w:themeColor="text1"/>
          <w:szCs w:val="21"/>
          <w14:textFill>
            <w14:solidFill>
              <w14:schemeClr w14:val="tx1"/>
            </w14:solidFill>
          </w14:textFill>
        </w:rPr>
      </w:pPr>
    </w:p>
    <w:p>
      <w:pPr>
        <w:spacing w:line="300" w:lineRule="auto"/>
        <w:rPr>
          <w:rFonts w:ascii="宋体" w:hAnsi="宋体"/>
          <w:color w:val="000000" w:themeColor="text1"/>
          <w:szCs w:val="21"/>
          <w14:textFill>
            <w14:solidFill>
              <w14:schemeClr w14:val="tx1"/>
            </w14:solidFill>
          </w14:textFill>
        </w:rPr>
      </w:pPr>
    </w:p>
    <w:p>
      <w:pPr>
        <w:spacing w:line="300" w:lineRule="auto"/>
        <w:rPr>
          <w:rFonts w:ascii="宋体" w:hAnsi="宋体"/>
          <w:color w:val="000000" w:themeColor="text1"/>
          <w:szCs w:val="21"/>
          <w14:textFill>
            <w14:solidFill>
              <w14:schemeClr w14:val="tx1"/>
            </w14:solidFill>
          </w14:textFill>
        </w:rPr>
      </w:pPr>
    </w:p>
    <w:p>
      <w:pPr>
        <w:spacing w:line="300" w:lineRule="auto"/>
        <w:rPr>
          <w:rFonts w:ascii="宋体" w:hAnsi="宋体"/>
          <w:color w:val="000000" w:themeColor="text1"/>
          <w:szCs w:val="21"/>
          <w14:textFill>
            <w14:solidFill>
              <w14:schemeClr w14:val="tx1"/>
            </w14:solidFill>
          </w14:textFill>
        </w:rPr>
      </w:pPr>
    </w:p>
    <w:p>
      <w:pPr>
        <w:spacing w:line="300" w:lineRule="auto"/>
        <w:rPr>
          <w:rFonts w:ascii="宋体" w:hAnsi="宋体"/>
          <w:color w:val="000000" w:themeColor="text1"/>
          <w:szCs w:val="21"/>
          <w14:textFill>
            <w14:solidFill>
              <w14:schemeClr w14:val="tx1"/>
            </w14:solidFill>
          </w14:textFill>
        </w:rPr>
      </w:pPr>
    </w:p>
    <w:p>
      <w:pPr>
        <w:spacing w:line="300" w:lineRule="auto"/>
        <w:rPr>
          <w:rFonts w:ascii="宋体" w:hAnsi="宋体"/>
          <w:color w:val="000000" w:themeColor="text1"/>
          <w:szCs w:val="21"/>
          <w14:textFill>
            <w14:solidFill>
              <w14:schemeClr w14:val="tx1"/>
            </w14:solidFill>
          </w14:textFill>
        </w:rPr>
      </w:pPr>
    </w:p>
    <w:p>
      <w:pPr>
        <w:spacing w:line="300" w:lineRule="auto"/>
        <w:rPr>
          <w:rFonts w:ascii="宋体" w:hAnsi="宋体"/>
          <w:color w:val="000000" w:themeColor="text1"/>
          <w:szCs w:val="21"/>
          <w14:textFill>
            <w14:solidFill>
              <w14:schemeClr w14:val="tx1"/>
            </w14:solidFill>
          </w14:textFill>
        </w:rPr>
      </w:pPr>
    </w:p>
    <w:p>
      <w:pPr>
        <w:spacing w:line="320" w:lineRule="exact"/>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spacing w:line="32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竞标声明</w:t>
      </w:r>
    </w:p>
    <w:p>
      <w:pPr>
        <w:spacing w:line="320" w:lineRule="exact"/>
        <w:jc w:val="center"/>
        <w:rPr>
          <w:rFonts w:ascii="宋体" w:hAnsi="宋体"/>
          <w:color w:val="000000" w:themeColor="text1"/>
          <w:sz w:val="24"/>
          <w:szCs w:val="20"/>
          <w14:textFill>
            <w14:solidFill>
              <w14:schemeClr w14:val="tx1"/>
            </w14:solidFill>
          </w14:textFill>
        </w:rPr>
      </w:pPr>
    </w:p>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（采购人名称）</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（供应商名称）</w:t>
      </w:r>
      <w:r>
        <w:rPr>
          <w:rFonts w:hint="eastAsia" w:ascii="宋体" w:hAnsi="宋体" w:cs="宋体"/>
          <w:color w:val="000000" w:themeColor="text1"/>
          <w:sz w:val="24"/>
          <w14:textFill>
            <w14:solidFill>
              <w14:schemeClr w14:val="tx1"/>
            </w14:solidFill>
          </w14:textFill>
        </w:rPr>
        <w:t>系中华人民共和国合法供应商，经营地址。</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我方愿意参加贵方组织的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项目的竞标，为便于贵方公正、择优地确定成交供应商及其竞标产品和服务，我方就本次竞标有关事项郑重声明如下：</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1.我方向贵方提交的所有响应文件、资料都是准确的和真实的。</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我方不是为本次采购项目提供整体设计、规范编制或者项目管理、监理、检测等服务的供应商</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3.在此，我方宣布同意如下：</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（1）将按磋商文件的约定履行合同责任和义务；</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（2）已详细审查全部磋商文件，包括澄清或者更正公告（如有）；</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（3）同意提供按照贵方可能要求的与磋商有关的一切数据或者资料；</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（4）响应磋商文件规定的竞标有效期。</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4.我方承诺符合《中华人民共和国政府采购法》第二十二条规定：</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（2）具有良好的商业信誉和健全的财务会计制度；</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（6）法律、行政法规规定的其他条件。</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□我方本次响应文件</w:t>
      </w:r>
      <w:r>
        <w:rPr>
          <w:rFonts w:hint="eastAsia" w:ascii="宋体" w:hAnsi="宋体" w:cs="宋体"/>
          <w:color w:val="000000" w:themeColor="text1"/>
          <w:kern w:val="0"/>
          <w:sz w:val="24"/>
          <w14:textFill>
            <w14:solidFill>
              <w14:schemeClr w14:val="tx1"/>
            </w14:solidFill>
          </w14:textFill>
        </w:rPr>
        <w:t>内容中</w:t>
      </w:r>
      <w:r>
        <w:rPr>
          <w:rFonts w:hint="eastAsia" w:ascii="宋体" w:hAnsi="宋体" w:cs="宋体"/>
          <w:color w:val="000000" w:themeColor="text1"/>
          <w:sz w:val="24"/>
          <w14:textFill>
            <w14:solidFill>
              <w14:schemeClr w14:val="tx1"/>
            </w14:solidFill>
          </w14:textFill>
        </w:rPr>
        <w:t>未</w:t>
      </w:r>
      <w:r>
        <w:rPr>
          <w:rFonts w:hint="eastAsia" w:ascii="宋体" w:hAnsi="宋体" w:cs="宋体"/>
          <w:color w:val="000000" w:themeColor="text1"/>
          <w:kern w:val="0"/>
          <w:sz w:val="24"/>
          <w14:textFill>
            <w14:solidFill>
              <w14:schemeClr w14:val="tx1"/>
            </w14:solidFill>
          </w14:textFill>
        </w:rPr>
        <w:t>涉及商业秘密；</w:t>
      </w:r>
    </w:p>
    <w:p>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□我方本次响应文件</w:t>
      </w:r>
      <w:r>
        <w:rPr>
          <w:rFonts w:hint="eastAsia" w:ascii="宋体" w:hAnsi="宋体" w:cs="宋体"/>
          <w:color w:val="000000" w:themeColor="text1"/>
          <w:kern w:val="0"/>
          <w:sz w:val="24"/>
          <w14:textFill>
            <w14:solidFill>
              <w14:schemeClr w14:val="tx1"/>
            </w14:solidFill>
          </w14:textFill>
        </w:rPr>
        <w:t>涉及商业秘密的内容有：；</w:t>
      </w:r>
    </w:p>
    <w:p>
      <w:pPr>
        <w:pStyle w:val="13"/>
        <w:spacing w:line="360" w:lineRule="auto"/>
        <w:ind w:firstLine="480" w:firstLineChars="200"/>
        <w:contextualSpacing/>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7.与本磋商有关的一切正式往来信函请寄：邮政编号：</w:t>
      </w:r>
    </w:p>
    <w:p>
      <w:pPr>
        <w:pStyle w:val="13"/>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电话/传真： 电子邮箱：</w:t>
      </w:r>
    </w:p>
    <w:p>
      <w:pPr>
        <w:pStyle w:val="12"/>
        <w:tabs>
          <w:tab w:val="left" w:pos="939"/>
        </w:tabs>
        <w:spacing w:line="360" w:lineRule="auto"/>
        <w:ind w:left="141" w:leftChars="67"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开户银行：帐号：</w:t>
      </w:r>
    </w:p>
    <w:p>
      <w:pPr>
        <w:pStyle w:val="12"/>
        <w:tabs>
          <w:tab w:val="left" w:pos="939"/>
        </w:tabs>
        <w:spacing w:line="360" w:lineRule="auto"/>
        <w:ind w:left="0" w:leftChars="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8.以上事项如有虚假或者隐瞒，我方愿意承担一切后果，并不再寻求任何旨在减轻或者免除法律责任的辩解。</w:t>
      </w:r>
    </w:p>
    <w:p>
      <w:pPr>
        <w:pStyle w:val="12"/>
        <w:tabs>
          <w:tab w:val="left" w:pos="939"/>
        </w:tabs>
        <w:spacing w:line="360" w:lineRule="auto"/>
        <w:ind w:left="141" w:leftChars="67"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contextualSpacing/>
        <w:jc w:val="left"/>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w:t>
      </w:r>
      <w:r>
        <w:rPr>
          <w:rFonts w:hint="eastAsia" w:ascii="宋体" w:hAnsi="宋体"/>
          <w:b/>
          <w:color w:val="000000" w:themeColor="text1"/>
          <w:sz w:val="24"/>
          <w14:textFill>
            <w14:solidFill>
              <w14:schemeClr w14:val="tx1"/>
            </w14:solidFill>
          </w14:textFill>
        </w:rPr>
        <w:t>如为联合体竞标，盖章处须加盖联合体牵头人电子签章并由联合体牵头人法定代表人分别签字或者盖章或者电子签名，否则响应文件按无效处理。</w:t>
      </w:r>
    </w:p>
    <w:p>
      <w:pPr>
        <w:spacing w:line="360" w:lineRule="auto"/>
        <w:contextualSpacing/>
        <w:jc w:val="left"/>
        <w:rPr>
          <w:rFonts w:ascii="宋体" w:hAnsi="宋体" w:cs="宋体"/>
          <w:color w:val="000000" w:themeColor="text1"/>
          <w:szCs w:val="21"/>
          <w14:textFill>
            <w14:solidFill>
              <w14:schemeClr w14:val="tx1"/>
            </w14:solidFill>
          </w14:textFill>
        </w:rPr>
      </w:pPr>
    </w:p>
    <w:p>
      <w:pPr>
        <w:spacing w:line="360" w:lineRule="auto"/>
        <w:ind w:firstLine="1575" w:firstLineChars="75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w:t>
      </w:r>
      <w:r>
        <w:rPr>
          <w:rFonts w:hint="eastAsia" w:ascii="宋体" w:hAnsi="宋体"/>
          <w:color w:val="000000" w:themeColor="text1"/>
          <w:sz w:val="24"/>
          <w14:textFill>
            <w14:solidFill>
              <w14:schemeClr w14:val="tx1"/>
            </w14:solidFill>
          </w14:textFill>
        </w:rPr>
        <w:t>签字或者盖章或者电子签名</w:t>
      </w:r>
      <w:r>
        <w:rPr>
          <w:rFonts w:hint="eastAsia"/>
          <w:color w:val="000000" w:themeColor="text1"/>
          <w14:textFill>
            <w14:solidFill>
              <w14:schemeClr w14:val="tx1"/>
            </w14:solidFill>
          </w14:textFill>
        </w:rPr>
        <w:t>）：</w:t>
      </w:r>
    </w:p>
    <w:p>
      <w:pPr>
        <w:spacing w:line="360" w:lineRule="auto"/>
        <w:ind w:firstLine="3780" w:firstLineChars="1800"/>
        <w:contextualSpacing/>
        <w:rPr>
          <w:rFonts w:ascii="宋体" w:hAnsi="宋体" w:cs="宋体"/>
          <w:color w:val="000000" w:themeColor="text1"/>
          <w:szCs w:val="21"/>
          <w:u w:val="single"/>
          <w14:textFill>
            <w14:solidFill>
              <w14:schemeClr w14:val="tx1"/>
            </w14:solidFill>
          </w14:textFill>
        </w:rPr>
      </w:pPr>
      <w:r>
        <w:rPr>
          <w:rFonts w:hint="eastAsia"/>
          <w:color w:val="000000" w:themeColor="text1"/>
          <w14:textFill>
            <w14:solidFill>
              <w14:schemeClr w14:val="tx1"/>
            </w14:solidFill>
          </w14:textFill>
        </w:rPr>
        <w:t>供应商（电子签章）：</w:t>
      </w:r>
    </w:p>
    <w:p>
      <w:pPr>
        <w:pStyle w:val="12"/>
        <w:tabs>
          <w:tab w:val="left" w:pos="939"/>
        </w:tabs>
        <w:spacing w:line="360" w:lineRule="auto"/>
        <w:ind w:left="0" w:leftChars="0" w:firstLine="420" w:firstLineChars="200"/>
        <w:rPr>
          <w:rFonts w:ascii="宋体" w:hAnsi="宋体"/>
          <w:b/>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w:t>年月日</w:t>
      </w:r>
      <w:r>
        <w:rPr>
          <w:rFonts w:hint="eastAsia"/>
          <w:color w:val="000000" w:themeColor="text1"/>
          <w:sz w:val="24"/>
          <w14:textFill>
            <w14:solidFill>
              <w14:schemeClr w14:val="tx1"/>
            </w14:solidFill>
          </w14:textFill>
        </w:rPr>
        <w:br w:type="page"/>
      </w:r>
      <w:r>
        <w:rPr>
          <w:rFonts w:ascii="宋体" w:hAnsi="宋体"/>
          <w:b/>
          <w:bCs/>
          <w:color w:val="000000" w:themeColor="text1"/>
          <w:sz w:val="32"/>
          <w:szCs w:val="32"/>
          <w14:textFill>
            <w14:solidFill>
              <w14:schemeClr w14:val="tx1"/>
            </w14:solidFill>
          </w14:textFill>
        </w:rPr>
        <w:t xml:space="preserve"> </w:t>
      </w:r>
      <w:r>
        <w:rPr>
          <w:rFonts w:hint="eastAsia" w:ascii="宋体" w:hAnsi="宋体"/>
          <w:b/>
          <w:bCs/>
          <w:color w:val="000000" w:themeColor="text1"/>
          <w:sz w:val="32"/>
          <w:szCs w:val="32"/>
          <w14:textFill>
            <w14:solidFill>
              <w14:schemeClr w14:val="tx1"/>
            </w14:solidFill>
          </w14:textFill>
        </w:rPr>
        <w:t>二、</w:t>
      </w:r>
      <w:r>
        <w:rPr>
          <w:rFonts w:hint="eastAsia" w:ascii="宋体" w:hAnsi="宋体"/>
          <w:b/>
          <w:color w:val="000000" w:themeColor="text1"/>
          <w:sz w:val="32"/>
          <w:szCs w:val="32"/>
          <w14:textFill>
            <w14:solidFill>
              <w14:schemeClr w14:val="tx1"/>
            </w14:solidFill>
          </w14:textFill>
        </w:rPr>
        <w:t xml:space="preserve">报价文件格式 </w:t>
      </w:r>
    </w:p>
    <w:p>
      <w:pPr>
        <w:snapToGrid w:val="0"/>
        <w:spacing w:before="156" w:beforeLines="50" w:after="50" w:line="360" w:lineRule="auto"/>
        <w:jc w:val="left"/>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1.报价文件封面格式</w:t>
      </w:r>
    </w:p>
    <w:p>
      <w:pPr>
        <w:snapToGrid w:val="0"/>
        <w:spacing w:before="156" w:beforeLines="50" w:after="50"/>
        <w:rPr>
          <w:rFonts w:ascii="宋体" w:hAnsi="宋体"/>
          <w:bCs/>
          <w:color w:val="000000" w:themeColor="text1"/>
          <w:sz w:val="32"/>
          <w:szCs w:val="20"/>
          <w14:textFill>
            <w14:solidFill>
              <w14:schemeClr w14:val="tx1"/>
            </w14:solidFill>
          </w14:textFill>
        </w:rPr>
      </w:pPr>
    </w:p>
    <w:p>
      <w:pPr>
        <w:snapToGrid w:val="0"/>
        <w:spacing w:before="156" w:beforeLines="50" w:after="50"/>
        <w:rPr>
          <w:rFonts w:ascii="宋体" w:hAnsi="宋体"/>
          <w:color w:val="000000" w:themeColor="text1"/>
          <w:sz w:val="24"/>
          <w:szCs w:val="20"/>
          <w14:textFill>
            <w14:solidFill>
              <w14:schemeClr w14:val="tx1"/>
            </w14:solidFill>
          </w14:textFill>
        </w:rPr>
      </w:pPr>
    </w:p>
    <w:p>
      <w:pPr>
        <w:snapToGrid w:val="0"/>
        <w:spacing w:before="156" w:beforeLines="50" w:after="50"/>
        <w:rPr>
          <w:rFonts w:ascii="宋体" w:hAnsi="宋体"/>
          <w:color w:val="000000" w:themeColor="text1"/>
          <w:sz w:val="24"/>
          <w:szCs w:val="20"/>
          <w14:textFill>
            <w14:solidFill>
              <w14:schemeClr w14:val="tx1"/>
            </w14:solidFill>
          </w14:textFill>
        </w:rPr>
      </w:pPr>
    </w:p>
    <w:p>
      <w:pPr>
        <w:snapToGrid w:val="0"/>
        <w:spacing w:before="156" w:beforeLines="50" w:after="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报  价  文  件</w:t>
      </w:r>
    </w:p>
    <w:p>
      <w:pPr>
        <w:snapToGrid w:val="0"/>
        <w:spacing w:before="156" w:beforeLines="50" w:after="50"/>
        <w:rPr>
          <w:rFonts w:ascii="宋体" w:hAnsi="宋体"/>
          <w:bCs/>
          <w:color w:val="000000" w:themeColor="text1"/>
          <w:sz w:val="24"/>
          <w:szCs w:val="20"/>
          <w14:textFill>
            <w14:solidFill>
              <w14:schemeClr w14:val="tx1"/>
            </w14:solidFill>
          </w14:textFill>
        </w:rPr>
      </w:pPr>
    </w:p>
    <w:p>
      <w:pPr>
        <w:snapToGrid w:val="0"/>
        <w:spacing w:before="156" w:beforeLines="50" w:after="50"/>
        <w:rPr>
          <w:rFonts w:ascii="宋体" w:hAnsi="宋体"/>
          <w:bCs/>
          <w:color w:val="000000" w:themeColor="text1"/>
          <w:sz w:val="24"/>
          <w:szCs w:val="20"/>
          <w14:textFill>
            <w14:solidFill>
              <w14:schemeClr w14:val="tx1"/>
            </w14:solidFill>
          </w14:textFill>
        </w:rPr>
      </w:pPr>
    </w:p>
    <w:p>
      <w:pPr>
        <w:snapToGrid w:val="0"/>
        <w:spacing w:before="156" w:beforeLines="50" w:after="50"/>
        <w:rPr>
          <w:rFonts w:ascii="宋体" w:hAnsi="宋体"/>
          <w:bCs/>
          <w:color w:val="000000" w:themeColor="text1"/>
          <w:sz w:val="24"/>
          <w:szCs w:val="20"/>
          <w14:textFill>
            <w14:solidFill>
              <w14:schemeClr w14:val="tx1"/>
            </w14:solidFill>
          </w14:textFill>
        </w:rPr>
      </w:pPr>
    </w:p>
    <w:p>
      <w:pPr>
        <w:snapToGrid w:val="0"/>
        <w:spacing w:before="156" w:beforeLines="50" w:after="50"/>
        <w:rPr>
          <w:rFonts w:ascii="宋体" w:hAnsi="宋体"/>
          <w:bCs/>
          <w:color w:val="000000" w:themeColor="text1"/>
          <w:sz w:val="24"/>
          <w:szCs w:val="20"/>
          <w14:textFill>
            <w14:solidFill>
              <w14:schemeClr w14:val="tx1"/>
            </w14:solidFill>
          </w14:textFill>
        </w:rPr>
      </w:pPr>
    </w:p>
    <w:p>
      <w:pPr>
        <w:snapToGrid w:val="0"/>
        <w:spacing w:before="156" w:beforeLines="50" w:after="50"/>
        <w:rPr>
          <w:rFonts w:ascii="宋体" w:hAnsi="宋体"/>
          <w:bCs/>
          <w:color w:val="000000" w:themeColor="text1"/>
          <w:sz w:val="24"/>
          <w:szCs w:val="20"/>
          <w14:textFill>
            <w14:solidFill>
              <w14:schemeClr w14:val="tx1"/>
            </w14:solidFill>
          </w14:textFill>
        </w:rPr>
      </w:pPr>
    </w:p>
    <w:p>
      <w:pPr>
        <w:snapToGrid w:val="0"/>
        <w:spacing w:before="156" w:beforeLines="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项目名称：</w:t>
      </w:r>
    </w:p>
    <w:p>
      <w:pPr>
        <w:snapToGrid w:val="0"/>
        <w:spacing w:before="156" w:beforeLines="50" w:after="50"/>
        <w:ind w:firstLine="720" w:firstLineChars="225"/>
        <w:rPr>
          <w:rFonts w:ascii="宋体" w:hAnsi="宋体" w:cs="仿宋_GB2312"/>
          <w:bCs/>
          <w:color w:val="000000" w:themeColor="text1"/>
          <w:sz w:val="32"/>
          <w:szCs w:val="32"/>
          <w14:textFill>
            <w14:solidFill>
              <w14:schemeClr w14:val="tx1"/>
            </w14:solidFill>
          </w14:textFill>
        </w:rPr>
      </w:pPr>
    </w:p>
    <w:p>
      <w:pPr>
        <w:pStyle w:val="5"/>
        <w:snapToGrid w:val="0"/>
        <w:spacing w:before="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供应商名称：</w:t>
      </w:r>
    </w:p>
    <w:p>
      <w:pPr>
        <w:pStyle w:val="5"/>
        <w:snapToGrid w:val="0"/>
        <w:spacing w:before="50" w:after="50"/>
        <w:ind w:firstLine="640" w:firstLineChars="200"/>
        <w:rPr>
          <w:rFonts w:ascii="宋体" w:hAnsi="宋体" w:cs="仿宋_GB2312"/>
          <w:bCs/>
          <w:color w:val="000000" w:themeColor="text1"/>
          <w:sz w:val="32"/>
          <w:szCs w:val="32"/>
          <w14:textFill>
            <w14:solidFill>
              <w14:schemeClr w14:val="tx1"/>
            </w14:solidFill>
          </w14:textFill>
        </w:rPr>
      </w:pPr>
    </w:p>
    <w:p>
      <w:pPr>
        <w:pStyle w:val="5"/>
        <w:snapToGrid w:val="0"/>
        <w:spacing w:before="50" w:after="50"/>
        <w:ind w:firstLine="720" w:firstLineChars="225"/>
        <w:rPr>
          <w:rFonts w:ascii="宋体" w:hAnsi="宋体" w:cs="仿宋_GB2312"/>
          <w:bCs/>
          <w:color w:val="000000" w:themeColor="text1"/>
          <w:sz w:val="32"/>
          <w:szCs w:val="32"/>
          <w14:textFill>
            <w14:solidFill>
              <w14:schemeClr w14:val="tx1"/>
            </w14:solidFill>
          </w14:textFill>
        </w:rPr>
      </w:pPr>
    </w:p>
    <w:p>
      <w:pPr>
        <w:pStyle w:val="5"/>
        <w:snapToGrid w:val="0"/>
        <w:spacing w:before="50" w:after="50"/>
        <w:ind w:firstLine="0"/>
        <w:rPr>
          <w:rFonts w:ascii="宋体" w:hAnsi="宋体" w:cs="仿宋_GB2312"/>
          <w:bCs/>
          <w:color w:val="000000" w:themeColor="text1"/>
          <w:sz w:val="32"/>
          <w:szCs w:val="32"/>
          <w14:textFill>
            <w14:solidFill>
              <w14:schemeClr w14:val="tx1"/>
            </w14:solidFill>
          </w14:textFill>
        </w:rPr>
      </w:pPr>
    </w:p>
    <w:p>
      <w:pPr>
        <w:pStyle w:val="5"/>
        <w:snapToGrid w:val="0"/>
        <w:spacing w:before="50" w:after="50"/>
        <w:ind w:firstLine="1280" w:firstLineChars="400"/>
        <w:rPr>
          <w:rFonts w:ascii="宋体" w:hAnsi="宋体" w:cs="仿宋_GB2312"/>
          <w:bCs/>
          <w:color w:val="000000" w:themeColor="text1"/>
          <w:sz w:val="32"/>
          <w:szCs w:val="32"/>
          <w14:textFill>
            <w14:solidFill>
              <w14:schemeClr w14:val="tx1"/>
            </w14:solidFill>
          </w14:textFill>
        </w:rPr>
      </w:pPr>
    </w:p>
    <w:p>
      <w:pPr>
        <w:snapToGrid w:val="0"/>
        <w:spacing w:before="156" w:beforeLines="50" w:after="50"/>
        <w:jc w:val="center"/>
        <w:rPr>
          <w:rFonts w:ascii="宋体" w:hAnsi="宋体" w:cs="仿宋_GB2312"/>
          <w:color w:val="000000" w:themeColor="text1"/>
          <w:sz w:val="32"/>
          <w:szCs w:val="32"/>
          <w14:textFill>
            <w14:solidFill>
              <w14:schemeClr w14:val="tx1"/>
            </w14:solidFill>
          </w14:textFill>
        </w:rPr>
      </w:pPr>
      <w:r>
        <w:rPr>
          <w:rFonts w:hint="eastAsia" w:ascii="宋体" w:hAnsi="宋体" w:cs="仿宋_GB2312"/>
          <w:color w:val="000000" w:themeColor="text1"/>
          <w:sz w:val="32"/>
          <w:szCs w:val="32"/>
          <w14:textFill>
            <w14:solidFill>
              <w14:schemeClr w14:val="tx1"/>
            </w14:solidFill>
          </w14:textFill>
        </w:rPr>
        <w:t>年    月    日</w:t>
      </w:r>
    </w:p>
    <w:p>
      <w:pPr>
        <w:snapToGrid w:val="0"/>
        <w:spacing w:before="156" w:beforeLines="50" w:after="50" w:line="360" w:lineRule="auto"/>
        <w:ind w:left="142"/>
        <w:jc w:val="left"/>
        <w:rPr>
          <w:rFonts w:ascii="宋体" w:hAnsi="宋体"/>
          <w:b/>
          <w:bCs/>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2.报价文件目录</w:t>
      </w:r>
    </w:p>
    <w:p>
      <w:pPr>
        <w:spacing w:line="520" w:lineRule="exact"/>
        <w:jc w:val="center"/>
        <w:rPr>
          <w:rFonts w:ascii="方正小标宋简体" w:hAnsi="方正小标宋简体" w:eastAsia="方正小标宋简体" w:cs="方正小标宋简体"/>
          <w:bCs/>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根据磋商文件规定及供应商提供的材料自行编写目录（部分格式后附）。</w:t>
      </w:r>
      <w:r>
        <w:rPr>
          <w:rFonts w:ascii="宋体" w:hAnsi="宋体"/>
          <w:b/>
          <w:bCs/>
          <w:color w:val="000000" w:themeColor="text1"/>
          <w:sz w:val="32"/>
          <w:szCs w:val="32"/>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竞  标  报  价  表</w:t>
      </w:r>
    </w:p>
    <w:p>
      <w:pPr>
        <w:spacing w:line="440" w:lineRule="exact"/>
        <w:jc w:val="center"/>
        <w:rPr>
          <w:rFonts w:ascii="方正小标宋简体" w:hAnsi="方正小标宋简体" w:eastAsia="方正小标宋简体" w:cs="方正小标宋简体"/>
          <w:bCs/>
          <w:color w:val="000000" w:themeColor="text1"/>
          <w:sz w:val="32"/>
          <w:szCs w:val="32"/>
          <w14:textFill>
            <w14:solidFill>
              <w14:schemeClr w14:val="tx1"/>
            </w14:solidFill>
          </w14:textFill>
        </w:rPr>
      </w:pPr>
    </w:p>
    <w:p>
      <w:pPr>
        <w:spacing w:line="360" w:lineRule="auto"/>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项目名称：</w:t>
      </w:r>
      <w:r>
        <w:rPr>
          <w:rFonts w:ascii="宋体" w:hAnsi="宋体" w:cs="仿宋_GB2312"/>
          <w:color w:val="000000" w:themeColor="text1"/>
          <w:sz w:val="24"/>
          <w14:textFill>
            <w14:solidFill>
              <w14:schemeClr w14:val="tx1"/>
            </w14:solidFill>
          </w14:textFill>
        </w:rPr>
        <w:t xml:space="preserve"> </w:t>
      </w:r>
    </w:p>
    <w:p>
      <w:pPr>
        <w:spacing w:line="360" w:lineRule="auto"/>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供应商名称：</w:t>
      </w:r>
    </w:p>
    <w:p>
      <w:pPr>
        <w:spacing w:line="360" w:lineRule="auto"/>
        <w:contextualSpacing/>
        <w:rPr>
          <w:rFonts w:ascii="宋体" w:hAnsi="宋体" w:cs="仿宋_GB2312"/>
          <w:color w:val="000000" w:themeColor="text1"/>
          <w:sz w:val="24"/>
          <w14:textFill>
            <w14:solidFill>
              <w14:schemeClr w14:val="tx1"/>
            </w14:solidFill>
          </w14:textFill>
        </w:rPr>
      </w:pPr>
    </w:p>
    <w:tbl>
      <w:tblPr>
        <w:tblStyle w:val="22"/>
        <w:tblW w:w="9540" w:type="dxa"/>
        <w:tblInd w:w="94" w:type="dxa"/>
        <w:tblLayout w:type="autofit"/>
        <w:tblCellMar>
          <w:top w:w="0" w:type="dxa"/>
          <w:left w:w="108" w:type="dxa"/>
          <w:bottom w:w="0" w:type="dxa"/>
          <w:right w:w="108" w:type="dxa"/>
        </w:tblCellMar>
      </w:tblPr>
      <w:tblGrid>
        <w:gridCol w:w="1080"/>
        <w:gridCol w:w="2053"/>
        <w:gridCol w:w="1276"/>
        <w:gridCol w:w="1275"/>
        <w:gridCol w:w="616"/>
        <w:gridCol w:w="1080"/>
        <w:gridCol w:w="2160"/>
      </w:tblGrid>
      <w:tr>
        <w:tblPrEx>
          <w:tblCellMar>
            <w:top w:w="0" w:type="dxa"/>
            <w:left w:w="108" w:type="dxa"/>
            <w:bottom w:w="0" w:type="dxa"/>
            <w:right w:w="108" w:type="dxa"/>
          </w:tblCellMar>
        </w:tblPrEx>
        <w:trPr>
          <w:trHeight w:val="330" w:hRule="atLeast"/>
        </w:trPr>
        <w:tc>
          <w:tcPr>
            <w:tcW w:w="1080" w:type="dxa"/>
            <w:tcBorders>
              <w:top w:val="nil"/>
              <w:left w:val="nil"/>
              <w:bottom w:val="single" w:color="auto" w:sz="4" w:space="0"/>
              <w:right w:val="nil"/>
            </w:tcBorders>
            <w:shd w:val="clear" w:color="auto" w:fill="auto"/>
            <w:noWrap/>
            <w:vAlign w:val="center"/>
          </w:tcPr>
          <w:p>
            <w:pPr>
              <w:widowControl/>
              <w:jc w:val="center"/>
              <w:rPr>
                <w:rFonts w:ascii="微软雅黑" w:hAnsi="微软雅黑" w:eastAsia="微软雅黑" w:cs="宋体"/>
                <w:b/>
                <w:bCs/>
                <w:color w:val="000000" w:themeColor="text1"/>
                <w:kern w:val="0"/>
                <w:sz w:val="20"/>
                <w:szCs w:val="20"/>
                <w14:textFill>
                  <w14:solidFill>
                    <w14:schemeClr w14:val="tx1"/>
                  </w14:solidFill>
                </w14:textFill>
              </w:rPr>
            </w:pPr>
          </w:p>
        </w:tc>
        <w:tc>
          <w:tcPr>
            <w:tcW w:w="2053" w:type="dxa"/>
            <w:tcBorders>
              <w:top w:val="nil"/>
              <w:left w:val="nil"/>
              <w:bottom w:val="single" w:color="auto" w:sz="4" w:space="0"/>
              <w:right w:val="nil"/>
            </w:tcBorders>
            <w:shd w:val="clear" w:color="auto" w:fill="auto"/>
            <w:noWrap/>
            <w:vAlign w:val="center"/>
          </w:tcPr>
          <w:p>
            <w:pPr>
              <w:widowControl/>
              <w:jc w:val="center"/>
              <w:rPr>
                <w:rFonts w:ascii="微软雅黑" w:hAnsi="微软雅黑" w:eastAsia="微软雅黑" w:cs="宋体"/>
                <w:b/>
                <w:bCs/>
                <w:color w:val="000000" w:themeColor="text1"/>
                <w:kern w:val="0"/>
                <w:sz w:val="20"/>
                <w:szCs w:val="20"/>
                <w14:textFill>
                  <w14:solidFill>
                    <w14:schemeClr w14:val="tx1"/>
                  </w14:solidFill>
                </w14:textFill>
              </w:rPr>
            </w:pPr>
          </w:p>
        </w:tc>
        <w:tc>
          <w:tcPr>
            <w:tcW w:w="3167" w:type="dxa"/>
            <w:gridSpan w:val="3"/>
            <w:tcBorders>
              <w:top w:val="nil"/>
              <w:left w:val="nil"/>
              <w:bottom w:val="single" w:color="auto" w:sz="4" w:space="0"/>
              <w:right w:val="nil"/>
            </w:tcBorders>
            <w:shd w:val="clear" w:color="auto" w:fill="auto"/>
            <w:noWrap/>
            <w:vAlign w:val="center"/>
          </w:tcPr>
          <w:p>
            <w:pPr>
              <w:widowControl/>
              <w:jc w:val="center"/>
              <w:rPr>
                <w:rFonts w:ascii="微软雅黑" w:hAnsi="微软雅黑" w:eastAsia="微软雅黑" w:cs="宋体"/>
                <w:b/>
                <w:bCs/>
                <w:color w:val="000000" w:themeColor="text1"/>
                <w:kern w:val="0"/>
                <w:sz w:val="20"/>
                <w:szCs w:val="20"/>
                <w14:textFill>
                  <w14:solidFill>
                    <w14:schemeClr w14:val="tx1"/>
                  </w14:solidFill>
                </w14:textFill>
              </w:rPr>
            </w:pPr>
          </w:p>
        </w:tc>
        <w:tc>
          <w:tcPr>
            <w:tcW w:w="1080" w:type="dxa"/>
            <w:tcBorders>
              <w:top w:val="nil"/>
              <w:left w:val="nil"/>
              <w:bottom w:val="single" w:color="auto" w:sz="4" w:space="0"/>
              <w:right w:val="nil"/>
            </w:tcBorders>
            <w:shd w:val="clear" w:color="auto" w:fill="auto"/>
            <w:noWrap/>
            <w:vAlign w:val="center"/>
          </w:tcPr>
          <w:p>
            <w:pPr>
              <w:widowControl/>
              <w:jc w:val="center"/>
              <w:rPr>
                <w:rFonts w:ascii="微软雅黑" w:hAnsi="微软雅黑" w:eastAsia="微软雅黑" w:cs="宋体"/>
                <w:b/>
                <w:bCs/>
                <w:color w:val="000000" w:themeColor="text1"/>
                <w:kern w:val="0"/>
                <w:sz w:val="20"/>
                <w:szCs w:val="20"/>
                <w14:textFill>
                  <w14:solidFill>
                    <w14:schemeClr w14:val="tx1"/>
                  </w14:solidFill>
                </w14:textFill>
              </w:rPr>
            </w:pPr>
          </w:p>
        </w:tc>
        <w:tc>
          <w:tcPr>
            <w:tcW w:w="2160" w:type="dxa"/>
            <w:tcBorders>
              <w:top w:val="nil"/>
              <w:left w:val="nil"/>
              <w:bottom w:val="single" w:color="auto" w:sz="4" w:space="0"/>
              <w:right w:val="nil"/>
            </w:tcBorders>
            <w:shd w:val="clear" w:color="auto" w:fill="auto"/>
            <w:noWrap/>
            <w:vAlign w:val="center"/>
          </w:tcPr>
          <w:p>
            <w:pPr>
              <w:widowControl/>
              <w:jc w:val="center"/>
              <w:rPr>
                <w:rFonts w:ascii="微软雅黑" w:hAnsi="微软雅黑" w:eastAsia="微软雅黑" w:cs="宋体"/>
                <w:b/>
                <w:bCs/>
                <w:color w:val="000000" w:themeColor="text1"/>
                <w:kern w:val="0"/>
                <w:sz w:val="20"/>
                <w:szCs w:val="20"/>
                <w14:textFill>
                  <w14:solidFill>
                    <w14:schemeClr w14:val="tx1"/>
                  </w14:solidFill>
                </w14:textFill>
              </w:rPr>
            </w:pPr>
            <w:r>
              <w:rPr>
                <w:rFonts w:hint="eastAsia" w:ascii="微软雅黑" w:hAnsi="微软雅黑" w:eastAsia="微软雅黑" w:cs="宋体"/>
                <w:b/>
                <w:bCs/>
                <w:color w:val="000000" w:themeColor="text1"/>
                <w:kern w:val="0"/>
                <w:sz w:val="20"/>
                <w:szCs w:val="20"/>
                <w14:textFill>
                  <w14:solidFill>
                    <w14:schemeClr w14:val="tx1"/>
                  </w14:solidFill>
                </w14:textFill>
              </w:rPr>
              <w:t>单位：元</w:t>
            </w:r>
          </w:p>
        </w:tc>
      </w:tr>
      <w:tr>
        <w:tblPrEx>
          <w:tblCellMar>
            <w:top w:w="0" w:type="dxa"/>
            <w:left w:w="108" w:type="dxa"/>
            <w:bottom w:w="0" w:type="dxa"/>
            <w:right w:w="108" w:type="dxa"/>
          </w:tblCellMar>
        </w:tblPrEx>
        <w:trPr>
          <w:trHeight w:val="932"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ascii="微软雅黑" w:hAnsi="微软雅黑" w:eastAsia="微软雅黑" w:cs="宋体"/>
                <w:color w:val="000000" w:themeColor="text1"/>
                <w:kern w:val="0"/>
                <w:sz w:val="18"/>
                <w:szCs w:val="18"/>
                <w14:textFill>
                  <w14:solidFill>
                    <w14:schemeClr w14:val="tx1"/>
                  </w14:solidFill>
                </w14:textFill>
              </w:rPr>
              <w:t>序号</w:t>
            </w:r>
          </w:p>
        </w:tc>
        <w:tc>
          <w:tcPr>
            <w:tcW w:w="20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ascii="微软雅黑" w:hAnsi="微软雅黑" w:eastAsia="微软雅黑" w:cs="宋体"/>
                <w:color w:val="000000" w:themeColor="text1"/>
                <w:kern w:val="0"/>
                <w:sz w:val="18"/>
                <w:szCs w:val="18"/>
                <w14:textFill>
                  <w14:solidFill>
                    <w14:schemeClr w14:val="tx1"/>
                  </w14:solidFill>
                </w14:textFill>
              </w:rPr>
              <w:t>搬运车型</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themeColor="text1"/>
                <w:kern w:val="0"/>
                <w:sz w:val="18"/>
                <w:szCs w:val="18"/>
                <w14:textFill>
                  <w14:solidFill>
                    <w14:schemeClr w14:val="tx1"/>
                  </w14:solidFill>
                </w14:textFill>
              </w:rPr>
            </w:pPr>
            <w:r>
              <w:rPr>
                <w:rFonts w:ascii="微软雅黑" w:hAnsi="微软雅黑" w:eastAsia="微软雅黑" w:cs="宋体"/>
                <w:color w:val="000000" w:themeColor="text1"/>
                <w:kern w:val="0"/>
                <w:sz w:val="18"/>
                <w:szCs w:val="18"/>
                <w14:textFill>
                  <w14:solidFill>
                    <w14:schemeClr w14:val="tx1"/>
                  </w14:solidFill>
                </w14:textFill>
              </w:rPr>
              <w:t>车次</w:t>
            </w:r>
            <w:r>
              <w:rPr>
                <w:rFonts w:hint="eastAsia" w:ascii="微软雅黑" w:hAnsi="微软雅黑" w:eastAsia="微软雅黑" w:cs="宋体"/>
                <w:color w:val="000000" w:themeColor="text1"/>
                <w:kern w:val="0"/>
                <w:sz w:val="18"/>
                <w:szCs w:val="18"/>
                <w14:textFill>
                  <w14:solidFill>
                    <w14:schemeClr w14:val="tx1"/>
                  </w14:solidFill>
                </w14:textFill>
              </w:rPr>
              <w:t>①</w:t>
            </w:r>
          </w:p>
        </w:tc>
        <w:tc>
          <w:tcPr>
            <w:tcW w:w="1275"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themeColor="text1"/>
                <w:kern w:val="0"/>
                <w:sz w:val="18"/>
                <w:szCs w:val="18"/>
                <w14:textFill>
                  <w14:solidFill>
                    <w14:schemeClr w14:val="tx1"/>
                  </w14:solidFill>
                </w14:textFill>
              </w:rPr>
            </w:pPr>
            <w:r>
              <w:rPr>
                <w:rFonts w:ascii="微软雅黑" w:hAnsi="微软雅黑" w:eastAsia="微软雅黑" w:cs="宋体"/>
                <w:color w:val="000000" w:themeColor="text1"/>
                <w:kern w:val="0"/>
                <w:sz w:val="18"/>
                <w:szCs w:val="18"/>
                <w14:textFill>
                  <w14:solidFill>
                    <w14:schemeClr w14:val="tx1"/>
                  </w14:solidFill>
                </w14:textFill>
              </w:rPr>
              <w:t>单价</w:t>
            </w:r>
            <w:r>
              <w:rPr>
                <w:rFonts w:hint="eastAsia" w:ascii="微软雅黑" w:hAnsi="微软雅黑" w:eastAsia="微软雅黑" w:cs="宋体"/>
                <w:color w:val="000000" w:themeColor="text1"/>
                <w:kern w:val="0"/>
                <w:sz w:val="18"/>
                <w:szCs w:val="18"/>
                <w14:textFill>
                  <w14:solidFill>
                    <w14:schemeClr w14:val="tx1"/>
                  </w14:solidFill>
                </w14:textFill>
              </w:rPr>
              <w:t>②</w:t>
            </w:r>
          </w:p>
        </w:tc>
        <w:tc>
          <w:tcPr>
            <w:tcW w:w="169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themeColor="text1"/>
                <w:kern w:val="0"/>
                <w:sz w:val="18"/>
                <w:szCs w:val="18"/>
                <w14:textFill>
                  <w14:solidFill>
                    <w14:schemeClr w14:val="tx1"/>
                  </w14:solidFill>
                </w14:textFill>
              </w:rPr>
            </w:pPr>
            <w:r>
              <w:rPr>
                <w:rFonts w:ascii="微软雅黑" w:hAnsi="微软雅黑" w:eastAsia="微软雅黑" w:cs="宋体"/>
                <w:color w:val="000000" w:themeColor="text1"/>
                <w:kern w:val="0"/>
                <w:sz w:val="18"/>
                <w:szCs w:val="18"/>
                <w14:textFill>
                  <w14:solidFill>
                    <w14:schemeClr w14:val="tx1"/>
                  </w14:solidFill>
                </w14:textFill>
              </w:rPr>
              <w:t>金额</w:t>
            </w:r>
            <w:r>
              <w:rPr>
                <w:rFonts w:hint="eastAsia" w:ascii="微软雅黑" w:hAnsi="微软雅黑" w:eastAsia="微软雅黑" w:cs="宋体"/>
                <w:color w:val="000000" w:themeColor="text1"/>
                <w:kern w:val="0"/>
                <w:sz w:val="18"/>
                <w:szCs w:val="18"/>
                <w14:textFill>
                  <w14:solidFill>
                    <w14:schemeClr w14:val="tx1"/>
                  </w14:solidFill>
                </w14:textFill>
              </w:rPr>
              <w:t>③=①</w:t>
            </w:r>
            <w:r>
              <w:rPr>
                <w:rFonts w:ascii="微软雅黑" w:hAnsi="微软雅黑" w:eastAsia="微软雅黑" w:cs="宋体"/>
                <w:color w:val="000000" w:themeColor="text1"/>
                <w:kern w:val="0"/>
                <w:sz w:val="18"/>
                <w:szCs w:val="18"/>
                <w14:textFill>
                  <w14:solidFill>
                    <w14:schemeClr w14:val="tx1"/>
                  </w14:solidFill>
                </w14:textFill>
              </w:rPr>
              <w:t>X</w:t>
            </w:r>
            <w:r>
              <w:rPr>
                <w:rFonts w:hint="eastAsia" w:ascii="微软雅黑" w:hAnsi="微软雅黑" w:eastAsia="微软雅黑" w:cs="宋体"/>
                <w:color w:val="000000" w:themeColor="text1"/>
                <w:kern w:val="0"/>
                <w:sz w:val="18"/>
                <w:szCs w:val="18"/>
                <w14:textFill>
                  <w14:solidFill>
                    <w14:schemeClr w14:val="tx1"/>
                  </w14:solidFill>
                </w14:textFill>
              </w:rPr>
              <w:t>②</w:t>
            </w:r>
          </w:p>
        </w:tc>
        <w:tc>
          <w:tcPr>
            <w:tcW w:w="2160"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宋体"/>
                <w:color w:val="000000" w:themeColor="text1"/>
                <w:kern w:val="0"/>
                <w:sz w:val="18"/>
                <w:szCs w:val="18"/>
                <w14:textFill>
                  <w14:solidFill>
                    <w14:schemeClr w14:val="tx1"/>
                  </w14:solidFill>
                </w14:textFill>
              </w:rPr>
            </w:pPr>
            <w:r>
              <w:rPr>
                <w:rFonts w:ascii="微软雅黑" w:hAnsi="微软雅黑" w:eastAsia="微软雅黑" w:cs="宋体"/>
                <w:color w:val="000000" w:themeColor="text1"/>
                <w:kern w:val="0"/>
                <w:sz w:val="18"/>
                <w:szCs w:val="18"/>
                <w14:textFill>
                  <w14:solidFill>
                    <w14:schemeClr w14:val="tx1"/>
                  </w14:solidFill>
                </w14:textFill>
              </w:rPr>
              <w:t>备注说明</w:t>
            </w: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s="宋体"/>
                <w:color w:val="000000"/>
                <w:sz w:val="18"/>
                <w:szCs w:val="18"/>
              </w:rPr>
            </w:pPr>
            <w:r>
              <w:rPr>
                <w:rFonts w:hint="eastAsia" w:ascii="微软雅黑" w:hAnsi="微软雅黑" w:eastAsia="微软雅黑"/>
                <w:color w:val="000000"/>
                <w:sz w:val="18"/>
                <w:szCs w:val="18"/>
              </w:rPr>
              <w:t>1</w:t>
            </w:r>
          </w:p>
        </w:tc>
        <w:tc>
          <w:tcPr>
            <w:tcW w:w="2053" w:type="dxa"/>
            <w:tcBorders>
              <w:top w:val="single" w:color="auto" w:sz="4" w:space="0"/>
              <w:left w:val="nil"/>
              <w:bottom w:val="single" w:color="auto" w:sz="4" w:space="0"/>
              <w:right w:val="single" w:color="auto" w:sz="4" w:space="0"/>
            </w:tcBorders>
            <w:shd w:val="clear" w:color="auto" w:fill="auto"/>
            <w:vAlign w:val="center"/>
          </w:tcPr>
          <w:p>
            <w:pP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中型货车（车厢长≥4.2米，高≥2.5米，宽≥2米的高栏或厢式货车）</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宋体"/>
                <w:color w:val="000000"/>
                <w:sz w:val="18"/>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宋体"/>
                <w:color w:val="000000"/>
                <w:sz w:val="18"/>
                <w:szCs w:val="18"/>
              </w:rPr>
            </w:pPr>
          </w:p>
        </w:tc>
        <w:tc>
          <w:tcPr>
            <w:tcW w:w="1696"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宋体"/>
                <w:color w:val="000000"/>
                <w:sz w:val="18"/>
                <w:szCs w:val="18"/>
              </w:rPr>
            </w:pPr>
          </w:p>
        </w:tc>
        <w:tc>
          <w:tcPr>
            <w:tcW w:w="21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宋体"/>
                <w:color w:val="000000"/>
                <w:sz w:val="18"/>
                <w:szCs w:val="18"/>
              </w:rPr>
            </w:pPr>
          </w:p>
        </w:tc>
      </w:tr>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s="宋体"/>
                <w:color w:val="000000"/>
                <w:sz w:val="18"/>
                <w:szCs w:val="18"/>
              </w:rPr>
            </w:pPr>
            <w:r>
              <w:rPr>
                <w:rFonts w:hint="eastAsia" w:ascii="微软雅黑" w:hAnsi="微软雅黑" w:eastAsia="微软雅黑"/>
                <w:color w:val="000000"/>
                <w:sz w:val="18"/>
                <w:szCs w:val="18"/>
              </w:rPr>
              <w:t>2</w:t>
            </w:r>
          </w:p>
        </w:tc>
        <w:tc>
          <w:tcPr>
            <w:tcW w:w="2053" w:type="dxa"/>
            <w:tcBorders>
              <w:top w:val="single" w:color="auto" w:sz="4" w:space="0"/>
              <w:left w:val="nil"/>
              <w:bottom w:val="single" w:color="auto" w:sz="4" w:space="0"/>
              <w:right w:val="single" w:color="auto" w:sz="4" w:space="0"/>
            </w:tcBorders>
            <w:shd w:val="clear" w:color="auto" w:fill="auto"/>
            <w:vAlign w:val="center"/>
          </w:tcPr>
          <w:p>
            <w:pP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大型货车（厢长≥9.6米，高≥3米，宽≥2.5米的高栏或厢式货车）</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宋体"/>
                <w:color w:val="000000"/>
                <w:sz w:val="18"/>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宋体"/>
                <w:color w:val="000000"/>
                <w:sz w:val="18"/>
                <w:szCs w:val="18"/>
              </w:rPr>
            </w:pPr>
          </w:p>
        </w:tc>
        <w:tc>
          <w:tcPr>
            <w:tcW w:w="1696"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宋体"/>
                <w:color w:val="000000"/>
                <w:sz w:val="18"/>
                <w:szCs w:val="18"/>
              </w:rPr>
            </w:pPr>
          </w:p>
        </w:tc>
        <w:tc>
          <w:tcPr>
            <w:tcW w:w="21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宋体"/>
                <w:color w:val="000000"/>
                <w:sz w:val="18"/>
                <w:szCs w:val="18"/>
              </w:rPr>
            </w:pPr>
          </w:p>
        </w:tc>
      </w:tr>
      <w:tr>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s="宋体"/>
                <w:color w:val="000000"/>
                <w:sz w:val="18"/>
                <w:szCs w:val="18"/>
              </w:rPr>
            </w:pPr>
            <w:r>
              <w:rPr>
                <w:rFonts w:hint="eastAsia" w:ascii="微软雅黑" w:hAnsi="微软雅黑" w:eastAsia="微软雅黑"/>
                <w:color w:val="000000"/>
                <w:sz w:val="18"/>
                <w:szCs w:val="18"/>
              </w:rPr>
              <w:t>3</w:t>
            </w:r>
          </w:p>
        </w:tc>
        <w:tc>
          <w:tcPr>
            <w:tcW w:w="2053" w:type="dxa"/>
            <w:tcBorders>
              <w:top w:val="single" w:color="auto" w:sz="4" w:space="0"/>
              <w:left w:val="nil"/>
              <w:bottom w:val="single" w:color="auto" w:sz="4" w:space="0"/>
              <w:right w:val="single" w:color="auto" w:sz="4" w:space="0"/>
            </w:tcBorders>
            <w:shd w:val="clear" w:color="auto" w:fill="auto"/>
            <w:vAlign w:val="center"/>
          </w:tcPr>
          <w:p>
            <w:pPr>
              <w:rPr>
                <w:rFonts w:ascii="微软雅黑" w:hAnsi="微软雅黑" w:eastAsia="微软雅黑" w:cs="宋体"/>
                <w:color w:val="000000"/>
                <w:sz w:val="18"/>
                <w:szCs w:val="18"/>
              </w:rPr>
            </w:pPr>
            <w:r>
              <w:rPr>
                <w:rFonts w:ascii="微软雅黑" w:hAnsi="微软雅黑" w:eastAsia="微软雅黑" w:cs="宋体"/>
                <w:color w:val="000000"/>
                <w:sz w:val="18"/>
                <w:szCs w:val="18"/>
              </w:rPr>
              <w:t>…</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宋体"/>
                <w:color w:val="000000"/>
                <w:sz w:val="18"/>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宋体"/>
                <w:color w:val="000000"/>
                <w:sz w:val="18"/>
                <w:szCs w:val="18"/>
              </w:rPr>
            </w:pPr>
          </w:p>
        </w:tc>
        <w:tc>
          <w:tcPr>
            <w:tcW w:w="1696"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宋体"/>
                <w:color w:val="000000"/>
                <w:sz w:val="18"/>
                <w:szCs w:val="18"/>
              </w:rPr>
            </w:pPr>
          </w:p>
        </w:tc>
        <w:tc>
          <w:tcPr>
            <w:tcW w:w="21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宋体"/>
                <w:color w:val="000000"/>
                <w:sz w:val="18"/>
                <w:szCs w:val="18"/>
              </w:rPr>
            </w:pPr>
          </w:p>
        </w:tc>
      </w:tr>
      <w:tr>
        <w:tblPrEx>
          <w:tblCellMar>
            <w:top w:w="0" w:type="dxa"/>
            <w:left w:w="108" w:type="dxa"/>
            <w:bottom w:w="0" w:type="dxa"/>
            <w:right w:w="108" w:type="dxa"/>
          </w:tblCellMar>
        </w:tblPrEx>
        <w:trPr>
          <w:trHeight w:val="270" w:hRule="atLeast"/>
        </w:trPr>
        <w:tc>
          <w:tcPr>
            <w:tcW w:w="31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总计</w:t>
            </w:r>
            <w:r>
              <w:rPr>
                <w:rFonts w:ascii="宋体" w:hAnsi="宋体" w:cs="宋体"/>
                <w:color w:val="000000" w:themeColor="text1"/>
                <w:kern w:val="0"/>
                <w:sz w:val="22"/>
                <w:szCs w:val="22"/>
                <w14:textFill>
                  <w14:solidFill>
                    <w14:schemeClr w14:val="tx1"/>
                  </w14:solidFill>
                </w14:textFill>
              </w:rPr>
              <w:t>金额</w:t>
            </w:r>
          </w:p>
        </w:tc>
        <w:tc>
          <w:tcPr>
            <w:tcW w:w="640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bl>
    <w:p>
      <w:pPr>
        <w:spacing w:line="360" w:lineRule="auto"/>
        <w:contextualSpacing/>
        <w:jc w:val="left"/>
        <w:rPr>
          <w:rFonts w:ascii="宋体" w:hAnsi="宋体" w:cs="仿宋_GB2312"/>
          <w:color w:val="000000" w:themeColor="text1"/>
          <w:sz w:val="24"/>
          <w14:textFill>
            <w14:solidFill>
              <w14:schemeClr w14:val="tx1"/>
            </w14:solidFill>
          </w14:textFill>
        </w:rPr>
      </w:pPr>
    </w:p>
    <w:p>
      <w:pPr>
        <w:spacing w:line="360" w:lineRule="auto"/>
        <w:contextualSpacing/>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注: </w:t>
      </w:r>
      <w:r>
        <w:rPr>
          <w:rFonts w:ascii="宋体" w:hAnsi="宋体" w:cs="仿宋_GB2312"/>
          <w:b/>
          <w:color w:val="000000" w:themeColor="text1"/>
          <w:sz w:val="24"/>
          <w14:textFill>
            <w14:solidFill>
              <w14:schemeClr w14:val="tx1"/>
            </w14:solidFill>
          </w14:textFill>
        </w:rPr>
        <w:t>“</w:t>
      </w:r>
      <w:r>
        <w:rPr>
          <w:rFonts w:hint="eastAsia" w:ascii="微软雅黑" w:hAnsi="微软雅黑" w:eastAsia="微软雅黑"/>
          <w:b/>
          <w:color w:val="000000"/>
          <w:sz w:val="18"/>
          <w:szCs w:val="18"/>
        </w:rPr>
        <w:t>/</w:t>
      </w:r>
      <w:r>
        <w:rPr>
          <w:rFonts w:ascii="宋体" w:hAnsi="宋体" w:cs="仿宋_GB2312"/>
          <w:b/>
          <w:color w:val="000000" w:themeColor="text1"/>
          <w:sz w:val="24"/>
          <w14:textFill>
            <w14:solidFill>
              <w14:schemeClr w14:val="tx1"/>
            </w14:solidFill>
          </w14:textFill>
        </w:rPr>
        <w:t>”</w:t>
      </w:r>
      <w:r>
        <w:rPr>
          <w:rFonts w:hint="eastAsia" w:ascii="宋体" w:hAnsi="宋体" w:cs="仿宋_GB2312"/>
          <w:b/>
          <w:color w:val="000000" w:themeColor="text1"/>
          <w:sz w:val="24"/>
          <w14:textFill>
            <w14:solidFill>
              <w14:schemeClr w14:val="tx1"/>
            </w14:solidFill>
          </w14:textFill>
        </w:rPr>
        <w:t>表示该项不用报价。</w:t>
      </w:r>
    </w:p>
    <w:p>
      <w:pPr>
        <w:spacing w:line="360" w:lineRule="auto"/>
        <w:ind w:firstLine="480" w:firstLineChars="200"/>
        <w:contextualSpacing/>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 供应商的报价表必须加盖供应商签章并由法定代表人或者委托代理人签字，</w:t>
      </w:r>
      <w:r>
        <w:rPr>
          <w:rFonts w:hint="eastAsia" w:ascii="宋体" w:hAnsi="宋体" w:cs="仿宋_GB2312"/>
          <w:b/>
          <w:color w:val="000000" w:themeColor="text1"/>
          <w:sz w:val="24"/>
          <w14:textFill>
            <w14:solidFill>
              <w14:schemeClr w14:val="tx1"/>
            </w14:solidFill>
          </w14:textFill>
        </w:rPr>
        <w:t>否则其响应文件按无效处理</w:t>
      </w:r>
      <w:r>
        <w:rPr>
          <w:rFonts w:hint="eastAsia" w:ascii="宋体" w:hAnsi="宋体" w:cs="仿宋_GB2312"/>
          <w:color w:val="000000" w:themeColor="text1"/>
          <w:sz w:val="24"/>
          <w14:textFill>
            <w14:solidFill>
              <w14:schemeClr w14:val="tx1"/>
            </w14:solidFill>
          </w14:textFill>
        </w:rPr>
        <w:t>。</w:t>
      </w:r>
    </w:p>
    <w:p>
      <w:pPr>
        <w:spacing w:line="360" w:lineRule="auto"/>
        <w:ind w:firstLine="480" w:firstLineChars="200"/>
        <w:contextualSpacing/>
        <w:jc w:val="left"/>
        <w:rPr>
          <w:rFonts w:ascii="宋体" w:hAnsi="宋体" w:cs="仿宋_GB2312"/>
          <w:b/>
          <w:color w:val="000000" w:themeColor="text1"/>
          <w:sz w:val="24"/>
          <w14:textFill>
            <w14:solidFill>
              <w14:schemeClr w14:val="tx1"/>
            </w14:solidFill>
          </w14:textFill>
        </w:rPr>
      </w:pPr>
      <w:r>
        <w:rPr>
          <w:rFonts w:hint="eastAsia" w:ascii="宋体" w:hAnsi="宋体" w:cs="仿宋_GB2312"/>
          <w:bCs/>
          <w:color w:val="000000" w:themeColor="text1"/>
          <w:sz w:val="24"/>
          <w14:textFill>
            <w14:solidFill>
              <w14:schemeClr w14:val="tx1"/>
            </w14:solidFill>
          </w14:textFill>
        </w:rPr>
        <w:t>2.</w:t>
      </w:r>
      <w:r>
        <w:rPr>
          <w:rFonts w:hint="eastAsia" w:ascii="宋体" w:hAnsi="宋体" w:cs="仿宋_GB2312"/>
          <w:color w:val="000000" w:themeColor="text1"/>
          <w:sz w:val="24"/>
          <w14:textFill>
            <w14:solidFill>
              <w14:schemeClr w14:val="tx1"/>
            </w14:solidFill>
          </w14:textFill>
        </w:rPr>
        <w:t xml:space="preserve"> 报价一经涂改，应在涂改处加盖供应商公章或者由法定代表人或者授权委托人签字</w:t>
      </w:r>
      <w:r>
        <w:rPr>
          <w:rFonts w:hint="eastAsia" w:ascii="宋体" w:hAnsi="宋体" w:cs="仿宋_GB2312"/>
          <w:b/>
          <w:color w:val="000000" w:themeColor="text1"/>
          <w:sz w:val="24"/>
          <w14:textFill>
            <w14:solidFill>
              <w14:schemeClr w14:val="tx1"/>
            </w14:solidFill>
          </w14:textFill>
        </w:rPr>
        <w:t>，否则其响应文件按无效处理。</w:t>
      </w:r>
    </w:p>
    <w:p>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p>
    <w:p>
      <w:pPr>
        <w:spacing w:line="360" w:lineRule="auto"/>
        <w:ind w:right="-817" w:rightChars="-389"/>
        <w:contextualSpacing/>
        <w:rPr>
          <w:rFonts w:ascii="宋体" w:hAnsi="宋体" w:cs="仿宋_GB2312"/>
          <w:color w:val="000000" w:themeColor="text1"/>
          <w:sz w:val="24"/>
          <w14:textFill>
            <w14:solidFill>
              <w14:schemeClr w14:val="tx1"/>
            </w14:solidFill>
          </w14:textFill>
        </w:rPr>
      </w:pPr>
    </w:p>
    <w:p>
      <w:pPr>
        <w:spacing w:line="360" w:lineRule="auto"/>
        <w:ind w:right="-817" w:rightChars="-389" w:firstLine="2640" w:firstLineChars="11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法定代表人或者委托代理人（签字）：                    </w:t>
      </w:r>
    </w:p>
    <w:p>
      <w:pPr>
        <w:spacing w:line="360" w:lineRule="auto"/>
        <w:ind w:right="-817" w:rightChars="-389" w:firstLine="2640" w:firstLineChars="11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供应商：      </w:t>
      </w:r>
    </w:p>
    <w:p>
      <w:pPr>
        <w:spacing w:line="360" w:lineRule="auto"/>
        <w:ind w:right="-817" w:rightChars="-389" w:firstLine="4080" w:firstLineChars="1700"/>
        <w:contextualSpacing/>
        <w:rPr>
          <w:rFonts w:ascii="宋体" w:hAnsi="宋体" w:cs="仿宋_GB2312"/>
          <w:b/>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   年   月   日</w:t>
      </w:r>
    </w:p>
    <w:p>
      <w:pPr>
        <w:spacing w:line="360" w:lineRule="auto"/>
        <w:ind w:right="420"/>
        <w:contextualSpacing/>
        <w:jc w:val="left"/>
        <w:rPr>
          <w:rFonts w:ascii="宋体" w:hAnsi="宋体"/>
          <w:b/>
          <w:color w:val="000000" w:themeColor="text1"/>
          <w:sz w:val="32"/>
          <w:szCs w:val="32"/>
          <w14:textFill>
            <w14:solidFill>
              <w14:schemeClr w14:val="tx1"/>
            </w14:solidFill>
          </w14:textFill>
        </w:rPr>
      </w:pPr>
      <w:r>
        <w:rPr>
          <w:rFonts w:ascii="宋体" w:hAnsi="宋体"/>
          <w:b/>
          <w:bCs/>
          <w:color w:val="000000" w:themeColor="text1"/>
          <w:sz w:val="32"/>
          <w:szCs w:val="32"/>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三、</w:t>
      </w:r>
      <w:r>
        <w:rPr>
          <w:rFonts w:hint="eastAsia" w:ascii="宋体" w:hAnsi="宋体"/>
          <w:b/>
          <w:color w:val="000000" w:themeColor="text1"/>
          <w:sz w:val="32"/>
          <w:szCs w:val="32"/>
          <w14:textFill>
            <w14:solidFill>
              <w14:schemeClr w14:val="tx1"/>
            </w14:solidFill>
          </w14:textFill>
        </w:rPr>
        <w:t xml:space="preserve">商务技术文件格式 </w:t>
      </w:r>
    </w:p>
    <w:p>
      <w:pPr>
        <w:snapToGrid w:val="0"/>
        <w:spacing w:before="156" w:beforeLines="50" w:after="50" w:line="360" w:lineRule="auto"/>
        <w:jc w:val="left"/>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1.商务技术文件封面格式</w:t>
      </w:r>
    </w:p>
    <w:p>
      <w:pPr>
        <w:snapToGrid w:val="0"/>
        <w:spacing w:before="156" w:beforeLines="50" w:after="50"/>
        <w:rPr>
          <w:rFonts w:ascii="宋体" w:hAnsi="宋体"/>
          <w:bCs/>
          <w:color w:val="000000" w:themeColor="text1"/>
          <w:sz w:val="32"/>
          <w:szCs w:val="20"/>
          <w14:textFill>
            <w14:solidFill>
              <w14:schemeClr w14:val="tx1"/>
            </w14:solidFill>
          </w14:textFill>
        </w:rPr>
      </w:pPr>
    </w:p>
    <w:p>
      <w:pPr>
        <w:snapToGrid w:val="0"/>
        <w:spacing w:before="156" w:beforeLines="50" w:after="50"/>
        <w:rPr>
          <w:rFonts w:ascii="宋体" w:hAnsi="宋体"/>
          <w:color w:val="000000" w:themeColor="text1"/>
          <w:sz w:val="24"/>
          <w:szCs w:val="20"/>
          <w14:textFill>
            <w14:solidFill>
              <w14:schemeClr w14:val="tx1"/>
            </w14:solidFill>
          </w14:textFill>
        </w:rPr>
      </w:pPr>
    </w:p>
    <w:p>
      <w:pPr>
        <w:snapToGrid w:val="0"/>
        <w:spacing w:before="156" w:beforeLines="50" w:after="50"/>
        <w:rPr>
          <w:rFonts w:ascii="宋体" w:hAnsi="宋体"/>
          <w:color w:val="000000" w:themeColor="text1"/>
          <w:sz w:val="24"/>
          <w:szCs w:val="20"/>
          <w14:textFill>
            <w14:solidFill>
              <w14:schemeClr w14:val="tx1"/>
            </w14:solidFill>
          </w14:textFill>
        </w:rPr>
      </w:pPr>
    </w:p>
    <w:p>
      <w:pPr>
        <w:snapToGrid w:val="0"/>
        <w:spacing w:before="156" w:beforeLines="50" w:after="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商  务  技  术  文  件</w:t>
      </w:r>
    </w:p>
    <w:p>
      <w:pPr>
        <w:snapToGrid w:val="0"/>
        <w:spacing w:before="156" w:beforeLines="50" w:after="50"/>
        <w:rPr>
          <w:rFonts w:ascii="宋体" w:hAnsi="宋体"/>
          <w:bCs/>
          <w:color w:val="000000" w:themeColor="text1"/>
          <w:sz w:val="24"/>
          <w:szCs w:val="20"/>
          <w14:textFill>
            <w14:solidFill>
              <w14:schemeClr w14:val="tx1"/>
            </w14:solidFill>
          </w14:textFill>
        </w:rPr>
      </w:pPr>
    </w:p>
    <w:p>
      <w:pPr>
        <w:snapToGrid w:val="0"/>
        <w:spacing w:before="156" w:beforeLines="50" w:after="50"/>
        <w:rPr>
          <w:rFonts w:ascii="宋体" w:hAnsi="宋体"/>
          <w:bCs/>
          <w:color w:val="000000" w:themeColor="text1"/>
          <w:sz w:val="24"/>
          <w:szCs w:val="20"/>
          <w14:textFill>
            <w14:solidFill>
              <w14:schemeClr w14:val="tx1"/>
            </w14:solidFill>
          </w14:textFill>
        </w:rPr>
      </w:pPr>
    </w:p>
    <w:p>
      <w:pPr>
        <w:snapToGrid w:val="0"/>
        <w:spacing w:before="156" w:beforeLines="50" w:after="50"/>
        <w:rPr>
          <w:rFonts w:ascii="宋体" w:hAnsi="宋体"/>
          <w:bCs/>
          <w:color w:val="000000" w:themeColor="text1"/>
          <w:sz w:val="24"/>
          <w:szCs w:val="20"/>
          <w14:textFill>
            <w14:solidFill>
              <w14:schemeClr w14:val="tx1"/>
            </w14:solidFill>
          </w14:textFill>
        </w:rPr>
      </w:pPr>
    </w:p>
    <w:p>
      <w:pPr>
        <w:snapToGrid w:val="0"/>
        <w:spacing w:before="156" w:beforeLines="50" w:after="50"/>
        <w:rPr>
          <w:rFonts w:ascii="宋体" w:hAnsi="宋体"/>
          <w:bCs/>
          <w:color w:val="000000" w:themeColor="text1"/>
          <w:sz w:val="24"/>
          <w:szCs w:val="20"/>
          <w14:textFill>
            <w14:solidFill>
              <w14:schemeClr w14:val="tx1"/>
            </w14:solidFill>
          </w14:textFill>
        </w:rPr>
      </w:pPr>
    </w:p>
    <w:p>
      <w:pPr>
        <w:snapToGrid w:val="0"/>
        <w:spacing w:before="156" w:beforeLines="50" w:after="50"/>
        <w:rPr>
          <w:rFonts w:ascii="宋体" w:hAnsi="宋体"/>
          <w:bCs/>
          <w:color w:val="000000" w:themeColor="text1"/>
          <w:sz w:val="24"/>
          <w:szCs w:val="20"/>
          <w14:textFill>
            <w14:solidFill>
              <w14:schemeClr w14:val="tx1"/>
            </w14:solidFill>
          </w14:textFill>
        </w:rPr>
      </w:pPr>
    </w:p>
    <w:p>
      <w:pPr>
        <w:snapToGrid w:val="0"/>
        <w:spacing w:before="156" w:beforeLines="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项目名称：</w:t>
      </w:r>
    </w:p>
    <w:p>
      <w:pPr>
        <w:snapToGrid w:val="0"/>
        <w:spacing w:before="156" w:beforeLines="50" w:after="50"/>
        <w:ind w:firstLine="720" w:firstLineChars="225"/>
        <w:rPr>
          <w:rFonts w:ascii="宋体" w:hAnsi="宋体" w:cs="仿宋_GB2312"/>
          <w:bCs/>
          <w:color w:val="000000" w:themeColor="text1"/>
          <w:sz w:val="32"/>
          <w:szCs w:val="32"/>
          <w14:textFill>
            <w14:solidFill>
              <w14:schemeClr w14:val="tx1"/>
            </w14:solidFill>
          </w14:textFill>
        </w:rPr>
      </w:pPr>
    </w:p>
    <w:p>
      <w:pPr>
        <w:snapToGrid w:val="0"/>
        <w:spacing w:before="156" w:beforeLines="50" w:after="50"/>
        <w:ind w:firstLine="720" w:firstLineChars="225"/>
        <w:rPr>
          <w:rFonts w:ascii="宋体" w:hAnsi="宋体" w:cs="仿宋_GB2312"/>
          <w:bCs/>
          <w:color w:val="000000" w:themeColor="text1"/>
          <w:sz w:val="32"/>
          <w:szCs w:val="32"/>
          <w14:textFill>
            <w14:solidFill>
              <w14:schemeClr w14:val="tx1"/>
            </w14:solidFill>
          </w14:textFill>
        </w:rPr>
      </w:pPr>
    </w:p>
    <w:p>
      <w:pPr>
        <w:pStyle w:val="5"/>
        <w:snapToGrid w:val="0"/>
        <w:spacing w:before="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供应商名称：</w:t>
      </w:r>
    </w:p>
    <w:p>
      <w:pPr>
        <w:pStyle w:val="5"/>
        <w:snapToGrid w:val="0"/>
        <w:spacing w:before="50" w:after="50"/>
        <w:ind w:firstLine="640" w:firstLineChars="200"/>
        <w:rPr>
          <w:rFonts w:ascii="宋体" w:hAnsi="宋体" w:cs="仿宋_GB2312"/>
          <w:bCs/>
          <w:color w:val="000000" w:themeColor="text1"/>
          <w:sz w:val="32"/>
          <w:szCs w:val="32"/>
          <w14:textFill>
            <w14:solidFill>
              <w14:schemeClr w14:val="tx1"/>
            </w14:solidFill>
          </w14:textFill>
        </w:rPr>
      </w:pPr>
    </w:p>
    <w:p>
      <w:pPr>
        <w:pStyle w:val="5"/>
        <w:snapToGrid w:val="0"/>
        <w:spacing w:before="50" w:after="50"/>
        <w:ind w:firstLine="720" w:firstLineChars="225"/>
        <w:rPr>
          <w:rFonts w:ascii="宋体" w:hAnsi="宋体" w:cs="仿宋_GB2312"/>
          <w:bCs/>
          <w:color w:val="000000" w:themeColor="text1"/>
          <w:sz w:val="32"/>
          <w:szCs w:val="32"/>
          <w14:textFill>
            <w14:solidFill>
              <w14:schemeClr w14:val="tx1"/>
            </w14:solidFill>
          </w14:textFill>
        </w:rPr>
      </w:pPr>
    </w:p>
    <w:p>
      <w:pPr>
        <w:pStyle w:val="5"/>
        <w:snapToGrid w:val="0"/>
        <w:spacing w:before="50" w:after="50"/>
        <w:ind w:firstLine="0"/>
        <w:rPr>
          <w:rFonts w:ascii="宋体" w:hAnsi="宋体" w:cs="仿宋_GB2312"/>
          <w:bCs/>
          <w:color w:val="000000" w:themeColor="text1"/>
          <w:sz w:val="32"/>
          <w:szCs w:val="32"/>
          <w14:textFill>
            <w14:solidFill>
              <w14:schemeClr w14:val="tx1"/>
            </w14:solidFill>
          </w14:textFill>
        </w:rPr>
      </w:pPr>
    </w:p>
    <w:p>
      <w:pPr>
        <w:pStyle w:val="5"/>
        <w:snapToGrid w:val="0"/>
        <w:spacing w:before="50" w:after="50"/>
        <w:ind w:firstLine="1280" w:firstLineChars="400"/>
        <w:rPr>
          <w:rFonts w:ascii="宋体" w:hAnsi="宋体" w:cs="仿宋_GB2312"/>
          <w:bCs/>
          <w:color w:val="000000" w:themeColor="text1"/>
          <w:sz w:val="32"/>
          <w:szCs w:val="32"/>
          <w14:textFill>
            <w14:solidFill>
              <w14:schemeClr w14:val="tx1"/>
            </w14:solidFill>
          </w14:textFill>
        </w:rPr>
      </w:pPr>
    </w:p>
    <w:p>
      <w:pPr>
        <w:snapToGrid w:val="0"/>
        <w:spacing w:before="156" w:beforeLines="50" w:after="50"/>
        <w:jc w:val="center"/>
        <w:rPr>
          <w:rFonts w:ascii="宋体" w:hAnsi="宋体" w:cs="仿宋_GB2312"/>
          <w:color w:val="000000" w:themeColor="text1"/>
          <w:sz w:val="32"/>
          <w:szCs w:val="32"/>
          <w14:textFill>
            <w14:solidFill>
              <w14:schemeClr w14:val="tx1"/>
            </w14:solidFill>
          </w14:textFill>
        </w:rPr>
      </w:pPr>
      <w:r>
        <w:rPr>
          <w:rFonts w:hint="eastAsia" w:ascii="宋体" w:hAnsi="宋体" w:cs="仿宋_GB2312"/>
          <w:color w:val="000000" w:themeColor="text1"/>
          <w:sz w:val="32"/>
          <w:szCs w:val="32"/>
          <w14:textFill>
            <w14:solidFill>
              <w14:schemeClr w14:val="tx1"/>
            </w14:solidFill>
          </w14:textFill>
        </w:rPr>
        <w:t>年    月    日</w:t>
      </w:r>
    </w:p>
    <w:p>
      <w:pPr>
        <w:snapToGrid w:val="0"/>
        <w:spacing w:before="156" w:beforeLines="50" w:after="50" w:line="360" w:lineRule="auto"/>
        <w:ind w:right="480" w:firstLine="240" w:firstLineChars="100"/>
        <w:jc w:val="left"/>
        <w:rPr>
          <w:rFonts w:ascii="宋体" w:hAnsi="宋体"/>
          <w:b/>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2.商务技术文件目录</w:t>
      </w:r>
    </w:p>
    <w:p>
      <w:pPr>
        <w:snapToGrid w:val="0"/>
        <w:spacing w:before="156" w:beforeLines="50" w:after="50" w:line="360" w:lineRule="auto"/>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根据磋商文件规定及供应商提供的材料自行编写目录（部分格式后附）。</w:t>
      </w:r>
    </w:p>
    <w:p>
      <w:pPr>
        <w:spacing w:line="400" w:lineRule="exact"/>
        <w:rPr>
          <w:rFonts w:ascii="仿宋_GB2312" w:hAnsi="仿宋_GB2312" w:eastAsia="仿宋_GB2312" w:cs="仿宋_GB2312"/>
          <w:color w:val="000000" w:themeColor="text1"/>
          <w:sz w:val="32"/>
          <w:szCs w:val="32"/>
          <w14:textFill>
            <w14:solidFill>
              <w14:schemeClr w14:val="tx1"/>
            </w14:solidFill>
          </w14:textFill>
        </w:rPr>
      </w:pPr>
    </w:p>
    <w:p>
      <w:pPr>
        <w:spacing w:line="52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法定代表人证明书</w:t>
      </w:r>
    </w:p>
    <w:p>
      <w:pPr>
        <w:spacing w:line="360" w:lineRule="auto"/>
        <w:ind w:left="540"/>
        <w:contextualSpacing/>
        <w:rPr>
          <w:rFonts w:ascii="仿宋_GB2312" w:hAnsi="仿宋_GB2312" w:eastAsia="仿宋_GB2312" w:cs="仿宋_GB2312"/>
          <w:color w:val="000000" w:themeColor="text1"/>
          <w:sz w:val="32"/>
          <w:szCs w:val="32"/>
          <w14:textFill>
            <w14:solidFill>
              <w14:schemeClr w14:val="tx1"/>
            </w14:solidFill>
          </w14:textFill>
        </w:rPr>
      </w:pPr>
    </w:p>
    <w:p>
      <w:pPr>
        <w:spacing w:line="360" w:lineRule="auto"/>
        <w:ind w:left="54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供应商名称：</w:t>
      </w:r>
    </w:p>
    <w:p>
      <w:pPr>
        <w:spacing w:line="360" w:lineRule="auto"/>
        <w:ind w:left="54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地    址：</w:t>
      </w:r>
    </w:p>
    <w:p>
      <w:pPr>
        <w:spacing w:line="360" w:lineRule="auto"/>
        <w:ind w:left="54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姓    名：性     别：</w:t>
      </w:r>
    </w:p>
    <w:p>
      <w:pPr>
        <w:spacing w:line="360" w:lineRule="auto"/>
        <w:ind w:left="540"/>
        <w:contextualSpacing/>
        <w:rPr>
          <w:rFonts w:ascii="宋体" w:hAnsi="宋体" w:cs="仿宋_GB2312"/>
          <w:color w:val="000000" w:themeColor="text1"/>
          <w:sz w:val="24"/>
          <w:u w:val="single"/>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年    龄：职     务：</w:t>
      </w:r>
    </w:p>
    <w:p>
      <w:pPr>
        <w:spacing w:line="360" w:lineRule="auto"/>
        <w:ind w:left="54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身份证号码：</w:t>
      </w:r>
    </w:p>
    <w:p>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系</w:t>
      </w:r>
      <w:r>
        <w:rPr>
          <w:rFonts w:hint="eastAsia" w:ascii="宋体" w:hAnsi="宋体" w:cs="仿宋_GB2312"/>
          <w:color w:val="000000" w:themeColor="text1"/>
          <w:sz w:val="24"/>
          <w:u w:val="single"/>
          <w14:textFill>
            <w14:solidFill>
              <w14:schemeClr w14:val="tx1"/>
            </w14:solidFill>
          </w14:textFill>
        </w:rPr>
        <w:t>（供应商名称）</w:t>
      </w:r>
      <w:r>
        <w:rPr>
          <w:rFonts w:hint="eastAsia" w:ascii="宋体" w:hAnsi="宋体" w:cs="仿宋_GB2312"/>
          <w:color w:val="000000" w:themeColor="text1"/>
          <w:sz w:val="24"/>
          <w14:textFill>
            <w14:solidFill>
              <w14:schemeClr w14:val="tx1"/>
            </w14:solidFill>
          </w14:textFill>
        </w:rPr>
        <w:t>的法定代表人。</w:t>
      </w:r>
    </w:p>
    <w:p>
      <w:pPr>
        <w:spacing w:line="360" w:lineRule="auto"/>
        <w:ind w:left="54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特此证明。</w:t>
      </w:r>
    </w:p>
    <w:p>
      <w:pPr>
        <w:spacing w:line="360" w:lineRule="auto"/>
        <w:ind w:left="540"/>
        <w:contextualSpacing/>
        <w:rPr>
          <w:rFonts w:ascii="宋体" w:hAnsi="宋体" w:cs="仿宋_GB2312"/>
          <w:color w:val="000000" w:themeColor="text1"/>
          <w:sz w:val="24"/>
          <w14:textFill>
            <w14:solidFill>
              <w14:schemeClr w14:val="tx1"/>
            </w14:solidFill>
          </w14:textFill>
        </w:rPr>
      </w:pPr>
    </w:p>
    <w:p>
      <w:pPr>
        <w:spacing w:line="360" w:lineRule="auto"/>
        <w:ind w:left="540"/>
        <w:contextualSpacing/>
        <w:rPr>
          <w:rFonts w:ascii="宋体" w:hAnsi="宋体" w:cs="仿宋_GB2312"/>
          <w:color w:val="000000" w:themeColor="text1"/>
          <w:sz w:val="24"/>
          <w14:textFill>
            <w14:solidFill>
              <w14:schemeClr w14:val="tx1"/>
            </w14:solidFill>
          </w14:textFill>
        </w:rPr>
      </w:pPr>
    </w:p>
    <w:p>
      <w:pPr>
        <w:spacing w:line="360" w:lineRule="auto"/>
        <w:ind w:left="540"/>
        <w:contextualSpacing/>
        <w:rPr>
          <w:rFonts w:ascii="宋体" w:hAnsi="宋体" w:cs="仿宋_GB2312"/>
          <w:color w:val="000000" w:themeColor="text1"/>
          <w:sz w:val="24"/>
          <w14:textFill>
            <w14:solidFill>
              <w14:schemeClr w14:val="tx1"/>
            </w14:solidFill>
          </w14:textFill>
        </w:rPr>
      </w:pPr>
    </w:p>
    <w:p>
      <w:pPr>
        <w:spacing w:line="360" w:lineRule="auto"/>
        <w:ind w:left="54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附件：法定代表人有效身份证正反面复印件</w:t>
      </w:r>
    </w:p>
    <w:p>
      <w:pPr>
        <w:spacing w:line="360" w:lineRule="auto"/>
        <w:ind w:left="540"/>
        <w:contextualSpacing/>
        <w:rPr>
          <w:rFonts w:ascii="宋体" w:hAnsi="宋体" w:cs="仿宋_GB2312"/>
          <w:color w:val="000000" w:themeColor="text1"/>
          <w:sz w:val="24"/>
          <w14:textFill>
            <w14:solidFill>
              <w14:schemeClr w14:val="tx1"/>
            </w14:solidFill>
          </w14:textFill>
        </w:rPr>
      </w:pPr>
    </w:p>
    <w:p>
      <w:pPr>
        <w:spacing w:line="360" w:lineRule="auto"/>
        <w:ind w:left="540"/>
        <w:contextualSpacing/>
        <w:jc w:val="righ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w:t>
      </w:r>
    </w:p>
    <w:p>
      <w:pPr>
        <w:spacing w:line="360" w:lineRule="auto"/>
        <w:ind w:firstLine="4080" w:firstLineChars="17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年月日</w:t>
      </w:r>
    </w:p>
    <w:p>
      <w:pPr>
        <w:spacing w:line="360" w:lineRule="auto"/>
        <w:contextualSpacing/>
        <w:jc w:val="center"/>
        <w:rPr>
          <w:rFonts w:ascii="宋体" w:hAnsi="宋体" w:cs="仿宋_GB2312"/>
          <w:b/>
          <w:color w:val="000000" w:themeColor="text1"/>
          <w:sz w:val="24"/>
          <w14:textFill>
            <w14:solidFill>
              <w14:schemeClr w14:val="tx1"/>
            </w14:solidFill>
          </w14:textFill>
        </w:rPr>
      </w:pPr>
    </w:p>
    <w:p>
      <w:pPr>
        <w:spacing w:line="360" w:lineRule="auto"/>
        <w:contextualSpacing/>
        <w:jc w:val="left"/>
        <w:rPr>
          <w:rFonts w:ascii="宋体" w:hAnsi="宋体" w:cs="仿宋_GB2312"/>
          <w:color w:val="000000" w:themeColor="text1"/>
          <w:sz w:val="24"/>
          <w14:textFill>
            <w14:solidFill>
              <w14:schemeClr w14:val="tx1"/>
            </w14:solidFill>
          </w14:textFill>
        </w:rPr>
      </w:pPr>
    </w:p>
    <w:p>
      <w:pPr>
        <w:adjustRightInd w:val="0"/>
        <w:snapToGrid w:val="0"/>
        <w:spacing w:line="300" w:lineRule="auto"/>
        <w:jc w:val="left"/>
        <w:rPr>
          <w:rFonts w:ascii="宋体" w:hAnsi="宋体"/>
          <w:b/>
          <w:color w:val="000000" w:themeColor="text1"/>
          <w:szCs w:val="21"/>
          <w14:textFill>
            <w14:solidFill>
              <w14:schemeClr w14:val="tx1"/>
            </w14:solidFill>
          </w14:textFill>
        </w:rPr>
      </w:pPr>
    </w:p>
    <w:p>
      <w:pPr>
        <w:spacing w:line="5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br w:type="page"/>
      </w:r>
    </w:p>
    <w:p>
      <w:pPr>
        <w:spacing w:line="52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bookmarkStart w:id="65" w:name="_Hlk65853643"/>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授权委托书</w:t>
      </w:r>
    </w:p>
    <w:p>
      <w:pPr>
        <w:spacing w:line="52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（如有委托时）</w:t>
      </w:r>
    </w:p>
    <w:p>
      <w:pPr>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spacing w:line="360" w:lineRule="auto"/>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致：</w:t>
      </w:r>
      <w:r>
        <w:rPr>
          <w:rFonts w:hint="eastAsia" w:ascii="宋体" w:hAnsi="宋体" w:cs="仿宋_GB2312"/>
          <w:color w:val="000000" w:themeColor="text1"/>
          <w:sz w:val="24"/>
          <w:u w:val="single"/>
          <w14:textFill>
            <w14:solidFill>
              <w14:schemeClr w14:val="tx1"/>
            </w14:solidFill>
          </w14:textFill>
        </w:rPr>
        <w:t>（采购人名称）</w:t>
      </w:r>
      <w:r>
        <w:rPr>
          <w:rFonts w:hint="eastAsia" w:ascii="宋体" w:hAnsi="宋体" w:cs="仿宋_GB2312"/>
          <w:color w:val="000000" w:themeColor="text1"/>
          <w:sz w:val="24"/>
          <w14:textFill>
            <w14:solidFill>
              <w14:schemeClr w14:val="tx1"/>
            </w14:solidFill>
          </w14:textFill>
        </w:rPr>
        <w:t>：</w:t>
      </w:r>
    </w:p>
    <w:p>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我</w:t>
      </w:r>
      <w:r>
        <w:rPr>
          <w:rFonts w:hint="eastAsia" w:ascii="宋体" w:hAnsi="宋体" w:cs="仿宋_GB2312"/>
          <w:color w:val="000000" w:themeColor="text1"/>
          <w:sz w:val="24"/>
          <w:u w:val="single"/>
          <w14:textFill>
            <w14:solidFill>
              <w14:schemeClr w14:val="tx1"/>
            </w14:solidFill>
          </w14:textFill>
        </w:rPr>
        <w:t xml:space="preserve">  （姓名）  </w:t>
      </w:r>
      <w:r>
        <w:rPr>
          <w:rFonts w:hint="eastAsia" w:ascii="宋体" w:hAnsi="宋体" w:cs="仿宋_GB2312"/>
          <w:color w:val="000000" w:themeColor="text1"/>
          <w:sz w:val="24"/>
          <w14:textFill>
            <w14:solidFill>
              <w14:schemeClr w14:val="tx1"/>
            </w14:solidFill>
          </w14:textFill>
        </w:rPr>
        <w:t>系</w:t>
      </w:r>
      <w:r>
        <w:rPr>
          <w:rFonts w:hint="eastAsia" w:ascii="宋体" w:hAnsi="宋体" w:cs="仿宋_GB2312"/>
          <w:color w:val="000000" w:themeColor="text1"/>
          <w:sz w:val="24"/>
          <w:u w:val="single"/>
          <w14:textFill>
            <w14:solidFill>
              <w14:schemeClr w14:val="tx1"/>
            </w14:solidFill>
          </w14:textFill>
        </w:rPr>
        <w:t xml:space="preserve">  （供应商名称）  </w:t>
      </w:r>
      <w:r>
        <w:rPr>
          <w:rFonts w:hint="eastAsia" w:ascii="宋体" w:hAnsi="宋体" w:cs="仿宋_GB2312"/>
          <w:color w:val="000000" w:themeColor="text1"/>
          <w:sz w:val="24"/>
          <w14:textFill>
            <w14:solidFill>
              <w14:schemeClr w14:val="tx1"/>
            </w14:solidFill>
          </w14:textFill>
        </w:rPr>
        <w:t>的（</w:t>
      </w:r>
      <w:r>
        <w:rPr>
          <w:rFonts w:hint="eastAsia" w:ascii="宋体" w:hAnsi="宋体" w:cs="仿宋_GB2312"/>
          <w:color w:val="000000" w:themeColor="text1"/>
          <w:sz w:val="24"/>
          <w:u w:val="single"/>
          <w14:textFill>
            <w14:solidFill>
              <w14:schemeClr w14:val="tx1"/>
            </w14:solidFill>
          </w14:textFill>
        </w:rPr>
        <w:sym w:font="Wingdings 2" w:char="00A3"/>
      </w:r>
      <w:r>
        <w:rPr>
          <w:rFonts w:hint="eastAsia" w:ascii="宋体" w:hAnsi="宋体" w:cs="仿宋_GB2312"/>
          <w:color w:val="000000" w:themeColor="text1"/>
          <w:sz w:val="24"/>
          <w:u w:val="single"/>
          <w14:textFill>
            <w14:solidFill>
              <w14:schemeClr w14:val="tx1"/>
            </w14:solidFill>
          </w14:textFill>
        </w:rPr>
        <w:t>法定代表人/□负责人/□自然人本人</w:t>
      </w:r>
      <w:r>
        <w:rPr>
          <w:rFonts w:hint="eastAsia" w:ascii="宋体" w:hAnsi="宋体" w:cs="仿宋_GB2312"/>
          <w:color w:val="000000" w:themeColor="text1"/>
          <w:sz w:val="24"/>
          <w14:textFill>
            <w14:solidFill>
              <w14:schemeClr w14:val="tx1"/>
            </w14:solidFill>
          </w14:textFill>
        </w:rPr>
        <w:t>），现授权</w:t>
      </w:r>
      <w:r>
        <w:rPr>
          <w:rFonts w:hint="eastAsia" w:ascii="宋体" w:hAnsi="宋体" w:cs="仿宋_GB2312"/>
          <w:color w:val="000000" w:themeColor="text1"/>
          <w:sz w:val="24"/>
          <w:u w:val="single"/>
          <w14:textFill>
            <w14:solidFill>
              <w14:schemeClr w14:val="tx1"/>
            </w14:solidFill>
          </w14:textFill>
        </w:rPr>
        <w:t xml:space="preserve"> （姓名） </w:t>
      </w:r>
      <w:r>
        <w:rPr>
          <w:rFonts w:hint="eastAsia" w:ascii="宋体" w:hAnsi="宋体" w:cs="仿宋_GB2312"/>
          <w:color w:val="000000" w:themeColor="text1"/>
          <w:sz w:val="24"/>
          <w14:textFill>
            <w14:solidFill>
              <w14:schemeClr w14:val="tx1"/>
            </w14:solidFill>
          </w14:textFill>
        </w:rPr>
        <w:t>以我方的名义参加项目的竞标活动，并代表我方全权办理针对上述项目的所有采购程序和环节的具体事务和签署相关文件。</w:t>
      </w:r>
    </w:p>
    <w:p>
      <w:pPr>
        <w:spacing w:line="360" w:lineRule="auto"/>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    我方对委托代理人的签字</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color w:val="000000" w:themeColor="text1"/>
          <w:sz w:val="24"/>
          <w14:textFill>
            <w14:solidFill>
              <w14:schemeClr w14:val="tx1"/>
            </w14:solidFill>
          </w14:textFill>
        </w:rPr>
        <w:t>事项负全部责任。</w:t>
      </w:r>
    </w:p>
    <w:p>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委托代理人无转委托权，特此委托。</w:t>
      </w:r>
    </w:p>
    <w:p>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附：法定代表人身份证明书及委托代理人有效身份证正反面复印件</w:t>
      </w:r>
    </w:p>
    <w:p>
      <w:pPr>
        <w:spacing w:line="360" w:lineRule="auto"/>
        <w:rPr>
          <w:rFonts w:ascii="宋体" w:hAnsi="宋体" w:cs="仿宋_GB2312"/>
          <w:color w:val="000000" w:themeColor="text1"/>
          <w:sz w:val="24"/>
          <w14:textFill>
            <w14:solidFill>
              <w14:schemeClr w14:val="tx1"/>
            </w14:solidFill>
          </w14:textFill>
        </w:rPr>
      </w:pPr>
    </w:p>
    <w:p>
      <w:pPr>
        <w:spacing w:line="360" w:lineRule="auto"/>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委托代理人（</w:t>
      </w:r>
      <w:r>
        <w:rPr>
          <w:rFonts w:hint="eastAsia" w:ascii="宋体" w:hAnsi="宋体"/>
          <w:color w:val="000000" w:themeColor="text1"/>
          <w:sz w:val="24"/>
          <w14:textFill>
            <w14:solidFill>
              <w14:schemeClr w14:val="tx1"/>
            </w14:solidFill>
          </w14:textFill>
        </w:rPr>
        <w:t>签字</w:t>
      </w:r>
      <w:r>
        <w:rPr>
          <w:rFonts w:hint="eastAsia" w:ascii="宋体" w:hAnsi="宋体" w:cs="仿宋_GB2312"/>
          <w:color w:val="000000" w:themeColor="text1"/>
          <w:sz w:val="24"/>
          <w14:textFill>
            <w14:solidFill>
              <w14:schemeClr w14:val="tx1"/>
            </w14:solidFill>
          </w14:textFill>
        </w:rPr>
        <w:t xml:space="preserve">）：     法定代表人（签字）：                    </w:t>
      </w:r>
    </w:p>
    <w:p>
      <w:pPr>
        <w:spacing w:line="360" w:lineRule="auto"/>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委托代理人身份证号码：                              </w:t>
      </w:r>
    </w:p>
    <w:p>
      <w:pPr>
        <w:spacing w:line="360" w:lineRule="auto"/>
        <w:contextualSpacing/>
        <w:rPr>
          <w:rFonts w:ascii="宋体" w:hAnsi="宋体" w:cs="仿宋_GB2312"/>
          <w:color w:val="000000" w:themeColor="text1"/>
          <w:sz w:val="24"/>
          <w14:textFill>
            <w14:solidFill>
              <w14:schemeClr w14:val="tx1"/>
            </w14:solidFill>
          </w14:textFill>
        </w:rPr>
      </w:pPr>
    </w:p>
    <w:p>
      <w:pPr>
        <w:spacing w:line="360" w:lineRule="auto"/>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                         供应商（公章）：                      </w:t>
      </w:r>
    </w:p>
    <w:p>
      <w:pPr>
        <w:spacing w:line="360" w:lineRule="auto"/>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                                         年    月    日</w:t>
      </w:r>
    </w:p>
    <w:p>
      <w:pPr>
        <w:spacing w:line="360" w:lineRule="auto"/>
        <w:rPr>
          <w:rFonts w:ascii="宋体" w:hAnsi="宋体" w:cs="仿宋_GB2312"/>
          <w:color w:val="000000" w:themeColor="text1"/>
          <w:sz w:val="24"/>
          <w14:textFill>
            <w14:solidFill>
              <w14:schemeClr w14:val="tx1"/>
            </w14:solidFill>
          </w14:textFill>
        </w:rPr>
      </w:pPr>
    </w:p>
    <w:p>
      <w:pPr>
        <w:spacing w:line="360" w:lineRule="auto"/>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注：1. 法定代表人必须在授权委托书上签字或者盖章，委托代理人必须在授权委托书上签字，</w:t>
      </w:r>
      <w:r>
        <w:rPr>
          <w:rFonts w:hint="eastAsia" w:ascii="宋体" w:hAnsi="宋体" w:cs="仿宋_GB2312"/>
          <w:b/>
          <w:color w:val="000000" w:themeColor="text1"/>
          <w:sz w:val="24"/>
          <w14:textFill>
            <w14:solidFill>
              <w14:schemeClr w14:val="tx1"/>
            </w14:solidFill>
          </w14:textFill>
        </w:rPr>
        <w:t>否则其响应文件按无效响应处理。</w:t>
      </w:r>
    </w:p>
    <w:p>
      <w:pPr>
        <w:spacing w:line="360" w:lineRule="auto"/>
        <w:ind w:firstLine="480" w:firstLineChars="200"/>
        <w:jc w:val="left"/>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ascii="宋体" w:hAnsi="宋体" w:cs="仿宋_GB2312"/>
          <w:color w:val="000000" w:themeColor="text1"/>
          <w:sz w:val="24"/>
          <w14:textFill>
            <w14:solidFill>
              <w14:schemeClr w14:val="tx1"/>
            </w14:solidFill>
          </w14:textFill>
        </w:rPr>
        <w:t>2.</w:t>
      </w:r>
      <w:bookmarkStart w:id="66" w:name="_Hlk65853109"/>
      <w:bookmarkStart w:id="67" w:name="_Hlk65853542"/>
      <w:r>
        <w:rPr>
          <w:rFonts w:hint="eastAsia" w:ascii="宋体" w:hAnsi="宋体" w:cs="仿宋_GB2312"/>
          <w:color w:val="000000" w:themeColor="text1"/>
          <w:sz w:val="24"/>
          <w14:textFill>
            <w14:solidFill>
              <w14:schemeClr w14:val="tx1"/>
            </w14:solidFill>
          </w14:textFill>
        </w:rPr>
        <w:t>法人、其他组织竞标时“我方”是指“我单位”，自然人竞标时“我方”是指“本人”。</w:t>
      </w:r>
      <w:bookmarkEnd w:id="65"/>
      <w:bookmarkEnd w:id="66"/>
      <w:bookmarkEnd w:id="67"/>
    </w:p>
    <w:sectPr>
      <w:footerReference r:id="rId8" w:type="first"/>
      <w:footerReference r:id="rId7"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12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4vdRNAAAAACAQAADwAAAAAAAAABACAAAAAiAAAA&#10;ZHJzL2Rvd25yZXYueG1sUEsBAhQAFAAAAAgAh07iQPoibmTWAQAApwMAAA4AAAAAAAAAAQAgAAAA&#10;HwEAAGRycy9lMm9Eb2MueG1sUEsFBgAAAAAGAAYAWQEAAGc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53035"/>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2.05pt;width:9.05pt;mso-position-horizontal:center;mso-position-horizontal-relative:margin;mso-wrap-style:none;z-index:25166233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QVPmtAAAAADAQAADwAAAAAAAAABACAAAAAiAAAA&#10;ZHJzL2Rvd25yZXYueG1sUEsBAhQAFAAAAAgAh07iQPGE7UfWAQAAqAMAAA4AAAAAAAAAAQAgAAAA&#10;HwEAAGRycy9lMm9Eb2MueG1sUEsFBgAAAAAGAAYAWQEAAGcFA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pStyle w:val="16"/>
                            <w:jc w:val="center"/>
                          </w:pPr>
                          <w:r>
                            <w:fldChar w:fldCharType="begin"/>
                          </w:r>
                          <w:r>
                            <w:instrText xml:space="preserve"> PAGE  \* MERGEFORMAT </w:instrText>
                          </w:r>
                          <w:r>
                            <w:fldChar w:fldCharType="separate"/>
                          </w:r>
                          <w:r>
                            <w:t>29</w:t>
                          </w:r>
                          <w: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&#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i91E0AAAAAIBAAAPAAAAAAAAAAEAIAAAACIAAABk&#10;cnMvZG93bnJldi54bWxQSwECFAAUAAAACACHTuJAtd1cYtUBAACnAwAADgAAAAAAAAABACAAAAAf&#10;AQAAZHJzL2Uyb0RvYy54bWxQSwUGAAAAAAYABgBZAQAAZgUAAAAA&#10;">
              <v:fill on="f" focussize="0,0"/>
              <v:stroke on="f"/>
              <v:imagedata o:title=""/>
              <o:lock v:ext="edit" aspectratio="f"/>
              <v:textbox inset="0mm,0mm,0mm,0mm" style="mso-fit-shape-to-text:t;">
                <w:txbxContent>
                  <w:p>
                    <w:pPr>
                      <w:pStyle w:val="16"/>
                      <w:jc w:val="center"/>
                    </w:pPr>
                    <w:r>
                      <w:fldChar w:fldCharType="begin"/>
                    </w:r>
                    <w:r>
                      <w:instrText xml:space="preserve"> PAGE  \* MERGEFORMAT </w:instrText>
                    </w:r>
                    <w:r>
                      <w:fldChar w:fldCharType="separate"/>
                    </w:r>
                    <w:r>
                      <w:t>29</w:t>
                    </w:r>
                    <w:r>
                      <w:fldChar w:fldCharType="end"/>
                    </w:r>
                  </w:p>
                </w:txbxContent>
              </v:textbox>
            </v:shape>
          </w:pict>
        </mc:Fallback>
      </mc:AlternateConten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pStyle w:val="16"/>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&#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i91E0AAAAAIBAAAPAAAAAAAAAAEAIAAAACIAAABk&#10;cnMvZG93bnJldi54bWxQSwECFAAUAAAACACHTuJAfd7PitUBAACnAwAADgAAAAAAAAABACAAAAAf&#10;AQAAZHJzL2Uyb0RvYy54bWxQSwUGAAAAAAYABgBZAQAAZg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zOTEzMWI3ZmVjMTE3YmNkMmM4OWM2NGVmOGQ0Y2UifQ=="/>
  </w:docVars>
  <w:rsids>
    <w:rsidRoot w:val="00F34B14"/>
    <w:rsid w:val="000002E0"/>
    <w:rsid w:val="00000672"/>
    <w:rsid w:val="00001013"/>
    <w:rsid w:val="00001799"/>
    <w:rsid w:val="00001AF2"/>
    <w:rsid w:val="00001ECA"/>
    <w:rsid w:val="00002D29"/>
    <w:rsid w:val="00003B93"/>
    <w:rsid w:val="0000474D"/>
    <w:rsid w:val="00005FDF"/>
    <w:rsid w:val="0000644A"/>
    <w:rsid w:val="000070B3"/>
    <w:rsid w:val="000076B8"/>
    <w:rsid w:val="000109DC"/>
    <w:rsid w:val="00010D39"/>
    <w:rsid w:val="0001172C"/>
    <w:rsid w:val="00011BC9"/>
    <w:rsid w:val="00012145"/>
    <w:rsid w:val="00012854"/>
    <w:rsid w:val="00012EA6"/>
    <w:rsid w:val="00013359"/>
    <w:rsid w:val="000139CF"/>
    <w:rsid w:val="00013AA4"/>
    <w:rsid w:val="00013DFE"/>
    <w:rsid w:val="000141EA"/>
    <w:rsid w:val="00014381"/>
    <w:rsid w:val="00016ABC"/>
    <w:rsid w:val="000177DB"/>
    <w:rsid w:val="000179C9"/>
    <w:rsid w:val="00017CCC"/>
    <w:rsid w:val="00020227"/>
    <w:rsid w:val="00020263"/>
    <w:rsid w:val="00020455"/>
    <w:rsid w:val="00020813"/>
    <w:rsid w:val="0002129E"/>
    <w:rsid w:val="000214C4"/>
    <w:rsid w:val="000215D0"/>
    <w:rsid w:val="000220B2"/>
    <w:rsid w:val="0002264C"/>
    <w:rsid w:val="00022731"/>
    <w:rsid w:val="00022792"/>
    <w:rsid w:val="00024463"/>
    <w:rsid w:val="00025461"/>
    <w:rsid w:val="00025636"/>
    <w:rsid w:val="00025E36"/>
    <w:rsid w:val="00026855"/>
    <w:rsid w:val="00026886"/>
    <w:rsid w:val="0002785D"/>
    <w:rsid w:val="000307BE"/>
    <w:rsid w:val="00031F5F"/>
    <w:rsid w:val="000329E0"/>
    <w:rsid w:val="00034B29"/>
    <w:rsid w:val="000352E9"/>
    <w:rsid w:val="00035494"/>
    <w:rsid w:val="00036125"/>
    <w:rsid w:val="00036A07"/>
    <w:rsid w:val="0003780B"/>
    <w:rsid w:val="00040571"/>
    <w:rsid w:val="00040973"/>
    <w:rsid w:val="0004156E"/>
    <w:rsid w:val="00041713"/>
    <w:rsid w:val="0004440C"/>
    <w:rsid w:val="00046B5E"/>
    <w:rsid w:val="000470CB"/>
    <w:rsid w:val="000509D9"/>
    <w:rsid w:val="000512AF"/>
    <w:rsid w:val="00051ACB"/>
    <w:rsid w:val="000533E7"/>
    <w:rsid w:val="00055D39"/>
    <w:rsid w:val="00055D41"/>
    <w:rsid w:val="00056EF6"/>
    <w:rsid w:val="00057CD6"/>
    <w:rsid w:val="00060DCE"/>
    <w:rsid w:val="000610E3"/>
    <w:rsid w:val="000614F3"/>
    <w:rsid w:val="000623B4"/>
    <w:rsid w:val="00062405"/>
    <w:rsid w:val="000634A7"/>
    <w:rsid w:val="00063B0B"/>
    <w:rsid w:val="00063F81"/>
    <w:rsid w:val="00064847"/>
    <w:rsid w:val="00065E08"/>
    <w:rsid w:val="000673E2"/>
    <w:rsid w:val="000679EA"/>
    <w:rsid w:val="00067EF1"/>
    <w:rsid w:val="0007063F"/>
    <w:rsid w:val="000707FD"/>
    <w:rsid w:val="00070949"/>
    <w:rsid w:val="000711E4"/>
    <w:rsid w:val="00071E9B"/>
    <w:rsid w:val="000720A1"/>
    <w:rsid w:val="000724D9"/>
    <w:rsid w:val="00072AED"/>
    <w:rsid w:val="00072BC2"/>
    <w:rsid w:val="00073F47"/>
    <w:rsid w:val="0007492F"/>
    <w:rsid w:val="00074ED8"/>
    <w:rsid w:val="00075B7E"/>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560F"/>
    <w:rsid w:val="0009588E"/>
    <w:rsid w:val="000959EE"/>
    <w:rsid w:val="00096DB9"/>
    <w:rsid w:val="00097183"/>
    <w:rsid w:val="000972CB"/>
    <w:rsid w:val="00097608"/>
    <w:rsid w:val="000A0F35"/>
    <w:rsid w:val="000A1175"/>
    <w:rsid w:val="000A13F3"/>
    <w:rsid w:val="000A1C18"/>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48D8"/>
    <w:rsid w:val="000B4C5A"/>
    <w:rsid w:val="000B6A6B"/>
    <w:rsid w:val="000B6C95"/>
    <w:rsid w:val="000B79FC"/>
    <w:rsid w:val="000C0C02"/>
    <w:rsid w:val="000C1679"/>
    <w:rsid w:val="000C1EE3"/>
    <w:rsid w:val="000C3AE7"/>
    <w:rsid w:val="000C3CC9"/>
    <w:rsid w:val="000C59C6"/>
    <w:rsid w:val="000C5E31"/>
    <w:rsid w:val="000C6DE4"/>
    <w:rsid w:val="000C7202"/>
    <w:rsid w:val="000C77EF"/>
    <w:rsid w:val="000D0A89"/>
    <w:rsid w:val="000D1389"/>
    <w:rsid w:val="000D1798"/>
    <w:rsid w:val="000D2626"/>
    <w:rsid w:val="000D4016"/>
    <w:rsid w:val="000D411D"/>
    <w:rsid w:val="000D4589"/>
    <w:rsid w:val="000D4809"/>
    <w:rsid w:val="000D73DD"/>
    <w:rsid w:val="000E1C51"/>
    <w:rsid w:val="000E28AB"/>
    <w:rsid w:val="000E2E3E"/>
    <w:rsid w:val="000E3021"/>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0F5"/>
    <w:rsid w:val="000F5F8B"/>
    <w:rsid w:val="000F6153"/>
    <w:rsid w:val="000F64AA"/>
    <w:rsid w:val="000F7AF4"/>
    <w:rsid w:val="000F7C33"/>
    <w:rsid w:val="000F7F0C"/>
    <w:rsid w:val="001004D6"/>
    <w:rsid w:val="00101BDA"/>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221"/>
    <w:rsid w:val="0011247D"/>
    <w:rsid w:val="00113678"/>
    <w:rsid w:val="00113A7D"/>
    <w:rsid w:val="00113C3E"/>
    <w:rsid w:val="00114035"/>
    <w:rsid w:val="00115E11"/>
    <w:rsid w:val="00115EEE"/>
    <w:rsid w:val="00115F56"/>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9C"/>
    <w:rsid w:val="00136D57"/>
    <w:rsid w:val="00137389"/>
    <w:rsid w:val="00140132"/>
    <w:rsid w:val="00141C9C"/>
    <w:rsid w:val="0014277F"/>
    <w:rsid w:val="001434BE"/>
    <w:rsid w:val="00143AAD"/>
    <w:rsid w:val="00144050"/>
    <w:rsid w:val="00144369"/>
    <w:rsid w:val="0014479F"/>
    <w:rsid w:val="001452B4"/>
    <w:rsid w:val="00145320"/>
    <w:rsid w:val="001476D3"/>
    <w:rsid w:val="001509CF"/>
    <w:rsid w:val="00150D1D"/>
    <w:rsid w:val="001525AA"/>
    <w:rsid w:val="00152A87"/>
    <w:rsid w:val="00152AC1"/>
    <w:rsid w:val="001536EA"/>
    <w:rsid w:val="00153BB5"/>
    <w:rsid w:val="00154518"/>
    <w:rsid w:val="00156359"/>
    <w:rsid w:val="00156DD6"/>
    <w:rsid w:val="0016086E"/>
    <w:rsid w:val="001609B9"/>
    <w:rsid w:val="00160D0C"/>
    <w:rsid w:val="00160DD1"/>
    <w:rsid w:val="00161172"/>
    <w:rsid w:val="00161998"/>
    <w:rsid w:val="00161E65"/>
    <w:rsid w:val="001623B1"/>
    <w:rsid w:val="00162597"/>
    <w:rsid w:val="001629AF"/>
    <w:rsid w:val="001629FD"/>
    <w:rsid w:val="0016428A"/>
    <w:rsid w:val="001647C9"/>
    <w:rsid w:val="00164FBE"/>
    <w:rsid w:val="00165627"/>
    <w:rsid w:val="001661A3"/>
    <w:rsid w:val="00167226"/>
    <w:rsid w:val="0016782B"/>
    <w:rsid w:val="0016784D"/>
    <w:rsid w:val="00167853"/>
    <w:rsid w:val="00167887"/>
    <w:rsid w:val="00172CA8"/>
    <w:rsid w:val="00173256"/>
    <w:rsid w:val="00173B0E"/>
    <w:rsid w:val="00173E03"/>
    <w:rsid w:val="00175043"/>
    <w:rsid w:val="0017512C"/>
    <w:rsid w:val="001756AF"/>
    <w:rsid w:val="0017586A"/>
    <w:rsid w:val="00175BA6"/>
    <w:rsid w:val="00176CA7"/>
    <w:rsid w:val="00176D0C"/>
    <w:rsid w:val="00176F8E"/>
    <w:rsid w:val="001778C5"/>
    <w:rsid w:val="00177E56"/>
    <w:rsid w:val="00177F0A"/>
    <w:rsid w:val="00180DA0"/>
    <w:rsid w:val="00181EAD"/>
    <w:rsid w:val="00182862"/>
    <w:rsid w:val="00184F57"/>
    <w:rsid w:val="00185091"/>
    <w:rsid w:val="00185544"/>
    <w:rsid w:val="00185617"/>
    <w:rsid w:val="00186FE1"/>
    <w:rsid w:val="00187A14"/>
    <w:rsid w:val="0019171E"/>
    <w:rsid w:val="00192368"/>
    <w:rsid w:val="001923A0"/>
    <w:rsid w:val="001928B1"/>
    <w:rsid w:val="00192F68"/>
    <w:rsid w:val="00193537"/>
    <w:rsid w:val="00193846"/>
    <w:rsid w:val="00195424"/>
    <w:rsid w:val="001955FF"/>
    <w:rsid w:val="00197EDD"/>
    <w:rsid w:val="001A02B3"/>
    <w:rsid w:val="001A04BB"/>
    <w:rsid w:val="001A08D0"/>
    <w:rsid w:val="001A0E8C"/>
    <w:rsid w:val="001A1B39"/>
    <w:rsid w:val="001A2120"/>
    <w:rsid w:val="001A28C6"/>
    <w:rsid w:val="001A2E69"/>
    <w:rsid w:val="001A3C34"/>
    <w:rsid w:val="001A3EDE"/>
    <w:rsid w:val="001A4222"/>
    <w:rsid w:val="001A50EA"/>
    <w:rsid w:val="001A5E24"/>
    <w:rsid w:val="001A6474"/>
    <w:rsid w:val="001A661D"/>
    <w:rsid w:val="001A6795"/>
    <w:rsid w:val="001A6B27"/>
    <w:rsid w:val="001A6D8B"/>
    <w:rsid w:val="001A6DAA"/>
    <w:rsid w:val="001A7717"/>
    <w:rsid w:val="001A793A"/>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5F"/>
    <w:rsid w:val="001C1DED"/>
    <w:rsid w:val="001C1EAB"/>
    <w:rsid w:val="001C25A7"/>
    <w:rsid w:val="001C2775"/>
    <w:rsid w:val="001C318C"/>
    <w:rsid w:val="001C35C4"/>
    <w:rsid w:val="001C4287"/>
    <w:rsid w:val="001C4479"/>
    <w:rsid w:val="001C5190"/>
    <w:rsid w:val="001C6081"/>
    <w:rsid w:val="001C73EB"/>
    <w:rsid w:val="001C7B48"/>
    <w:rsid w:val="001D0CFB"/>
    <w:rsid w:val="001D1753"/>
    <w:rsid w:val="001D1A0D"/>
    <w:rsid w:val="001D1A62"/>
    <w:rsid w:val="001D343C"/>
    <w:rsid w:val="001D56E2"/>
    <w:rsid w:val="001D58A1"/>
    <w:rsid w:val="001D58C2"/>
    <w:rsid w:val="001D5A8A"/>
    <w:rsid w:val="001D61CA"/>
    <w:rsid w:val="001D6E87"/>
    <w:rsid w:val="001D735E"/>
    <w:rsid w:val="001D73C8"/>
    <w:rsid w:val="001D7BC6"/>
    <w:rsid w:val="001E129E"/>
    <w:rsid w:val="001E175C"/>
    <w:rsid w:val="001E1B0E"/>
    <w:rsid w:val="001E3B63"/>
    <w:rsid w:val="001E5A94"/>
    <w:rsid w:val="001F13FD"/>
    <w:rsid w:val="001F2A2E"/>
    <w:rsid w:val="001F3356"/>
    <w:rsid w:val="001F3C63"/>
    <w:rsid w:val="001F4460"/>
    <w:rsid w:val="001F6C96"/>
    <w:rsid w:val="001F711A"/>
    <w:rsid w:val="001F75B0"/>
    <w:rsid w:val="0020057C"/>
    <w:rsid w:val="0020083C"/>
    <w:rsid w:val="00200CE5"/>
    <w:rsid w:val="00200F7C"/>
    <w:rsid w:val="002014DB"/>
    <w:rsid w:val="0020150B"/>
    <w:rsid w:val="00201E12"/>
    <w:rsid w:val="00202295"/>
    <w:rsid w:val="0020268A"/>
    <w:rsid w:val="002033B5"/>
    <w:rsid w:val="0020382C"/>
    <w:rsid w:val="0020437A"/>
    <w:rsid w:val="0020454C"/>
    <w:rsid w:val="00204740"/>
    <w:rsid w:val="00205129"/>
    <w:rsid w:val="0020521F"/>
    <w:rsid w:val="0020532C"/>
    <w:rsid w:val="002114C7"/>
    <w:rsid w:val="0021302C"/>
    <w:rsid w:val="00213B1C"/>
    <w:rsid w:val="00213F1E"/>
    <w:rsid w:val="00214202"/>
    <w:rsid w:val="002148E3"/>
    <w:rsid w:val="0021552D"/>
    <w:rsid w:val="002156AE"/>
    <w:rsid w:val="00215E99"/>
    <w:rsid w:val="0022054D"/>
    <w:rsid w:val="0022107B"/>
    <w:rsid w:val="00223DDB"/>
    <w:rsid w:val="00223FA4"/>
    <w:rsid w:val="00223FB0"/>
    <w:rsid w:val="0022405A"/>
    <w:rsid w:val="00224067"/>
    <w:rsid w:val="0022421C"/>
    <w:rsid w:val="002247BF"/>
    <w:rsid w:val="00224C4A"/>
    <w:rsid w:val="00224E83"/>
    <w:rsid w:val="00225664"/>
    <w:rsid w:val="0022663D"/>
    <w:rsid w:val="00226814"/>
    <w:rsid w:val="00227574"/>
    <w:rsid w:val="00227C56"/>
    <w:rsid w:val="00227F2D"/>
    <w:rsid w:val="00230A3B"/>
    <w:rsid w:val="00231851"/>
    <w:rsid w:val="002319FB"/>
    <w:rsid w:val="00231B89"/>
    <w:rsid w:val="00231F11"/>
    <w:rsid w:val="00231F5E"/>
    <w:rsid w:val="002346B4"/>
    <w:rsid w:val="00234D8A"/>
    <w:rsid w:val="00234F6E"/>
    <w:rsid w:val="002355BE"/>
    <w:rsid w:val="002358EA"/>
    <w:rsid w:val="00236578"/>
    <w:rsid w:val="00236DE9"/>
    <w:rsid w:val="00237342"/>
    <w:rsid w:val="00237D5A"/>
    <w:rsid w:val="00240A37"/>
    <w:rsid w:val="00240D75"/>
    <w:rsid w:val="002415AE"/>
    <w:rsid w:val="00241D3C"/>
    <w:rsid w:val="00242109"/>
    <w:rsid w:val="00242FA6"/>
    <w:rsid w:val="00243189"/>
    <w:rsid w:val="002439AB"/>
    <w:rsid w:val="00243C19"/>
    <w:rsid w:val="00244AE8"/>
    <w:rsid w:val="00244DC9"/>
    <w:rsid w:val="00245587"/>
    <w:rsid w:val="00245F2B"/>
    <w:rsid w:val="002466CD"/>
    <w:rsid w:val="00247F3A"/>
    <w:rsid w:val="00250122"/>
    <w:rsid w:val="0025024D"/>
    <w:rsid w:val="00250755"/>
    <w:rsid w:val="00251043"/>
    <w:rsid w:val="00251C4A"/>
    <w:rsid w:val="0025271C"/>
    <w:rsid w:val="0025277A"/>
    <w:rsid w:val="002533CD"/>
    <w:rsid w:val="002535EA"/>
    <w:rsid w:val="00254EAB"/>
    <w:rsid w:val="002550A4"/>
    <w:rsid w:val="002557AF"/>
    <w:rsid w:val="0025589C"/>
    <w:rsid w:val="00255B62"/>
    <w:rsid w:val="002566B1"/>
    <w:rsid w:val="00256D9F"/>
    <w:rsid w:val="002575E3"/>
    <w:rsid w:val="00257A74"/>
    <w:rsid w:val="00257C5D"/>
    <w:rsid w:val="002603C1"/>
    <w:rsid w:val="002609A1"/>
    <w:rsid w:val="00260B18"/>
    <w:rsid w:val="002612B1"/>
    <w:rsid w:val="00265A12"/>
    <w:rsid w:val="00266165"/>
    <w:rsid w:val="00266F2C"/>
    <w:rsid w:val="0027125E"/>
    <w:rsid w:val="00271767"/>
    <w:rsid w:val="00272293"/>
    <w:rsid w:val="002723C8"/>
    <w:rsid w:val="00273633"/>
    <w:rsid w:val="00273C2A"/>
    <w:rsid w:val="00273CBE"/>
    <w:rsid w:val="002746B1"/>
    <w:rsid w:val="00274BAD"/>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E7F"/>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7A8"/>
    <w:rsid w:val="002A6DEF"/>
    <w:rsid w:val="002A770B"/>
    <w:rsid w:val="002B013E"/>
    <w:rsid w:val="002B058D"/>
    <w:rsid w:val="002B0C16"/>
    <w:rsid w:val="002B2456"/>
    <w:rsid w:val="002B2AC5"/>
    <w:rsid w:val="002B3528"/>
    <w:rsid w:val="002B3539"/>
    <w:rsid w:val="002B4395"/>
    <w:rsid w:val="002B4532"/>
    <w:rsid w:val="002B4659"/>
    <w:rsid w:val="002B4DD9"/>
    <w:rsid w:val="002B5042"/>
    <w:rsid w:val="002B69CC"/>
    <w:rsid w:val="002B6D71"/>
    <w:rsid w:val="002C03AE"/>
    <w:rsid w:val="002C0C1C"/>
    <w:rsid w:val="002C41BF"/>
    <w:rsid w:val="002C4D57"/>
    <w:rsid w:val="002C54C2"/>
    <w:rsid w:val="002C5D34"/>
    <w:rsid w:val="002C60BB"/>
    <w:rsid w:val="002C661A"/>
    <w:rsid w:val="002C79C8"/>
    <w:rsid w:val="002D0D6F"/>
    <w:rsid w:val="002D25FC"/>
    <w:rsid w:val="002D3AE3"/>
    <w:rsid w:val="002D4AC6"/>
    <w:rsid w:val="002D560D"/>
    <w:rsid w:val="002D5743"/>
    <w:rsid w:val="002D59BF"/>
    <w:rsid w:val="002D5BF5"/>
    <w:rsid w:val="002D5EE8"/>
    <w:rsid w:val="002D7360"/>
    <w:rsid w:val="002D7648"/>
    <w:rsid w:val="002D7C80"/>
    <w:rsid w:val="002E109C"/>
    <w:rsid w:val="002E193E"/>
    <w:rsid w:val="002E1A94"/>
    <w:rsid w:val="002E1D55"/>
    <w:rsid w:val="002E26C4"/>
    <w:rsid w:val="002E2734"/>
    <w:rsid w:val="002E29F9"/>
    <w:rsid w:val="002E30A5"/>
    <w:rsid w:val="002E3A27"/>
    <w:rsid w:val="002E47E4"/>
    <w:rsid w:val="002E4BF9"/>
    <w:rsid w:val="002E4D61"/>
    <w:rsid w:val="002E68A7"/>
    <w:rsid w:val="002E6E6C"/>
    <w:rsid w:val="002F016E"/>
    <w:rsid w:val="002F0522"/>
    <w:rsid w:val="002F1004"/>
    <w:rsid w:val="002F16DD"/>
    <w:rsid w:val="002F199D"/>
    <w:rsid w:val="002F213C"/>
    <w:rsid w:val="002F2453"/>
    <w:rsid w:val="002F352D"/>
    <w:rsid w:val="002F381E"/>
    <w:rsid w:val="002F4084"/>
    <w:rsid w:val="002F4A08"/>
    <w:rsid w:val="002F4ADB"/>
    <w:rsid w:val="002F531E"/>
    <w:rsid w:val="002F548D"/>
    <w:rsid w:val="002F58B2"/>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2B89"/>
    <w:rsid w:val="00313026"/>
    <w:rsid w:val="0031310A"/>
    <w:rsid w:val="00313913"/>
    <w:rsid w:val="0031421F"/>
    <w:rsid w:val="00314B31"/>
    <w:rsid w:val="00315A65"/>
    <w:rsid w:val="003165D7"/>
    <w:rsid w:val="0031666B"/>
    <w:rsid w:val="00316ABE"/>
    <w:rsid w:val="00317BA7"/>
    <w:rsid w:val="00320BE2"/>
    <w:rsid w:val="00321886"/>
    <w:rsid w:val="00321EDC"/>
    <w:rsid w:val="00323694"/>
    <w:rsid w:val="00323BE7"/>
    <w:rsid w:val="00324B18"/>
    <w:rsid w:val="00324C3A"/>
    <w:rsid w:val="00324D63"/>
    <w:rsid w:val="003255AF"/>
    <w:rsid w:val="003256EB"/>
    <w:rsid w:val="003259DB"/>
    <w:rsid w:val="0032795B"/>
    <w:rsid w:val="0033031A"/>
    <w:rsid w:val="003303CD"/>
    <w:rsid w:val="003314D9"/>
    <w:rsid w:val="00331653"/>
    <w:rsid w:val="00331A48"/>
    <w:rsid w:val="00331BCC"/>
    <w:rsid w:val="003330C9"/>
    <w:rsid w:val="00333330"/>
    <w:rsid w:val="0033364C"/>
    <w:rsid w:val="00334415"/>
    <w:rsid w:val="00335EA1"/>
    <w:rsid w:val="0033691E"/>
    <w:rsid w:val="00336A6A"/>
    <w:rsid w:val="00336CCB"/>
    <w:rsid w:val="003411D1"/>
    <w:rsid w:val="003416BA"/>
    <w:rsid w:val="00342148"/>
    <w:rsid w:val="00342F99"/>
    <w:rsid w:val="0034575A"/>
    <w:rsid w:val="00345F57"/>
    <w:rsid w:val="00346C3D"/>
    <w:rsid w:val="00350458"/>
    <w:rsid w:val="00350E6C"/>
    <w:rsid w:val="003518A6"/>
    <w:rsid w:val="00351E7F"/>
    <w:rsid w:val="00352953"/>
    <w:rsid w:val="00353233"/>
    <w:rsid w:val="00354062"/>
    <w:rsid w:val="0035459E"/>
    <w:rsid w:val="00354AE9"/>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67B0"/>
    <w:rsid w:val="003667DD"/>
    <w:rsid w:val="00366B48"/>
    <w:rsid w:val="003672FF"/>
    <w:rsid w:val="00367764"/>
    <w:rsid w:val="00370316"/>
    <w:rsid w:val="00370DC7"/>
    <w:rsid w:val="00371A6D"/>
    <w:rsid w:val="00371CBD"/>
    <w:rsid w:val="00371F20"/>
    <w:rsid w:val="003721E3"/>
    <w:rsid w:val="00372B98"/>
    <w:rsid w:val="003737B7"/>
    <w:rsid w:val="003740CC"/>
    <w:rsid w:val="003745F4"/>
    <w:rsid w:val="00374785"/>
    <w:rsid w:val="0037491A"/>
    <w:rsid w:val="00374E79"/>
    <w:rsid w:val="0037529A"/>
    <w:rsid w:val="00375388"/>
    <w:rsid w:val="00375559"/>
    <w:rsid w:val="00375FB9"/>
    <w:rsid w:val="00376170"/>
    <w:rsid w:val="00376851"/>
    <w:rsid w:val="00376FA2"/>
    <w:rsid w:val="00377133"/>
    <w:rsid w:val="00377A3B"/>
    <w:rsid w:val="00377E3C"/>
    <w:rsid w:val="00380874"/>
    <w:rsid w:val="003808F1"/>
    <w:rsid w:val="00380BBE"/>
    <w:rsid w:val="00381D70"/>
    <w:rsid w:val="0038235E"/>
    <w:rsid w:val="003829D0"/>
    <w:rsid w:val="0038326A"/>
    <w:rsid w:val="0038444F"/>
    <w:rsid w:val="003861F0"/>
    <w:rsid w:val="00386E93"/>
    <w:rsid w:val="00387051"/>
    <w:rsid w:val="00387ECF"/>
    <w:rsid w:val="0039021B"/>
    <w:rsid w:val="00390429"/>
    <w:rsid w:val="003906A0"/>
    <w:rsid w:val="00390925"/>
    <w:rsid w:val="003923D5"/>
    <w:rsid w:val="003931AF"/>
    <w:rsid w:val="0039366C"/>
    <w:rsid w:val="00393EC8"/>
    <w:rsid w:val="00395D82"/>
    <w:rsid w:val="00395E42"/>
    <w:rsid w:val="00396409"/>
    <w:rsid w:val="00396A2D"/>
    <w:rsid w:val="00396FC3"/>
    <w:rsid w:val="003A1431"/>
    <w:rsid w:val="003A1A94"/>
    <w:rsid w:val="003A204E"/>
    <w:rsid w:val="003A2D25"/>
    <w:rsid w:val="003A5101"/>
    <w:rsid w:val="003A53E9"/>
    <w:rsid w:val="003A5728"/>
    <w:rsid w:val="003A60E7"/>
    <w:rsid w:val="003A7092"/>
    <w:rsid w:val="003A72A1"/>
    <w:rsid w:val="003A7611"/>
    <w:rsid w:val="003A7D1F"/>
    <w:rsid w:val="003B0B6A"/>
    <w:rsid w:val="003B22F7"/>
    <w:rsid w:val="003B29CF"/>
    <w:rsid w:val="003B3A90"/>
    <w:rsid w:val="003B3D01"/>
    <w:rsid w:val="003B477E"/>
    <w:rsid w:val="003B534F"/>
    <w:rsid w:val="003B78F5"/>
    <w:rsid w:val="003B7A79"/>
    <w:rsid w:val="003C074D"/>
    <w:rsid w:val="003C0FE1"/>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8A7"/>
    <w:rsid w:val="003D7CE8"/>
    <w:rsid w:val="003E0514"/>
    <w:rsid w:val="003E1032"/>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982"/>
    <w:rsid w:val="003F0CAA"/>
    <w:rsid w:val="003F0E52"/>
    <w:rsid w:val="003F0F6B"/>
    <w:rsid w:val="003F1CFA"/>
    <w:rsid w:val="003F1FC6"/>
    <w:rsid w:val="003F1FE3"/>
    <w:rsid w:val="003F2359"/>
    <w:rsid w:val="003F3232"/>
    <w:rsid w:val="003F3865"/>
    <w:rsid w:val="003F38AC"/>
    <w:rsid w:val="003F3D55"/>
    <w:rsid w:val="003F44E2"/>
    <w:rsid w:val="003F4632"/>
    <w:rsid w:val="003F47BA"/>
    <w:rsid w:val="003F4FE6"/>
    <w:rsid w:val="003F5638"/>
    <w:rsid w:val="003F6617"/>
    <w:rsid w:val="00401188"/>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4CDE"/>
    <w:rsid w:val="0041582F"/>
    <w:rsid w:val="00416112"/>
    <w:rsid w:val="004170DF"/>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3DB4"/>
    <w:rsid w:val="0045444D"/>
    <w:rsid w:val="0045463A"/>
    <w:rsid w:val="00454AC9"/>
    <w:rsid w:val="00455050"/>
    <w:rsid w:val="004554A3"/>
    <w:rsid w:val="00455A6E"/>
    <w:rsid w:val="00455EAD"/>
    <w:rsid w:val="004578EB"/>
    <w:rsid w:val="004604D5"/>
    <w:rsid w:val="00460697"/>
    <w:rsid w:val="0046117B"/>
    <w:rsid w:val="00461FC2"/>
    <w:rsid w:val="00463E05"/>
    <w:rsid w:val="00464AB7"/>
    <w:rsid w:val="00465DE5"/>
    <w:rsid w:val="00467CCB"/>
    <w:rsid w:val="00467EF8"/>
    <w:rsid w:val="00471AC3"/>
    <w:rsid w:val="00472429"/>
    <w:rsid w:val="004725E5"/>
    <w:rsid w:val="00472751"/>
    <w:rsid w:val="00473128"/>
    <w:rsid w:val="00475078"/>
    <w:rsid w:val="00475767"/>
    <w:rsid w:val="004779A0"/>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5CA9"/>
    <w:rsid w:val="00486D60"/>
    <w:rsid w:val="00491FA1"/>
    <w:rsid w:val="00492A25"/>
    <w:rsid w:val="004938A3"/>
    <w:rsid w:val="0049558B"/>
    <w:rsid w:val="00496350"/>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3C5"/>
    <w:rsid w:val="004B1FA4"/>
    <w:rsid w:val="004B29AC"/>
    <w:rsid w:val="004B35DF"/>
    <w:rsid w:val="004B3627"/>
    <w:rsid w:val="004B4922"/>
    <w:rsid w:val="004B57DF"/>
    <w:rsid w:val="004B5976"/>
    <w:rsid w:val="004B722E"/>
    <w:rsid w:val="004B72E8"/>
    <w:rsid w:val="004C01A5"/>
    <w:rsid w:val="004C0412"/>
    <w:rsid w:val="004C2138"/>
    <w:rsid w:val="004C2F7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36A3"/>
    <w:rsid w:val="004F3E0C"/>
    <w:rsid w:val="004F4308"/>
    <w:rsid w:val="004F7160"/>
    <w:rsid w:val="00500258"/>
    <w:rsid w:val="00500B2D"/>
    <w:rsid w:val="00501A99"/>
    <w:rsid w:val="00503180"/>
    <w:rsid w:val="005038A4"/>
    <w:rsid w:val="00504CD4"/>
    <w:rsid w:val="0050524B"/>
    <w:rsid w:val="00505450"/>
    <w:rsid w:val="00505FC6"/>
    <w:rsid w:val="00506236"/>
    <w:rsid w:val="005100B7"/>
    <w:rsid w:val="005105DE"/>
    <w:rsid w:val="005113C9"/>
    <w:rsid w:val="00512050"/>
    <w:rsid w:val="00512055"/>
    <w:rsid w:val="0051280C"/>
    <w:rsid w:val="00512842"/>
    <w:rsid w:val="005128BE"/>
    <w:rsid w:val="005129E5"/>
    <w:rsid w:val="0051356F"/>
    <w:rsid w:val="00513E7C"/>
    <w:rsid w:val="005140BB"/>
    <w:rsid w:val="00514FBE"/>
    <w:rsid w:val="00514FD9"/>
    <w:rsid w:val="0051550A"/>
    <w:rsid w:val="0051608F"/>
    <w:rsid w:val="00516480"/>
    <w:rsid w:val="00520EF8"/>
    <w:rsid w:val="005210F7"/>
    <w:rsid w:val="00521753"/>
    <w:rsid w:val="0052239D"/>
    <w:rsid w:val="005224EE"/>
    <w:rsid w:val="00522879"/>
    <w:rsid w:val="00523BB1"/>
    <w:rsid w:val="00524B23"/>
    <w:rsid w:val="0052570E"/>
    <w:rsid w:val="005260CD"/>
    <w:rsid w:val="00526265"/>
    <w:rsid w:val="0052629B"/>
    <w:rsid w:val="0052655D"/>
    <w:rsid w:val="005265E0"/>
    <w:rsid w:val="00526BC3"/>
    <w:rsid w:val="00530064"/>
    <w:rsid w:val="00531761"/>
    <w:rsid w:val="0053248F"/>
    <w:rsid w:val="005327AB"/>
    <w:rsid w:val="0053332A"/>
    <w:rsid w:val="0053358A"/>
    <w:rsid w:val="00534668"/>
    <w:rsid w:val="00534DDD"/>
    <w:rsid w:val="00535291"/>
    <w:rsid w:val="00535A94"/>
    <w:rsid w:val="005373D0"/>
    <w:rsid w:val="00537874"/>
    <w:rsid w:val="0053795F"/>
    <w:rsid w:val="00537D3D"/>
    <w:rsid w:val="00540511"/>
    <w:rsid w:val="00540578"/>
    <w:rsid w:val="00540808"/>
    <w:rsid w:val="0054080E"/>
    <w:rsid w:val="00540D1A"/>
    <w:rsid w:val="00540DE5"/>
    <w:rsid w:val="00540EA1"/>
    <w:rsid w:val="005410DD"/>
    <w:rsid w:val="0054157A"/>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1E0"/>
    <w:rsid w:val="00554577"/>
    <w:rsid w:val="00554AD8"/>
    <w:rsid w:val="00554F78"/>
    <w:rsid w:val="00555DA1"/>
    <w:rsid w:val="00556BF7"/>
    <w:rsid w:val="00556E53"/>
    <w:rsid w:val="00557786"/>
    <w:rsid w:val="00557F60"/>
    <w:rsid w:val="00561730"/>
    <w:rsid w:val="00561B97"/>
    <w:rsid w:val="00562149"/>
    <w:rsid w:val="005640EB"/>
    <w:rsid w:val="005666A4"/>
    <w:rsid w:val="00567B5D"/>
    <w:rsid w:val="00570757"/>
    <w:rsid w:val="00571F89"/>
    <w:rsid w:val="00573733"/>
    <w:rsid w:val="00573F8B"/>
    <w:rsid w:val="00574554"/>
    <w:rsid w:val="00574E06"/>
    <w:rsid w:val="005751BB"/>
    <w:rsid w:val="00576089"/>
    <w:rsid w:val="005764B1"/>
    <w:rsid w:val="00576852"/>
    <w:rsid w:val="00576D06"/>
    <w:rsid w:val="005779E4"/>
    <w:rsid w:val="00580EC7"/>
    <w:rsid w:val="0058289C"/>
    <w:rsid w:val="005836C7"/>
    <w:rsid w:val="0058408E"/>
    <w:rsid w:val="005844C3"/>
    <w:rsid w:val="00585374"/>
    <w:rsid w:val="005854CA"/>
    <w:rsid w:val="00585FAB"/>
    <w:rsid w:val="005864F5"/>
    <w:rsid w:val="00590B77"/>
    <w:rsid w:val="00590D9A"/>
    <w:rsid w:val="005913A3"/>
    <w:rsid w:val="00591A5A"/>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46EC"/>
    <w:rsid w:val="005A5EAE"/>
    <w:rsid w:val="005A6168"/>
    <w:rsid w:val="005A6407"/>
    <w:rsid w:val="005A6F02"/>
    <w:rsid w:val="005A726C"/>
    <w:rsid w:val="005B07EC"/>
    <w:rsid w:val="005B2B11"/>
    <w:rsid w:val="005B32A4"/>
    <w:rsid w:val="005B3371"/>
    <w:rsid w:val="005B338D"/>
    <w:rsid w:val="005B33A1"/>
    <w:rsid w:val="005B3852"/>
    <w:rsid w:val="005B3BAF"/>
    <w:rsid w:val="005B4DA3"/>
    <w:rsid w:val="005B5BEE"/>
    <w:rsid w:val="005B77D2"/>
    <w:rsid w:val="005C0195"/>
    <w:rsid w:val="005C019B"/>
    <w:rsid w:val="005C08D0"/>
    <w:rsid w:val="005C1AED"/>
    <w:rsid w:val="005C2136"/>
    <w:rsid w:val="005C30F5"/>
    <w:rsid w:val="005C3840"/>
    <w:rsid w:val="005C51A5"/>
    <w:rsid w:val="005C557A"/>
    <w:rsid w:val="005C566F"/>
    <w:rsid w:val="005C5C47"/>
    <w:rsid w:val="005C61DD"/>
    <w:rsid w:val="005C6438"/>
    <w:rsid w:val="005C6B8B"/>
    <w:rsid w:val="005C6CFA"/>
    <w:rsid w:val="005C727F"/>
    <w:rsid w:val="005D02E3"/>
    <w:rsid w:val="005D1F34"/>
    <w:rsid w:val="005D2C1F"/>
    <w:rsid w:val="005D34B2"/>
    <w:rsid w:val="005D3B54"/>
    <w:rsid w:val="005D40CD"/>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F009E"/>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2842"/>
    <w:rsid w:val="00613553"/>
    <w:rsid w:val="00613601"/>
    <w:rsid w:val="00613791"/>
    <w:rsid w:val="006150D6"/>
    <w:rsid w:val="00615245"/>
    <w:rsid w:val="0061590D"/>
    <w:rsid w:val="00617EEE"/>
    <w:rsid w:val="00620A1F"/>
    <w:rsid w:val="0062169D"/>
    <w:rsid w:val="0062181E"/>
    <w:rsid w:val="0062211B"/>
    <w:rsid w:val="00622BB7"/>
    <w:rsid w:val="00622C1E"/>
    <w:rsid w:val="00623389"/>
    <w:rsid w:val="00623DAA"/>
    <w:rsid w:val="00623FAF"/>
    <w:rsid w:val="006265C4"/>
    <w:rsid w:val="0062678A"/>
    <w:rsid w:val="006270AF"/>
    <w:rsid w:val="00630F81"/>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48F6"/>
    <w:rsid w:val="006657C5"/>
    <w:rsid w:val="00665D7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5CCA"/>
    <w:rsid w:val="006764A8"/>
    <w:rsid w:val="00676A20"/>
    <w:rsid w:val="00677576"/>
    <w:rsid w:val="0068051E"/>
    <w:rsid w:val="00680B9D"/>
    <w:rsid w:val="00681F13"/>
    <w:rsid w:val="0068231C"/>
    <w:rsid w:val="00682344"/>
    <w:rsid w:val="00682F28"/>
    <w:rsid w:val="00683515"/>
    <w:rsid w:val="00684842"/>
    <w:rsid w:val="00684C14"/>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5EC0"/>
    <w:rsid w:val="00696D09"/>
    <w:rsid w:val="00697BD3"/>
    <w:rsid w:val="00697DFA"/>
    <w:rsid w:val="006A16D5"/>
    <w:rsid w:val="006A1772"/>
    <w:rsid w:val="006A1780"/>
    <w:rsid w:val="006A21DD"/>
    <w:rsid w:val="006A26C6"/>
    <w:rsid w:val="006A3302"/>
    <w:rsid w:val="006A3B28"/>
    <w:rsid w:val="006A4FEE"/>
    <w:rsid w:val="006A5549"/>
    <w:rsid w:val="006A703E"/>
    <w:rsid w:val="006A76FF"/>
    <w:rsid w:val="006A7BE3"/>
    <w:rsid w:val="006A7D32"/>
    <w:rsid w:val="006B01D1"/>
    <w:rsid w:val="006B0DF4"/>
    <w:rsid w:val="006B16EA"/>
    <w:rsid w:val="006B1780"/>
    <w:rsid w:val="006B21DC"/>
    <w:rsid w:val="006B224E"/>
    <w:rsid w:val="006B2A02"/>
    <w:rsid w:val="006B376E"/>
    <w:rsid w:val="006B4589"/>
    <w:rsid w:val="006B5157"/>
    <w:rsid w:val="006B610E"/>
    <w:rsid w:val="006B6805"/>
    <w:rsid w:val="006B6C07"/>
    <w:rsid w:val="006B6DE0"/>
    <w:rsid w:val="006C16C3"/>
    <w:rsid w:val="006C2187"/>
    <w:rsid w:val="006C27D9"/>
    <w:rsid w:val="006C32F4"/>
    <w:rsid w:val="006C3C54"/>
    <w:rsid w:val="006C4B6B"/>
    <w:rsid w:val="006C4CE1"/>
    <w:rsid w:val="006C4F9F"/>
    <w:rsid w:val="006C71A2"/>
    <w:rsid w:val="006C73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58BF"/>
    <w:rsid w:val="006E5DD8"/>
    <w:rsid w:val="006E5EA1"/>
    <w:rsid w:val="006E6DEE"/>
    <w:rsid w:val="006E7D4B"/>
    <w:rsid w:val="006F018A"/>
    <w:rsid w:val="006F0760"/>
    <w:rsid w:val="006F11E2"/>
    <w:rsid w:val="006F2290"/>
    <w:rsid w:val="006F2574"/>
    <w:rsid w:val="006F3231"/>
    <w:rsid w:val="006F3390"/>
    <w:rsid w:val="006F3DE3"/>
    <w:rsid w:val="006F4787"/>
    <w:rsid w:val="006F61D8"/>
    <w:rsid w:val="006F62B7"/>
    <w:rsid w:val="006F70BC"/>
    <w:rsid w:val="006F726C"/>
    <w:rsid w:val="006F7397"/>
    <w:rsid w:val="006F7E7C"/>
    <w:rsid w:val="0070162B"/>
    <w:rsid w:val="0070174E"/>
    <w:rsid w:val="007018DB"/>
    <w:rsid w:val="00701DE6"/>
    <w:rsid w:val="00702740"/>
    <w:rsid w:val="0070381B"/>
    <w:rsid w:val="0070796C"/>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4044"/>
    <w:rsid w:val="007243F2"/>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58C"/>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17C"/>
    <w:rsid w:val="00754250"/>
    <w:rsid w:val="0075497B"/>
    <w:rsid w:val="00754FE4"/>
    <w:rsid w:val="00755216"/>
    <w:rsid w:val="00756236"/>
    <w:rsid w:val="00756271"/>
    <w:rsid w:val="00756348"/>
    <w:rsid w:val="00756521"/>
    <w:rsid w:val="00756AB7"/>
    <w:rsid w:val="00757DC1"/>
    <w:rsid w:val="00760851"/>
    <w:rsid w:val="0076106D"/>
    <w:rsid w:val="007623FB"/>
    <w:rsid w:val="00762517"/>
    <w:rsid w:val="00763240"/>
    <w:rsid w:val="0076376A"/>
    <w:rsid w:val="007648AD"/>
    <w:rsid w:val="0076504E"/>
    <w:rsid w:val="00766421"/>
    <w:rsid w:val="00767BFD"/>
    <w:rsid w:val="00767EA0"/>
    <w:rsid w:val="0077068F"/>
    <w:rsid w:val="0077161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BB6"/>
    <w:rsid w:val="00787DA2"/>
    <w:rsid w:val="00787DFF"/>
    <w:rsid w:val="00787F93"/>
    <w:rsid w:val="00791E6D"/>
    <w:rsid w:val="00791EB5"/>
    <w:rsid w:val="0079343F"/>
    <w:rsid w:val="00793696"/>
    <w:rsid w:val="0079435B"/>
    <w:rsid w:val="00794964"/>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3BF0"/>
    <w:rsid w:val="007B7490"/>
    <w:rsid w:val="007B7B90"/>
    <w:rsid w:val="007C0525"/>
    <w:rsid w:val="007C06AF"/>
    <w:rsid w:val="007C13F7"/>
    <w:rsid w:val="007C1D77"/>
    <w:rsid w:val="007C218D"/>
    <w:rsid w:val="007C2D28"/>
    <w:rsid w:val="007C3E22"/>
    <w:rsid w:val="007C58C1"/>
    <w:rsid w:val="007C6218"/>
    <w:rsid w:val="007C6484"/>
    <w:rsid w:val="007C67C6"/>
    <w:rsid w:val="007C78BE"/>
    <w:rsid w:val="007C7A5D"/>
    <w:rsid w:val="007C7E59"/>
    <w:rsid w:val="007D0476"/>
    <w:rsid w:val="007D0B91"/>
    <w:rsid w:val="007D0FE7"/>
    <w:rsid w:val="007D1452"/>
    <w:rsid w:val="007D1563"/>
    <w:rsid w:val="007D1B59"/>
    <w:rsid w:val="007D3DCB"/>
    <w:rsid w:val="007D460C"/>
    <w:rsid w:val="007D4996"/>
    <w:rsid w:val="007D4AD3"/>
    <w:rsid w:val="007D5D19"/>
    <w:rsid w:val="007D5FDC"/>
    <w:rsid w:val="007D6176"/>
    <w:rsid w:val="007D69CD"/>
    <w:rsid w:val="007D6D68"/>
    <w:rsid w:val="007D757F"/>
    <w:rsid w:val="007E194F"/>
    <w:rsid w:val="007E32DA"/>
    <w:rsid w:val="007E4998"/>
    <w:rsid w:val="007E4A9C"/>
    <w:rsid w:val="007E6914"/>
    <w:rsid w:val="007E7F78"/>
    <w:rsid w:val="007F0179"/>
    <w:rsid w:val="007F2C13"/>
    <w:rsid w:val="007F2CEC"/>
    <w:rsid w:val="007F2ED1"/>
    <w:rsid w:val="007F3435"/>
    <w:rsid w:val="007F505D"/>
    <w:rsid w:val="007F5095"/>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BB6"/>
    <w:rsid w:val="00810E8E"/>
    <w:rsid w:val="00812C44"/>
    <w:rsid w:val="008135E1"/>
    <w:rsid w:val="00813779"/>
    <w:rsid w:val="00813E26"/>
    <w:rsid w:val="0081481D"/>
    <w:rsid w:val="00814BE8"/>
    <w:rsid w:val="00814F6E"/>
    <w:rsid w:val="00815B84"/>
    <w:rsid w:val="00816342"/>
    <w:rsid w:val="008166F6"/>
    <w:rsid w:val="00816BE9"/>
    <w:rsid w:val="00817D10"/>
    <w:rsid w:val="00822518"/>
    <w:rsid w:val="008226F5"/>
    <w:rsid w:val="00823FC6"/>
    <w:rsid w:val="00824306"/>
    <w:rsid w:val="0082466C"/>
    <w:rsid w:val="00825C74"/>
    <w:rsid w:val="00825CFA"/>
    <w:rsid w:val="00826AB9"/>
    <w:rsid w:val="00826E0E"/>
    <w:rsid w:val="00827D11"/>
    <w:rsid w:val="00827E0F"/>
    <w:rsid w:val="00827F6E"/>
    <w:rsid w:val="00831758"/>
    <w:rsid w:val="008317D9"/>
    <w:rsid w:val="00831AEC"/>
    <w:rsid w:val="0083279F"/>
    <w:rsid w:val="00832CE9"/>
    <w:rsid w:val="008334DB"/>
    <w:rsid w:val="00833B7F"/>
    <w:rsid w:val="00833E8E"/>
    <w:rsid w:val="00834906"/>
    <w:rsid w:val="00836075"/>
    <w:rsid w:val="00836417"/>
    <w:rsid w:val="00836D47"/>
    <w:rsid w:val="00837526"/>
    <w:rsid w:val="008407A7"/>
    <w:rsid w:val="0084322B"/>
    <w:rsid w:val="00843F81"/>
    <w:rsid w:val="00844087"/>
    <w:rsid w:val="00844755"/>
    <w:rsid w:val="008448F1"/>
    <w:rsid w:val="0084519E"/>
    <w:rsid w:val="00845CAE"/>
    <w:rsid w:val="008462C5"/>
    <w:rsid w:val="008462FA"/>
    <w:rsid w:val="00846370"/>
    <w:rsid w:val="00846873"/>
    <w:rsid w:val="00846F2E"/>
    <w:rsid w:val="008477E7"/>
    <w:rsid w:val="00847AEC"/>
    <w:rsid w:val="00847C2B"/>
    <w:rsid w:val="00850272"/>
    <w:rsid w:val="008506B9"/>
    <w:rsid w:val="0085086F"/>
    <w:rsid w:val="00851822"/>
    <w:rsid w:val="00851C16"/>
    <w:rsid w:val="008532BF"/>
    <w:rsid w:val="008532C1"/>
    <w:rsid w:val="008539B2"/>
    <w:rsid w:val="00853BF4"/>
    <w:rsid w:val="00854294"/>
    <w:rsid w:val="00854295"/>
    <w:rsid w:val="0085472F"/>
    <w:rsid w:val="0085572E"/>
    <w:rsid w:val="0085788B"/>
    <w:rsid w:val="00857A9E"/>
    <w:rsid w:val="00857DE2"/>
    <w:rsid w:val="0086003D"/>
    <w:rsid w:val="008617DE"/>
    <w:rsid w:val="008632C2"/>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121C"/>
    <w:rsid w:val="00871FD2"/>
    <w:rsid w:val="00872084"/>
    <w:rsid w:val="00872827"/>
    <w:rsid w:val="00872A32"/>
    <w:rsid w:val="0087439E"/>
    <w:rsid w:val="00874911"/>
    <w:rsid w:val="008754E4"/>
    <w:rsid w:val="00876EAE"/>
    <w:rsid w:val="00880106"/>
    <w:rsid w:val="00880F95"/>
    <w:rsid w:val="00882B44"/>
    <w:rsid w:val="008838AD"/>
    <w:rsid w:val="00885BC9"/>
    <w:rsid w:val="008864B3"/>
    <w:rsid w:val="008865E5"/>
    <w:rsid w:val="008871B0"/>
    <w:rsid w:val="00887ABC"/>
    <w:rsid w:val="00890B57"/>
    <w:rsid w:val="008916BA"/>
    <w:rsid w:val="00891D6C"/>
    <w:rsid w:val="0089217C"/>
    <w:rsid w:val="00892790"/>
    <w:rsid w:val="00893671"/>
    <w:rsid w:val="00895838"/>
    <w:rsid w:val="00895A1E"/>
    <w:rsid w:val="00895A72"/>
    <w:rsid w:val="00895CDF"/>
    <w:rsid w:val="00896679"/>
    <w:rsid w:val="00896D8C"/>
    <w:rsid w:val="008A0FC9"/>
    <w:rsid w:val="008A1956"/>
    <w:rsid w:val="008A1A7C"/>
    <w:rsid w:val="008A2CE2"/>
    <w:rsid w:val="008A40D3"/>
    <w:rsid w:val="008A469C"/>
    <w:rsid w:val="008A50FB"/>
    <w:rsid w:val="008A51D1"/>
    <w:rsid w:val="008A5C49"/>
    <w:rsid w:val="008A5DCE"/>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3AE"/>
    <w:rsid w:val="008C3618"/>
    <w:rsid w:val="008C39E7"/>
    <w:rsid w:val="008C43AD"/>
    <w:rsid w:val="008C6118"/>
    <w:rsid w:val="008C6341"/>
    <w:rsid w:val="008C653D"/>
    <w:rsid w:val="008C731F"/>
    <w:rsid w:val="008C74D9"/>
    <w:rsid w:val="008D06E6"/>
    <w:rsid w:val="008D2050"/>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6540"/>
    <w:rsid w:val="008E6BD7"/>
    <w:rsid w:val="008E6FBE"/>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087C"/>
    <w:rsid w:val="00901121"/>
    <w:rsid w:val="00902623"/>
    <w:rsid w:val="00902A67"/>
    <w:rsid w:val="00902C5E"/>
    <w:rsid w:val="00904BE4"/>
    <w:rsid w:val="0090504A"/>
    <w:rsid w:val="009051F5"/>
    <w:rsid w:val="00905221"/>
    <w:rsid w:val="00905664"/>
    <w:rsid w:val="00905A7C"/>
    <w:rsid w:val="00905D7E"/>
    <w:rsid w:val="0090600E"/>
    <w:rsid w:val="00906ADF"/>
    <w:rsid w:val="00907037"/>
    <w:rsid w:val="00907259"/>
    <w:rsid w:val="009108E3"/>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3E4"/>
    <w:rsid w:val="00917C01"/>
    <w:rsid w:val="00920184"/>
    <w:rsid w:val="00920EA4"/>
    <w:rsid w:val="00921792"/>
    <w:rsid w:val="00921BEA"/>
    <w:rsid w:val="00921CDD"/>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7F0"/>
    <w:rsid w:val="00932ED7"/>
    <w:rsid w:val="0093422D"/>
    <w:rsid w:val="0093483B"/>
    <w:rsid w:val="00934CF9"/>
    <w:rsid w:val="00934DD7"/>
    <w:rsid w:val="00935CB2"/>
    <w:rsid w:val="009369A9"/>
    <w:rsid w:val="00936CF7"/>
    <w:rsid w:val="00937783"/>
    <w:rsid w:val="00937EAD"/>
    <w:rsid w:val="00937F28"/>
    <w:rsid w:val="00940FE1"/>
    <w:rsid w:val="00941474"/>
    <w:rsid w:val="00942306"/>
    <w:rsid w:val="009424B8"/>
    <w:rsid w:val="009432E2"/>
    <w:rsid w:val="009438D8"/>
    <w:rsid w:val="00944668"/>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537"/>
    <w:rsid w:val="0095472D"/>
    <w:rsid w:val="00955342"/>
    <w:rsid w:val="00955FBB"/>
    <w:rsid w:val="0095694B"/>
    <w:rsid w:val="00956BD5"/>
    <w:rsid w:val="00956D84"/>
    <w:rsid w:val="009577B5"/>
    <w:rsid w:val="0095793A"/>
    <w:rsid w:val="009608E6"/>
    <w:rsid w:val="00960F57"/>
    <w:rsid w:val="00961C90"/>
    <w:rsid w:val="00965443"/>
    <w:rsid w:val="00965954"/>
    <w:rsid w:val="00965A21"/>
    <w:rsid w:val="00965E55"/>
    <w:rsid w:val="0096608E"/>
    <w:rsid w:val="00966522"/>
    <w:rsid w:val="00966C33"/>
    <w:rsid w:val="009709FD"/>
    <w:rsid w:val="00970F18"/>
    <w:rsid w:val="00971CF1"/>
    <w:rsid w:val="00971F5D"/>
    <w:rsid w:val="009721E9"/>
    <w:rsid w:val="00973772"/>
    <w:rsid w:val="0097560A"/>
    <w:rsid w:val="00975E1E"/>
    <w:rsid w:val="00975E70"/>
    <w:rsid w:val="009761DE"/>
    <w:rsid w:val="009766FA"/>
    <w:rsid w:val="00977CD6"/>
    <w:rsid w:val="0098048B"/>
    <w:rsid w:val="00980908"/>
    <w:rsid w:val="00980DF9"/>
    <w:rsid w:val="00981CD8"/>
    <w:rsid w:val="0098243D"/>
    <w:rsid w:val="00982D26"/>
    <w:rsid w:val="00983B6E"/>
    <w:rsid w:val="00983FE5"/>
    <w:rsid w:val="009849E9"/>
    <w:rsid w:val="00984AFF"/>
    <w:rsid w:val="009859E4"/>
    <w:rsid w:val="00985D7F"/>
    <w:rsid w:val="00987812"/>
    <w:rsid w:val="00990225"/>
    <w:rsid w:val="00990E13"/>
    <w:rsid w:val="00991307"/>
    <w:rsid w:val="00991FAA"/>
    <w:rsid w:val="00992A13"/>
    <w:rsid w:val="00993DB0"/>
    <w:rsid w:val="00994AAD"/>
    <w:rsid w:val="00995150"/>
    <w:rsid w:val="00995D67"/>
    <w:rsid w:val="00997613"/>
    <w:rsid w:val="009A013B"/>
    <w:rsid w:val="009A02F4"/>
    <w:rsid w:val="009A06BF"/>
    <w:rsid w:val="009A0D17"/>
    <w:rsid w:val="009A2494"/>
    <w:rsid w:val="009A32B1"/>
    <w:rsid w:val="009A33A3"/>
    <w:rsid w:val="009A36F2"/>
    <w:rsid w:val="009A40C3"/>
    <w:rsid w:val="009A40D5"/>
    <w:rsid w:val="009A4933"/>
    <w:rsid w:val="009A5268"/>
    <w:rsid w:val="009A57D0"/>
    <w:rsid w:val="009A5DF3"/>
    <w:rsid w:val="009A6559"/>
    <w:rsid w:val="009A68FC"/>
    <w:rsid w:val="009A6CE4"/>
    <w:rsid w:val="009A7514"/>
    <w:rsid w:val="009A7E7A"/>
    <w:rsid w:val="009B0925"/>
    <w:rsid w:val="009B1584"/>
    <w:rsid w:val="009B18F0"/>
    <w:rsid w:val="009B1F4C"/>
    <w:rsid w:val="009B2471"/>
    <w:rsid w:val="009B25E8"/>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2B2"/>
    <w:rsid w:val="009C7547"/>
    <w:rsid w:val="009D05EC"/>
    <w:rsid w:val="009D18D4"/>
    <w:rsid w:val="009D1FCF"/>
    <w:rsid w:val="009D2F60"/>
    <w:rsid w:val="009D3A2E"/>
    <w:rsid w:val="009D5ADE"/>
    <w:rsid w:val="009D5BAC"/>
    <w:rsid w:val="009D5C56"/>
    <w:rsid w:val="009D6265"/>
    <w:rsid w:val="009D64BD"/>
    <w:rsid w:val="009D6CB1"/>
    <w:rsid w:val="009D78A1"/>
    <w:rsid w:val="009E0286"/>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2FA9"/>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60B0"/>
    <w:rsid w:val="00A168F4"/>
    <w:rsid w:val="00A1740C"/>
    <w:rsid w:val="00A17904"/>
    <w:rsid w:val="00A20069"/>
    <w:rsid w:val="00A2244D"/>
    <w:rsid w:val="00A2253D"/>
    <w:rsid w:val="00A2267F"/>
    <w:rsid w:val="00A22CDB"/>
    <w:rsid w:val="00A23956"/>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951"/>
    <w:rsid w:val="00A43A26"/>
    <w:rsid w:val="00A447A0"/>
    <w:rsid w:val="00A459F5"/>
    <w:rsid w:val="00A45FC0"/>
    <w:rsid w:val="00A46B74"/>
    <w:rsid w:val="00A47833"/>
    <w:rsid w:val="00A47BF7"/>
    <w:rsid w:val="00A47ECC"/>
    <w:rsid w:val="00A50171"/>
    <w:rsid w:val="00A504FA"/>
    <w:rsid w:val="00A5102E"/>
    <w:rsid w:val="00A5132E"/>
    <w:rsid w:val="00A51375"/>
    <w:rsid w:val="00A51533"/>
    <w:rsid w:val="00A531D4"/>
    <w:rsid w:val="00A54572"/>
    <w:rsid w:val="00A575B8"/>
    <w:rsid w:val="00A619BB"/>
    <w:rsid w:val="00A61C60"/>
    <w:rsid w:val="00A61ECB"/>
    <w:rsid w:val="00A6410C"/>
    <w:rsid w:val="00A647B1"/>
    <w:rsid w:val="00A64DEF"/>
    <w:rsid w:val="00A654D2"/>
    <w:rsid w:val="00A665DF"/>
    <w:rsid w:val="00A67FCC"/>
    <w:rsid w:val="00A70AA5"/>
    <w:rsid w:val="00A70C03"/>
    <w:rsid w:val="00A71256"/>
    <w:rsid w:val="00A7217B"/>
    <w:rsid w:val="00A722D7"/>
    <w:rsid w:val="00A723A3"/>
    <w:rsid w:val="00A73861"/>
    <w:rsid w:val="00A739A6"/>
    <w:rsid w:val="00A740ED"/>
    <w:rsid w:val="00A74C29"/>
    <w:rsid w:val="00A74C62"/>
    <w:rsid w:val="00A75EF9"/>
    <w:rsid w:val="00A7657C"/>
    <w:rsid w:val="00A8311C"/>
    <w:rsid w:val="00A835D0"/>
    <w:rsid w:val="00A84C5F"/>
    <w:rsid w:val="00A85930"/>
    <w:rsid w:val="00A863F7"/>
    <w:rsid w:val="00A86604"/>
    <w:rsid w:val="00A87519"/>
    <w:rsid w:val="00A9246D"/>
    <w:rsid w:val="00A92CCA"/>
    <w:rsid w:val="00A9333E"/>
    <w:rsid w:val="00A93BD0"/>
    <w:rsid w:val="00A93CC2"/>
    <w:rsid w:val="00A94D4B"/>
    <w:rsid w:val="00A954AB"/>
    <w:rsid w:val="00A974CC"/>
    <w:rsid w:val="00AA2001"/>
    <w:rsid w:val="00AA2B5C"/>
    <w:rsid w:val="00AA32D2"/>
    <w:rsid w:val="00AA3B8B"/>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5D57"/>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5721"/>
    <w:rsid w:val="00AD69F0"/>
    <w:rsid w:val="00AD6D77"/>
    <w:rsid w:val="00AD7127"/>
    <w:rsid w:val="00AD730C"/>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B003FF"/>
    <w:rsid w:val="00B0098A"/>
    <w:rsid w:val="00B00A5F"/>
    <w:rsid w:val="00B0208D"/>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868"/>
    <w:rsid w:val="00B11AE5"/>
    <w:rsid w:val="00B12FE6"/>
    <w:rsid w:val="00B1303F"/>
    <w:rsid w:val="00B1364A"/>
    <w:rsid w:val="00B13859"/>
    <w:rsid w:val="00B13EC9"/>
    <w:rsid w:val="00B14319"/>
    <w:rsid w:val="00B14A06"/>
    <w:rsid w:val="00B14C61"/>
    <w:rsid w:val="00B158E1"/>
    <w:rsid w:val="00B16715"/>
    <w:rsid w:val="00B1768E"/>
    <w:rsid w:val="00B17910"/>
    <w:rsid w:val="00B20F18"/>
    <w:rsid w:val="00B21516"/>
    <w:rsid w:val="00B21A37"/>
    <w:rsid w:val="00B21D23"/>
    <w:rsid w:val="00B21EF0"/>
    <w:rsid w:val="00B21F62"/>
    <w:rsid w:val="00B22CE0"/>
    <w:rsid w:val="00B23738"/>
    <w:rsid w:val="00B23BEF"/>
    <w:rsid w:val="00B247BB"/>
    <w:rsid w:val="00B2504A"/>
    <w:rsid w:val="00B25EE6"/>
    <w:rsid w:val="00B3115A"/>
    <w:rsid w:val="00B3178B"/>
    <w:rsid w:val="00B31825"/>
    <w:rsid w:val="00B31A5C"/>
    <w:rsid w:val="00B32265"/>
    <w:rsid w:val="00B3276D"/>
    <w:rsid w:val="00B33B06"/>
    <w:rsid w:val="00B33C19"/>
    <w:rsid w:val="00B35A15"/>
    <w:rsid w:val="00B35B45"/>
    <w:rsid w:val="00B36165"/>
    <w:rsid w:val="00B36A99"/>
    <w:rsid w:val="00B379C1"/>
    <w:rsid w:val="00B42264"/>
    <w:rsid w:val="00B434B2"/>
    <w:rsid w:val="00B43D45"/>
    <w:rsid w:val="00B459AF"/>
    <w:rsid w:val="00B468F2"/>
    <w:rsid w:val="00B469DE"/>
    <w:rsid w:val="00B47286"/>
    <w:rsid w:val="00B47EB4"/>
    <w:rsid w:val="00B47F5D"/>
    <w:rsid w:val="00B50234"/>
    <w:rsid w:val="00B51BF4"/>
    <w:rsid w:val="00B52185"/>
    <w:rsid w:val="00B52C68"/>
    <w:rsid w:val="00B5372B"/>
    <w:rsid w:val="00B53CE8"/>
    <w:rsid w:val="00B542FE"/>
    <w:rsid w:val="00B54357"/>
    <w:rsid w:val="00B55A1B"/>
    <w:rsid w:val="00B561DB"/>
    <w:rsid w:val="00B56DF9"/>
    <w:rsid w:val="00B56E80"/>
    <w:rsid w:val="00B571F1"/>
    <w:rsid w:val="00B600BD"/>
    <w:rsid w:val="00B60E4E"/>
    <w:rsid w:val="00B61274"/>
    <w:rsid w:val="00B61DCE"/>
    <w:rsid w:val="00B62188"/>
    <w:rsid w:val="00B62F79"/>
    <w:rsid w:val="00B62F82"/>
    <w:rsid w:val="00B6306A"/>
    <w:rsid w:val="00B635E3"/>
    <w:rsid w:val="00B64331"/>
    <w:rsid w:val="00B662FF"/>
    <w:rsid w:val="00B66679"/>
    <w:rsid w:val="00B66DE6"/>
    <w:rsid w:val="00B70145"/>
    <w:rsid w:val="00B71A92"/>
    <w:rsid w:val="00B721D8"/>
    <w:rsid w:val="00B730CA"/>
    <w:rsid w:val="00B732EA"/>
    <w:rsid w:val="00B73747"/>
    <w:rsid w:val="00B747C5"/>
    <w:rsid w:val="00B74F2F"/>
    <w:rsid w:val="00B753ED"/>
    <w:rsid w:val="00B7665F"/>
    <w:rsid w:val="00B769BC"/>
    <w:rsid w:val="00B770F7"/>
    <w:rsid w:val="00B77349"/>
    <w:rsid w:val="00B7761E"/>
    <w:rsid w:val="00B803B8"/>
    <w:rsid w:val="00B80A3D"/>
    <w:rsid w:val="00B80B04"/>
    <w:rsid w:val="00B815CC"/>
    <w:rsid w:val="00B821E4"/>
    <w:rsid w:val="00B823E0"/>
    <w:rsid w:val="00B8260D"/>
    <w:rsid w:val="00B82B78"/>
    <w:rsid w:val="00B845B4"/>
    <w:rsid w:val="00B84662"/>
    <w:rsid w:val="00B84C74"/>
    <w:rsid w:val="00B84CE9"/>
    <w:rsid w:val="00B85191"/>
    <w:rsid w:val="00B858A1"/>
    <w:rsid w:val="00B85FEC"/>
    <w:rsid w:val="00B864A3"/>
    <w:rsid w:val="00B86C2A"/>
    <w:rsid w:val="00B87828"/>
    <w:rsid w:val="00B902A5"/>
    <w:rsid w:val="00B90420"/>
    <w:rsid w:val="00B90848"/>
    <w:rsid w:val="00B91146"/>
    <w:rsid w:val="00B913E4"/>
    <w:rsid w:val="00B91B00"/>
    <w:rsid w:val="00B91DB9"/>
    <w:rsid w:val="00B91FF3"/>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026"/>
    <w:rsid w:val="00BA138B"/>
    <w:rsid w:val="00BA305B"/>
    <w:rsid w:val="00BA31BF"/>
    <w:rsid w:val="00BA3C0F"/>
    <w:rsid w:val="00BA3FC7"/>
    <w:rsid w:val="00BA478B"/>
    <w:rsid w:val="00BA5224"/>
    <w:rsid w:val="00BA575E"/>
    <w:rsid w:val="00BA66FA"/>
    <w:rsid w:val="00BA76B7"/>
    <w:rsid w:val="00BA7E3B"/>
    <w:rsid w:val="00BB078D"/>
    <w:rsid w:val="00BB079C"/>
    <w:rsid w:val="00BB0D7A"/>
    <w:rsid w:val="00BB10E1"/>
    <w:rsid w:val="00BB2471"/>
    <w:rsid w:val="00BB3035"/>
    <w:rsid w:val="00BB39C1"/>
    <w:rsid w:val="00BB3DF5"/>
    <w:rsid w:val="00BB3EA7"/>
    <w:rsid w:val="00BB5D16"/>
    <w:rsid w:val="00BB6180"/>
    <w:rsid w:val="00BB69E6"/>
    <w:rsid w:val="00BB7323"/>
    <w:rsid w:val="00BB7BE5"/>
    <w:rsid w:val="00BC08BD"/>
    <w:rsid w:val="00BC11E8"/>
    <w:rsid w:val="00BC1B7A"/>
    <w:rsid w:val="00BC2C17"/>
    <w:rsid w:val="00BC324F"/>
    <w:rsid w:val="00BC3ACD"/>
    <w:rsid w:val="00BC3B20"/>
    <w:rsid w:val="00BC3EE4"/>
    <w:rsid w:val="00BC588C"/>
    <w:rsid w:val="00BC6E73"/>
    <w:rsid w:val="00BC74D3"/>
    <w:rsid w:val="00BD0014"/>
    <w:rsid w:val="00BD01D8"/>
    <w:rsid w:val="00BD255F"/>
    <w:rsid w:val="00BD2895"/>
    <w:rsid w:val="00BD4236"/>
    <w:rsid w:val="00BD483B"/>
    <w:rsid w:val="00BD51F9"/>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31CF"/>
    <w:rsid w:val="00C047AB"/>
    <w:rsid w:val="00C058AF"/>
    <w:rsid w:val="00C075B6"/>
    <w:rsid w:val="00C076DC"/>
    <w:rsid w:val="00C124C1"/>
    <w:rsid w:val="00C128AE"/>
    <w:rsid w:val="00C12BA8"/>
    <w:rsid w:val="00C13094"/>
    <w:rsid w:val="00C136D6"/>
    <w:rsid w:val="00C13D5B"/>
    <w:rsid w:val="00C141D7"/>
    <w:rsid w:val="00C1711B"/>
    <w:rsid w:val="00C17AE2"/>
    <w:rsid w:val="00C20140"/>
    <w:rsid w:val="00C20F27"/>
    <w:rsid w:val="00C215CF"/>
    <w:rsid w:val="00C2244B"/>
    <w:rsid w:val="00C22711"/>
    <w:rsid w:val="00C2280A"/>
    <w:rsid w:val="00C22B0D"/>
    <w:rsid w:val="00C22BFF"/>
    <w:rsid w:val="00C23522"/>
    <w:rsid w:val="00C240C1"/>
    <w:rsid w:val="00C24124"/>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2F9"/>
    <w:rsid w:val="00C34619"/>
    <w:rsid w:val="00C348D9"/>
    <w:rsid w:val="00C35D01"/>
    <w:rsid w:val="00C35EDC"/>
    <w:rsid w:val="00C360B3"/>
    <w:rsid w:val="00C37027"/>
    <w:rsid w:val="00C373BF"/>
    <w:rsid w:val="00C37B19"/>
    <w:rsid w:val="00C41349"/>
    <w:rsid w:val="00C413CB"/>
    <w:rsid w:val="00C42752"/>
    <w:rsid w:val="00C42973"/>
    <w:rsid w:val="00C46B95"/>
    <w:rsid w:val="00C4712A"/>
    <w:rsid w:val="00C5034F"/>
    <w:rsid w:val="00C50830"/>
    <w:rsid w:val="00C52479"/>
    <w:rsid w:val="00C5266E"/>
    <w:rsid w:val="00C52C59"/>
    <w:rsid w:val="00C5349E"/>
    <w:rsid w:val="00C539FF"/>
    <w:rsid w:val="00C53FB4"/>
    <w:rsid w:val="00C544BD"/>
    <w:rsid w:val="00C54D3D"/>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540A"/>
    <w:rsid w:val="00C655D9"/>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62F"/>
    <w:rsid w:val="00C85BA4"/>
    <w:rsid w:val="00C8618F"/>
    <w:rsid w:val="00C8625D"/>
    <w:rsid w:val="00C90372"/>
    <w:rsid w:val="00C9041F"/>
    <w:rsid w:val="00C9166B"/>
    <w:rsid w:val="00C91945"/>
    <w:rsid w:val="00C91A45"/>
    <w:rsid w:val="00C91FB4"/>
    <w:rsid w:val="00C92150"/>
    <w:rsid w:val="00C92328"/>
    <w:rsid w:val="00C92D42"/>
    <w:rsid w:val="00C938C2"/>
    <w:rsid w:val="00C93F8A"/>
    <w:rsid w:val="00C94EA1"/>
    <w:rsid w:val="00C95745"/>
    <w:rsid w:val="00C95902"/>
    <w:rsid w:val="00C962E3"/>
    <w:rsid w:val="00C96F26"/>
    <w:rsid w:val="00C978E2"/>
    <w:rsid w:val="00C97997"/>
    <w:rsid w:val="00CA10A2"/>
    <w:rsid w:val="00CA1D83"/>
    <w:rsid w:val="00CA23E1"/>
    <w:rsid w:val="00CA25C0"/>
    <w:rsid w:val="00CA3451"/>
    <w:rsid w:val="00CA35C6"/>
    <w:rsid w:val="00CA4948"/>
    <w:rsid w:val="00CA52F9"/>
    <w:rsid w:val="00CA5368"/>
    <w:rsid w:val="00CA568B"/>
    <w:rsid w:val="00CA573A"/>
    <w:rsid w:val="00CA5C58"/>
    <w:rsid w:val="00CB103C"/>
    <w:rsid w:val="00CB11C3"/>
    <w:rsid w:val="00CB19D7"/>
    <w:rsid w:val="00CB19FE"/>
    <w:rsid w:val="00CB1C3F"/>
    <w:rsid w:val="00CB2364"/>
    <w:rsid w:val="00CB304C"/>
    <w:rsid w:val="00CB3933"/>
    <w:rsid w:val="00CB5010"/>
    <w:rsid w:val="00CB53E8"/>
    <w:rsid w:val="00CB594A"/>
    <w:rsid w:val="00CB5CB2"/>
    <w:rsid w:val="00CB6979"/>
    <w:rsid w:val="00CB7DDE"/>
    <w:rsid w:val="00CC0A3D"/>
    <w:rsid w:val="00CC2FF0"/>
    <w:rsid w:val="00CC3C1C"/>
    <w:rsid w:val="00CC3C53"/>
    <w:rsid w:val="00CC3D24"/>
    <w:rsid w:val="00CC3F91"/>
    <w:rsid w:val="00CC47EE"/>
    <w:rsid w:val="00CC4ACD"/>
    <w:rsid w:val="00CC4B0A"/>
    <w:rsid w:val="00CC544A"/>
    <w:rsid w:val="00CC57EA"/>
    <w:rsid w:val="00CC5954"/>
    <w:rsid w:val="00CC629B"/>
    <w:rsid w:val="00CC6C4E"/>
    <w:rsid w:val="00CD009D"/>
    <w:rsid w:val="00CD05A2"/>
    <w:rsid w:val="00CD1614"/>
    <w:rsid w:val="00CD29D4"/>
    <w:rsid w:val="00CD2B5C"/>
    <w:rsid w:val="00CD2FF3"/>
    <w:rsid w:val="00CD3323"/>
    <w:rsid w:val="00CD38F5"/>
    <w:rsid w:val="00CD3BF2"/>
    <w:rsid w:val="00CD437E"/>
    <w:rsid w:val="00CD55A4"/>
    <w:rsid w:val="00CD5DAD"/>
    <w:rsid w:val="00CD72C5"/>
    <w:rsid w:val="00CD79A7"/>
    <w:rsid w:val="00CD7FAD"/>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327"/>
    <w:rsid w:val="00CE68AD"/>
    <w:rsid w:val="00CE6F9F"/>
    <w:rsid w:val="00CE781A"/>
    <w:rsid w:val="00CE7B08"/>
    <w:rsid w:val="00CE7D52"/>
    <w:rsid w:val="00CF0AB7"/>
    <w:rsid w:val="00CF1D74"/>
    <w:rsid w:val="00CF2BE2"/>
    <w:rsid w:val="00CF3DEB"/>
    <w:rsid w:val="00CF55F9"/>
    <w:rsid w:val="00CF7074"/>
    <w:rsid w:val="00CF7495"/>
    <w:rsid w:val="00D01CF9"/>
    <w:rsid w:val="00D027ED"/>
    <w:rsid w:val="00D0334D"/>
    <w:rsid w:val="00D0374D"/>
    <w:rsid w:val="00D0553C"/>
    <w:rsid w:val="00D06D7B"/>
    <w:rsid w:val="00D06DA5"/>
    <w:rsid w:val="00D07191"/>
    <w:rsid w:val="00D07F1D"/>
    <w:rsid w:val="00D10558"/>
    <w:rsid w:val="00D11D4D"/>
    <w:rsid w:val="00D11DB1"/>
    <w:rsid w:val="00D126DC"/>
    <w:rsid w:val="00D12B03"/>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2769E"/>
    <w:rsid w:val="00D3028A"/>
    <w:rsid w:val="00D32E3F"/>
    <w:rsid w:val="00D33488"/>
    <w:rsid w:val="00D33AB3"/>
    <w:rsid w:val="00D33F24"/>
    <w:rsid w:val="00D34160"/>
    <w:rsid w:val="00D346B8"/>
    <w:rsid w:val="00D34DCA"/>
    <w:rsid w:val="00D35AC8"/>
    <w:rsid w:val="00D36477"/>
    <w:rsid w:val="00D36F87"/>
    <w:rsid w:val="00D37436"/>
    <w:rsid w:val="00D37E4E"/>
    <w:rsid w:val="00D4165C"/>
    <w:rsid w:val="00D417D8"/>
    <w:rsid w:val="00D41F78"/>
    <w:rsid w:val="00D42E6C"/>
    <w:rsid w:val="00D4351C"/>
    <w:rsid w:val="00D43B80"/>
    <w:rsid w:val="00D44988"/>
    <w:rsid w:val="00D45373"/>
    <w:rsid w:val="00D45B4C"/>
    <w:rsid w:val="00D45BA4"/>
    <w:rsid w:val="00D471AF"/>
    <w:rsid w:val="00D471E2"/>
    <w:rsid w:val="00D4724F"/>
    <w:rsid w:val="00D50519"/>
    <w:rsid w:val="00D50779"/>
    <w:rsid w:val="00D51601"/>
    <w:rsid w:val="00D51ECB"/>
    <w:rsid w:val="00D5264C"/>
    <w:rsid w:val="00D52BBC"/>
    <w:rsid w:val="00D537FE"/>
    <w:rsid w:val="00D53CC9"/>
    <w:rsid w:val="00D54A6A"/>
    <w:rsid w:val="00D54B8F"/>
    <w:rsid w:val="00D55848"/>
    <w:rsid w:val="00D55951"/>
    <w:rsid w:val="00D559F0"/>
    <w:rsid w:val="00D5650F"/>
    <w:rsid w:val="00D57EB6"/>
    <w:rsid w:val="00D608C0"/>
    <w:rsid w:val="00D60D6D"/>
    <w:rsid w:val="00D6128C"/>
    <w:rsid w:val="00D63B22"/>
    <w:rsid w:val="00D66742"/>
    <w:rsid w:val="00D66D8B"/>
    <w:rsid w:val="00D70849"/>
    <w:rsid w:val="00D72297"/>
    <w:rsid w:val="00D72A1C"/>
    <w:rsid w:val="00D7308F"/>
    <w:rsid w:val="00D7313E"/>
    <w:rsid w:val="00D73580"/>
    <w:rsid w:val="00D73802"/>
    <w:rsid w:val="00D73C2C"/>
    <w:rsid w:val="00D73D52"/>
    <w:rsid w:val="00D745E7"/>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281"/>
    <w:rsid w:val="00D853F0"/>
    <w:rsid w:val="00D85862"/>
    <w:rsid w:val="00D8594A"/>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485"/>
    <w:rsid w:val="00DA1A3A"/>
    <w:rsid w:val="00DA2351"/>
    <w:rsid w:val="00DA249E"/>
    <w:rsid w:val="00DA2D3D"/>
    <w:rsid w:val="00DA3855"/>
    <w:rsid w:val="00DA39BA"/>
    <w:rsid w:val="00DA4C30"/>
    <w:rsid w:val="00DA6A44"/>
    <w:rsid w:val="00DA7A3C"/>
    <w:rsid w:val="00DB145E"/>
    <w:rsid w:val="00DB1A94"/>
    <w:rsid w:val="00DB1D52"/>
    <w:rsid w:val="00DB1E2B"/>
    <w:rsid w:val="00DB1F62"/>
    <w:rsid w:val="00DB21E7"/>
    <w:rsid w:val="00DB2E03"/>
    <w:rsid w:val="00DB3742"/>
    <w:rsid w:val="00DB3E9B"/>
    <w:rsid w:val="00DB3F4B"/>
    <w:rsid w:val="00DB5375"/>
    <w:rsid w:val="00DB6182"/>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8BA"/>
    <w:rsid w:val="00DD2A18"/>
    <w:rsid w:val="00DD3044"/>
    <w:rsid w:val="00DD3985"/>
    <w:rsid w:val="00DD61E8"/>
    <w:rsid w:val="00DD62C0"/>
    <w:rsid w:val="00DD64DE"/>
    <w:rsid w:val="00DD66DE"/>
    <w:rsid w:val="00DD7859"/>
    <w:rsid w:val="00DD7B41"/>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044"/>
    <w:rsid w:val="00E0219D"/>
    <w:rsid w:val="00E04C0F"/>
    <w:rsid w:val="00E0570B"/>
    <w:rsid w:val="00E069C5"/>
    <w:rsid w:val="00E10913"/>
    <w:rsid w:val="00E10B87"/>
    <w:rsid w:val="00E121CE"/>
    <w:rsid w:val="00E12209"/>
    <w:rsid w:val="00E1478B"/>
    <w:rsid w:val="00E14FAC"/>
    <w:rsid w:val="00E15007"/>
    <w:rsid w:val="00E16277"/>
    <w:rsid w:val="00E16DA5"/>
    <w:rsid w:val="00E16EC7"/>
    <w:rsid w:val="00E17DCC"/>
    <w:rsid w:val="00E219CE"/>
    <w:rsid w:val="00E21D93"/>
    <w:rsid w:val="00E22D2A"/>
    <w:rsid w:val="00E24071"/>
    <w:rsid w:val="00E24DCA"/>
    <w:rsid w:val="00E24EBC"/>
    <w:rsid w:val="00E2522C"/>
    <w:rsid w:val="00E2552F"/>
    <w:rsid w:val="00E2599B"/>
    <w:rsid w:val="00E2710C"/>
    <w:rsid w:val="00E272BD"/>
    <w:rsid w:val="00E27428"/>
    <w:rsid w:val="00E305B4"/>
    <w:rsid w:val="00E31AFA"/>
    <w:rsid w:val="00E31CB7"/>
    <w:rsid w:val="00E31E57"/>
    <w:rsid w:val="00E324EE"/>
    <w:rsid w:val="00E34DB1"/>
    <w:rsid w:val="00E35492"/>
    <w:rsid w:val="00E35931"/>
    <w:rsid w:val="00E359FF"/>
    <w:rsid w:val="00E3699A"/>
    <w:rsid w:val="00E37C03"/>
    <w:rsid w:val="00E402C5"/>
    <w:rsid w:val="00E402F4"/>
    <w:rsid w:val="00E405F1"/>
    <w:rsid w:val="00E417DB"/>
    <w:rsid w:val="00E43054"/>
    <w:rsid w:val="00E43655"/>
    <w:rsid w:val="00E44440"/>
    <w:rsid w:val="00E46013"/>
    <w:rsid w:val="00E47099"/>
    <w:rsid w:val="00E47284"/>
    <w:rsid w:val="00E477C3"/>
    <w:rsid w:val="00E51E16"/>
    <w:rsid w:val="00E52DED"/>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46ED"/>
    <w:rsid w:val="00E75102"/>
    <w:rsid w:val="00E75A47"/>
    <w:rsid w:val="00E75BB6"/>
    <w:rsid w:val="00E75D8C"/>
    <w:rsid w:val="00E777F2"/>
    <w:rsid w:val="00E77933"/>
    <w:rsid w:val="00E802C9"/>
    <w:rsid w:val="00E80BFB"/>
    <w:rsid w:val="00E80E6A"/>
    <w:rsid w:val="00E80EC2"/>
    <w:rsid w:val="00E80F0A"/>
    <w:rsid w:val="00E815D4"/>
    <w:rsid w:val="00E8291B"/>
    <w:rsid w:val="00E82E70"/>
    <w:rsid w:val="00E82F92"/>
    <w:rsid w:val="00E8395F"/>
    <w:rsid w:val="00E8410F"/>
    <w:rsid w:val="00E849D7"/>
    <w:rsid w:val="00E85E41"/>
    <w:rsid w:val="00E85EA1"/>
    <w:rsid w:val="00E86703"/>
    <w:rsid w:val="00E900DA"/>
    <w:rsid w:val="00E91044"/>
    <w:rsid w:val="00E910D3"/>
    <w:rsid w:val="00E92097"/>
    <w:rsid w:val="00E92154"/>
    <w:rsid w:val="00E923CF"/>
    <w:rsid w:val="00E93685"/>
    <w:rsid w:val="00E93B65"/>
    <w:rsid w:val="00E93C8C"/>
    <w:rsid w:val="00E95111"/>
    <w:rsid w:val="00E95FDF"/>
    <w:rsid w:val="00E97274"/>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1CEB"/>
    <w:rsid w:val="00EC1DC0"/>
    <w:rsid w:val="00EC1DC2"/>
    <w:rsid w:val="00EC1E09"/>
    <w:rsid w:val="00EC210E"/>
    <w:rsid w:val="00EC21EC"/>
    <w:rsid w:val="00EC24B8"/>
    <w:rsid w:val="00EC268C"/>
    <w:rsid w:val="00EC3753"/>
    <w:rsid w:val="00EC4E71"/>
    <w:rsid w:val="00EC5F1C"/>
    <w:rsid w:val="00EC6018"/>
    <w:rsid w:val="00ED0365"/>
    <w:rsid w:val="00ED0865"/>
    <w:rsid w:val="00ED0C1C"/>
    <w:rsid w:val="00ED1C60"/>
    <w:rsid w:val="00ED2EB9"/>
    <w:rsid w:val="00ED3722"/>
    <w:rsid w:val="00ED3A31"/>
    <w:rsid w:val="00ED4469"/>
    <w:rsid w:val="00ED4973"/>
    <w:rsid w:val="00ED5424"/>
    <w:rsid w:val="00ED5F23"/>
    <w:rsid w:val="00ED6DC0"/>
    <w:rsid w:val="00ED7A7A"/>
    <w:rsid w:val="00EE0327"/>
    <w:rsid w:val="00EE038C"/>
    <w:rsid w:val="00EE28C5"/>
    <w:rsid w:val="00EE2F09"/>
    <w:rsid w:val="00EE47C5"/>
    <w:rsid w:val="00EE490C"/>
    <w:rsid w:val="00EE4E57"/>
    <w:rsid w:val="00EE5738"/>
    <w:rsid w:val="00EE58BD"/>
    <w:rsid w:val="00EE5B24"/>
    <w:rsid w:val="00EE5E59"/>
    <w:rsid w:val="00EE73D0"/>
    <w:rsid w:val="00EE7CB0"/>
    <w:rsid w:val="00EF08A8"/>
    <w:rsid w:val="00EF0963"/>
    <w:rsid w:val="00EF167B"/>
    <w:rsid w:val="00EF2496"/>
    <w:rsid w:val="00EF289A"/>
    <w:rsid w:val="00EF41A8"/>
    <w:rsid w:val="00EF44FB"/>
    <w:rsid w:val="00EF5122"/>
    <w:rsid w:val="00EF5554"/>
    <w:rsid w:val="00EF5AD8"/>
    <w:rsid w:val="00EF6B90"/>
    <w:rsid w:val="00EF7807"/>
    <w:rsid w:val="00EF79F7"/>
    <w:rsid w:val="00F006C0"/>
    <w:rsid w:val="00F0125F"/>
    <w:rsid w:val="00F019AA"/>
    <w:rsid w:val="00F01F8D"/>
    <w:rsid w:val="00F0267E"/>
    <w:rsid w:val="00F02686"/>
    <w:rsid w:val="00F030C0"/>
    <w:rsid w:val="00F03291"/>
    <w:rsid w:val="00F03A85"/>
    <w:rsid w:val="00F0459B"/>
    <w:rsid w:val="00F04E15"/>
    <w:rsid w:val="00F05DF3"/>
    <w:rsid w:val="00F06829"/>
    <w:rsid w:val="00F069EA"/>
    <w:rsid w:val="00F070E5"/>
    <w:rsid w:val="00F07DDE"/>
    <w:rsid w:val="00F10E32"/>
    <w:rsid w:val="00F11675"/>
    <w:rsid w:val="00F123DA"/>
    <w:rsid w:val="00F12557"/>
    <w:rsid w:val="00F13599"/>
    <w:rsid w:val="00F13B28"/>
    <w:rsid w:val="00F156A0"/>
    <w:rsid w:val="00F15730"/>
    <w:rsid w:val="00F176A6"/>
    <w:rsid w:val="00F202C2"/>
    <w:rsid w:val="00F212F6"/>
    <w:rsid w:val="00F22756"/>
    <w:rsid w:val="00F23248"/>
    <w:rsid w:val="00F23890"/>
    <w:rsid w:val="00F2504D"/>
    <w:rsid w:val="00F2637F"/>
    <w:rsid w:val="00F268F7"/>
    <w:rsid w:val="00F26F43"/>
    <w:rsid w:val="00F30B83"/>
    <w:rsid w:val="00F30BDB"/>
    <w:rsid w:val="00F30CF8"/>
    <w:rsid w:val="00F31EDF"/>
    <w:rsid w:val="00F32CDE"/>
    <w:rsid w:val="00F32D4C"/>
    <w:rsid w:val="00F3327E"/>
    <w:rsid w:val="00F338C3"/>
    <w:rsid w:val="00F34B14"/>
    <w:rsid w:val="00F34F58"/>
    <w:rsid w:val="00F35AC0"/>
    <w:rsid w:val="00F35DA7"/>
    <w:rsid w:val="00F36A6A"/>
    <w:rsid w:val="00F40101"/>
    <w:rsid w:val="00F404F7"/>
    <w:rsid w:val="00F40CCA"/>
    <w:rsid w:val="00F42D97"/>
    <w:rsid w:val="00F42FCF"/>
    <w:rsid w:val="00F430BB"/>
    <w:rsid w:val="00F436B2"/>
    <w:rsid w:val="00F43813"/>
    <w:rsid w:val="00F43FEE"/>
    <w:rsid w:val="00F4492F"/>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459A"/>
    <w:rsid w:val="00F556FF"/>
    <w:rsid w:val="00F55D12"/>
    <w:rsid w:val="00F5687F"/>
    <w:rsid w:val="00F56D3F"/>
    <w:rsid w:val="00F575C7"/>
    <w:rsid w:val="00F57FD0"/>
    <w:rsid w:val="00F60305"/>
    <w:rsid w:val="00F61172"/>
    <w:rsid w:val="00F61B12"/>
    <w:rsid w:val="00F61B74"/>
    <w:rsid w:val="00F61C70"/>
    <w:rsid w:val="00F63264"/>
    <w:rsid w:val="00F634E4"/>
    <w:rsid w:val="00F6379E"/>
    <w:rsid w:val="00F64047"/>
    <w:rsid w:val="00F65171"/>
    <w:rsid w:val="00F6560D"/>
    <w:rsid w:val="00F67844"/>
    <w:rsid w:val="00F70799"/>
    <w:rsid w:val="00F70A8B"/>
    <w:rsid w:val="00F70B8D"/>
    <w:rsid w:val="00F714AB"/>
    <w:rsid w:val="00F71936"/>
    <w:rsid w:val="00F724FB"/>
    <w:rsid w:val="00F726B8"/>
    <w:rsid w:val="00F72A26"/>
    <w:rsid w:val="00F733C3"/>
    <w:rsid w:val="00F746A1"/>
    <w:rsid w:val="00F74820"/>
    <w:rsid w:val="00F753D8"/>
    <w:rsid w:val="00F756DD"/>
    <w:rsid w:val="00F77AA7"/>
    <w:rsid w:val="00F77F4E"/>
    <w:rsid w:val="00F80047"/>
    <w:rsid w:val="00F800C7"/>
    <w:rsid w:val="00F8104D"/>
    <w:rsid w:val="00F8153F"/>
    <w:rsid w:val="00F81587"/>
    <w:rsid w:val="00F8288F"/>
    <w:rsid w:val="00F8376E"/>
    <w:rsid w:val="00F83C52"/>
    <w:rsid w:val="00F84802"/>
    <w:rsid w:val="00F85708"/>
    <w:rsid w:val="00F85B72"/>
    <w:rsid w:val="00F86540"/>
    <w:rsid w:val="00F865CE"/>
    <w:rsid w:val="00F8766F"/>
    <w:rsid w:val="00F90282"/>
    <w:rsid w:val="00F903AD"/>
    <w:rsid w:val="00F90AB7"/>
    <w:rsid w:val="00F91082"/>
    <w:rsid w:val="00F9116D"/>
    <w:rsid w:val="00F91342"/>
    <w:rsid w:val="00F91A9A"/>
    <w:rsid w:val="00F92634"/>
    <w:rsid w:val="00F933F3"/>
    <w:rsid w:val="00F93ABB"/>
    <w:rsid w:val="00F94D79"/>
    <w:rsid w:val="00F9658C"/>
    <w:rsid w:val="00F96EEB"/>
    <w:rsid w:val="00F97A7F"/>
    <w:rsid w:val="00F97B9E"/>
    <w:rsid w:val="00F97CD0"/>
    <w:rsid w:val="00FA0889"/>
    <w:rsid w:val="00FA16E7"/>
    <w:rsid w:val="00FA31C7"/>
    <w:rsid w:val="00FA472D"/>
    <w:rsid w:val="00FA681F"/>
    <w:rsid w:val="00FB0CBF"/>
    <w:rsid w:val="00FB18F6"/>
    <w:rsid w:val="00FB1AB2"/>
    <w:rsid w:val="00FB2A52"/>
    <w:rsid w:val="00FB3F92"/>
    <w:rsid w:val="00FB52C7"/>
    <w:rsid w:val="00FB57DC"/>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6071"/>
    <w:rsid w:val="00FD633B"/>
    <w:rsid w:val="00FD7915"/>
    <w:rsid w:val="00FE0794"/>
    <w:rsid w:val="00FE1041"/>
    <w:rsid w:val="00FE1F72"/>
    <w:rsid w:val="00FE24CB"/>
    <w:rsid w:val="00FE323F"/>
    <w:rsid w:val="00FE3473"/>
    <w:rsid w:val="00FE358F"/>
    <w:rsid w:val="00FE4049"/>
    <w:rsid w:val="00FE4794"/>
    <w:rsid w:val="00FE480F"/>
    <w:rsid w:val="00FE4998"/>
    <w:rsid w:val="00FE57DE"/>
    <w:rsid w:val="00FE76C2"/>
    <w:rsid w:val="00FE7A68"/>
    <w:rsid w:val="00FF0231"/>
    <w:rsid w:val="00FF0F1D"/>
    <w:rsid w:val="00FF1C9B"/>
    <w:rsid w:val="00FF1D49"/>
    <w:rsid w:val="00FF203B"/>
    <w:rsid w:val="00FF2562"/>
    <w:rsid w:val="00FF3A41"/>
    <w:rsid w:val="00FF3E5B"/>
    <w:rsid w:val="00FF57E4"/>
    <w:rsid w:val="00FF6566"/>
    <w:rsid w:val="00FF78E5"/>
    <w:rsid w:val="012C5FAF"/>
    <w:rsid w:val="01991EEC"/>
    <w:rsid w:val="01AF3D99"/>
    <w:rsid w:val="02511F9D"/>
    <w:rsid w:val="03A314B8"/>
    <w:rsid w:val="03D82B98"/>
    <w:rsid w:val="03F83E8B"/>
    <w:rsid w:val="0555021B"/>
    <w:rsid w:val="05C56868"/>
    <w:rsid w:val="07A539BD"/>
    <w:rsid w:val="07B72767"/>
    <w:rsid w:val="08077E72"/>
    <w:rsid w:val="08882DD0"/>
    <w:rsid w:val="09CC2AAC"/>
    <w:rsid w:val="0A652D3E"/>
    <w:rsid w:val="0B326F2A"/>
    <w:rsid w:val="0C1E2888"/>
    <w:rsid w:val="0C5E0B8C"/>
    <w:rsid w:val="0C92213C"/>
    <w:rsid w:val="0CC2027E"/>
    <w:rsid w:val="0D84032B"/>
    <w:rsid w:val="0F2A74C4"/>
    <w:rsid w:val="0FF636E7"/>
    <w:rsid w:val="10A27F31"/>
    <w:rsid w:val="11927058"/>
    <w:rsid w:val="120E171E"/>
    <w:rsid w:val="13AF4F03"/>
    <w:rsid w:val="14736E66"/>
    <w:rsid w:val="147F458F"/>
    <w:rsid w:val="1534169A"/>
    <w:rsid w:val="15C03E03"/>
    <w:rsid w:val="162A25EB"/>
    <w:rsid w:val="16735895"/>
    <w:rsid w:val="16FD2A55"/>
    <w:rsid w:val="17067C1A"/>
    <w:rsid w:val="17366761"/>
    <w:rsid w:val="177C01F0"/>
    <w:rsid w:val="179E3EFA"/>
    <w:rsid w:val="17CE6630"/>
    <w:rsid w:val="18BB605E"/>
    <w:rsid w:val="1AFF0AFE"/>
    <w:rsid w:val="1B4F19F8"/>
    <w:rsid w:val="1ECC44FA"/>
    <w:rsid w:val="1F063325"/>
    <w:rsid w:val="1FBC5DF5"/>
    <w:rsid w:val="1FF90588"/>
    <w:rsid w:val="20C3623F"/>
    <w:rsid w:val="21781212"/>
    <w:rsid w:val="21B83F86"/>
    <w:rsid w:val="221178A8"/>
    <w:rsid w:val="221213CF"/>
    <w:rsid w:val="22327A92"/>
    <w:rsid w:val="231D53A2"/>
    <w:rsid w:val="236D5383"/>
    <w:rsid w:val="23B7504C"/>
    <w:rsid w:val="24571307"/>
    <w:rsid w:val="25110A2A"/>
    <w:rsid w:val="256C0944"/>
    <w:rsid w:val="26446DE3"/>
    <w:rsid w:val="26877DFE"/>
    <w:rsid w:val="269669E7"/>
    <w:rsid w:val="26A270C1"/>
    <w:rsid w:val="26D7699F"/>
    <w:rsid w:val="29D75F7F"/>
    <w:rsid w:val="2B774624"/>
    <w:rsid w:val="2C7A72BE"/>
    <w:rsid w:val="2C9A7D75"/>
    <w:rsid w:val="2CC17412"/>
    <w:rsid w:val="2D7C1E99"/>
    <w:rsid w:val="2DE7725B"/>
    <w:rsid w:val="2E9976CE"/>
    <w:rsid w:val="2EF01DEE"/>
    <w:rsid w:val="2F401D3C"/>
    <w:rsid w:val="2F5B24E1"/>
    <w:rsid w:val="2FA95C88"/>
    <w:rsid w:val="3041370F"/>
    <w:rsid w:val="30B87FED"/>
    <w:rsid w:val="312B50A3"/>
    <w:rsid w:val="31894FD2"/>
    <w:rsid w:val="32453A27"/>
    <w:rsid w:val="3263064A"/>
    <w:rsid w:val="32A43132"/>
    <w:rsid w:val="32AC0C06"/>
    <w:rsid w:val="33344EF5"/>
    <w:rsid w:val="3537750C"/>
    <w:rsid w:val="3537798C"/>
    <w:rsid w:val="35C13FC9"/>
    <w:rsid w:val="36372B05"/>
    <w:rsid w:val="364257B6"/>
    <w:rsid w:val="37EA5922"/>
    <w:rsid w:val="38276B93"/>
    <w:rsid w:val="382E58B8"/>
    <w:rsid w:val="38AC3431"/>
    <w:rsid w:val="392F2E16"/>
    <w:rsid w:val="39E00529"/>
    <w:rsid w:val="3A0B64A7"/>
    <w:rsid w:val="3A574DDA"/>
    <w:rsid w:val="3AD3075A"/>
    <w:rsid w:val="3AF74C02"/>
    <w:rsid w:val="3C0059A5"/>
    <w:rsid w:val="3C134E78"/>
    <w:rsid w:val="3DF6345D"/>
    <w:rsid w:val="3E2B5515"/>
    <w:rsid w:val="3E4D4F28"/>
    <w:rsid w:val="3ED92EC4"/>
    <w:rsid w:val="3EE13701"/>
    <w:rsid w:val="3F1A4BB3"/>
    <w:rsid w:val="40192BA6"/>
    <w:rsid w:val="41766EA9"/>
    <w:rsid w:val="42550A18"/>
    <w:rsid w:val="429D496A"/>
    <w:rsid w:val="42F473A1"/>
    <w:rsid w:val="437217EA"/>
    <w:rsid w:val="43AB7156"/>
    <w:rsid w:val="441E62C0"/>
    <w:rsid w:val="448911BF"/>
    <w:rsid w:val="45325D14"/>
    <w:rsid w:val="45811C7C"/>
    <w:rsid w:val="45906116"/>
    <w:rsid w:val="45931B8C"/>
    <w:rsid w:val="45EF2552"/>
    <w:rsid w:val="468B3EFB"/>
    <w:rsid w:val="470A6193"/>
    <w:rsid w:val="47385210"/>
    <w:rsid w:val="475510F8"/>
    <w:rsid w:val="47A67C0A"/>
    <w:rsid w:val="47DC4F5C"/>
    <w:rsid w:val="48B40671"/>
    <w:rsid w:val="499B5738"/>
    <w:rsid w:val="499F244D"/>
    <w:rsid w:val="4A973F3F"/>
    <w:rsid w:val="4AF96BC7"/>
    <w:rsid w:val="4B862A85"/>
    <w:rsid w:val="4CEF36E2"/>
    <w:rsid w:val="4CEF4DC5"/>
    <w:rsid w:val="4D6814F9"/>
    <w:rsid w:val="4E257655"/>
    <w:rsid w:val="4E751133"/>
    <w:rsid w:val="4F372380"/>
    <w:rsid w:val="4F372FFB"/>
    <w:rsid w:val="5025116D"/>
    <w:rsid w:val="52395ECD"/>
    <w:rsid w:val="52C10D75"/>
    <w:rsid w:val="53C27FF8"/>
    <w:rsid w:val="54806794"/>
    <w:rsid w:val="549E1A80"/>
    <w:rsid w:val="54C658F4"/>
    <w:rsid w:val="550C4BD7"/>
    <w:rsid w:val="554C1D56"/>
    <w:rsid w:val="55572986"/>
    <w:rsid w:val="565340FA"/>
    <w:rsid w:val="56AD5F59"/>
    <w:rsid w:val="56C60774"/>
    <w:rsid w:val="57B12A52"/>
    <w:rsid w:val="57EF0660"/>
    <w:rsid w:val="5A2F2CC8"/>
    <w:rsid w:val="5C10702D"/>
    <w:rsid w:val="5C152601"/>
    <w:rsid w:val="5C37455C"/>
    <w:rsid w:val="5C591F03"/>
    <w:rsid w:val="5C8A1B2F"/>
    <w:rsid w:val="5F561B72"/>
    <w:rsid w:val="606007BB"/>
    <w:rsid w:val="60AC7F66"/>
    <w:rsid w:val="61BF10D9"/>
    <w:rsid w:val="624C67B3"/>
    <w:rsid w:val="62AC22DC"/>
    <w:rsid w:val="638C042F"/>
    <w:rsid w:val="63A22BFD"/>
    <w:rsid w:val="64E45EF7"/>
    <w:rsid w:val="6691014E"/>
    <w:rsid w:val="66C87CCE"/>
    <w:rsid w:val="677435B2"/>
    <w:rsid w:val="67EF75F1"/>
    <w:rsid w:val="684F4F11"/>
    <w:rsid w:val="69124F16"/>
    <w:rsid w:val="69CD5C14"/>
    <w:rsid w:val="69CF0D33"/>
    <w:rsid w:val="6ADD55FC"/>
    <w:rsid w:val="6B9946B3"/>
    <w:rsid w:val="6BE518DA"/>
    <w:rsid w:val="6C276F3A"/>
    <w:rsid w:val="6C7007C7"/>
    <w:rsid w:val="6DE76850"/>
    <w:rsid w:val="6FB20BD4"/>
    <w:rsid w:val="6FBA59BE"/>
    <w:rsid w:val="70296B3E"/>
    <w:rsid w:val="70611204"/>
    <w:rsid w:val="7165620F"/>
    <w:rsid w:val="717039F8"/>
    <w:rsid w:val="71AE0130"/>
    <w:rsid w:val="74274261"/>
    <w:rsid w:val="74D13AD5"/>
    <w:rsid w:val="74FA2C30"/>
    <w:rsid w:val="754D5C4B"/>
    <w:rsid w:val="766A70C1"/>
    <w:rsid w:val="76C240A7"/>
    <w:rsid w:val="76DA416A"/>
    <w:rsid w:val="775246B7"/>
    <w:rsid w:val="781E69D1"/>
    <w:rsid w:val="7901747F"/>
    <w:rsid w:val="7A263B6B"/>
    <w:rsid w:val="7AF46346"/>
    <w:rsid w:val="7B0F5EBF"/>
    <w:rsid w:val="7B130FB9"/>
    <w:rsid w:val="7BD71E38"/>
    <w:rsid w:val="7BF64EDE"/>
    <w:rsid w:val="7C400C1E"/>
    <w:rsid w:val="7DD11708"/>
    <w:rsid w:val="7DEE4A4F"/>
    <w:rsid w:val="7E786F03"/>
    <w:rsid w:val="7EAD49DA"/>
    <w:rsid w:val="7EAE6230"/>
    <w:rsid w:val="7EBD579E"/>
    <w:rsid w:val="7EC167BD"/>
    <w:rsid w:val="7F272D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9"/>
    <w:pPr>
      <w:keepNext/>
      <w:keepLines/>
      <w:spacing w:before="260" w:after="260" w:line="416" w:lineRule="auto"/>
      <w:outlineLvl w:val="1"/>
    </w:pPr>
    <w:rPr>
      <w:rFonts w:ascii="Cambria" w:hAnsi="Cambria"/>
      <w:b/>
      <w:bCs/>
      <w:sz w:val="32"/>
      <w:szCs w:val="32"/>
    </w:rPr>
  </w:style>
  <w:style w:type="paragraph" w:styleId="4">
    <w:name w:val="heading 5"/>
    <w:basedOn w:val="1"/>
    <w:next w:val="5"/>
    <w:link w:val="30"/>
    <w:qFormat/>
    <w:uiPriority w:val="9"/>
    <w:pPr>
      <w:keepNext/>
      <w:keepLines/>
      <w:spacing w:before="280" w:after="290" w:line="376" w:lineRule="auto"/>
      <w:outlineLvl w:val="4"/>
    </w:pPr>
    <w:rPr>
      <w:b/>
      <w:bCs/>
      <w:sz w:val="28"/>
      <w:szCs w:val="28"/>
    </w:rPr>
  </w:style>
  <w:style w:type="paragraph" w:styleId="6">
    <w:name w:val="heading 8"/>
    <w:basedOn w:val="1"/>
    <w:next w:val="1"/>
    <w:link w:val="31"/>
    <w:qFormat/>
    <w:uiPriority w:val="9"/>
    <w:pPr>
      <w:keepNext/>
      <w:keepLines/>
      <w:spacing w:before="240" w:after="64" w:line="320" w:lineRule="auto"/>
      <w:outlineLvl w:val="7"/>
    </w:pPr>
    <w:rPr>
      <w:rFonts w:ascii="等线 Light" w:hAnsi="等线 Light" w:eastAsia="等线 Light"/>
      <w:sz w:val="24"/>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7">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8">
    <w:name w:val="annotation text"/>
    <w:basedOn w:val="1"/>
    <w:link w:val="32"/>
    <w:qFormat/>
    <w:uiPriority w:val="0"/>
    <w:pPr>
      <w:jc w:val="left"/>
    </w:pPr>
  </w:style>
  <w:style w:type="paragraph" w:styleId="9">
    <w:name w:val="Body Text 3"/>
    <w:basedOn w:val="1"/>
    <w:link w:val="33"/>
    <w:unhideWhenUsed/>
    <w:qFormat/>
    <w:uiPriority w:val="99"/>
    <w:pPr>
      <w:spacing w:after="120"/>
    </w:pPr>
    <w:rPr>
      <w:sz w:val="16"/>
      <w:szCs w:val="16"/>
    </w:rPr>
  </w:style>
  <w:style w:type="paragraph" w:styleId="10">
    <w:name w:val="Body Text"/>
    <w:basedOn w:val="1"/>
    <w:link w:val="34"/>
    <w:unhideWhenUsed/>
    <w:qFormat/>
    <w:uiPriority w:val="0"/>
    <w:pPr>
      <w:spacing w:after="120"/>
    </w:pPr>
  </w:style>
  <w:style w:type="paragraph" w:styleId="11">
    <w:name w:val="Body Text Indent"/>
    <w:basedOn w:val="1"/>
    <w:link w:val="35"/>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36"/>
    <w:qFormat/>
    <w:uiPriority w:val="0"/>
    <w:rPr>
      <w:rFonts w:ascii="宋体" w:hAnsi="Courier New"/>
      <w:kern w:val="0"/>
      <w:sz w:val="20"/>
      <w:szCs w:val="21"/>
    </w:rPr>
  </w:style>
  <w:style w:type="paragraph" w:styleId="14">
    <w:name w:val="Date"/>
    <w:basedOn w:val="1"/>
    <w:next w:val="1"/>
    <w:link w:val="37"/>
    <w:unhideWhenUsed/>
    <w:qFormat/>
    <w:uiPriority w:val="99"/>
    <w:pPr>
      <w:ind w:left="100" w:leftChars="2500"/>
    </w:pPr>
  </w:style>
  <w:style w:type="paragraph" w:styleId="15">
    <w:name w:val="Balloon Text"/>
    <w:basedOn w:val="1"/>
    <w:semiHidden/>
    <w:qFormat/>
    <w:uiPriority w:val="0"/>
    <w:rPr>
      <w:sz w:val="18"/>
      <w:szCs w:val="18"/>
    </w:rPr>
  </w:style>
  <w:style w:type="paragraph" w:styleId="16">
    <w:name w:val="footer"/>
    <w:basedOn w:val="1"/>
    <w:link w:val="38"/>
    <w:unhideWhenUsed/>
    <w:qFormat/>
    <w:uiPriority w:val="99"/>
    <w:pPr>
      <w:tabs>
        <w:tab w:val="center" w:pos="4153"/>
        <w:tab w:val="right" w:pos="8306"/>
      </w:tabs>
      <w:snapToGrid w:val="0"/>
      <w:jc w:val="left"/>
    </w:pPr>
    <w:rPr>
      <w:kern w:val="0"/>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tabs>
        <w:tab w:val="right" w:leader="dot" w:pos="8296"/>
      </w:tabs>
      <w:ind w:left="420" w:leftChars="200"/>
    </w:pPr>
  </w:style>
  <w:style w:type="paragraph" w:styleId="20">
    <w:name w:val="Normal (Web)"/>
    <w:basedOn w:val="1"/>
    <w:unhideWhenUsed/>
    <w:qFormat/>
    <w:uiPriority w:val="99"/>
    <w:rPr>
      <w:rFonts w:ascii="Calibri" w:hAnsi="Calibri"/>
      <w:kern w:val="0"/>
      <w:sz w:val="24"/>
    </w:rPr>
  </w:style>
  <w:style w:type="paragraph" w:styleId="21">
    <w:name w:val="annotation subject"/>
    <w:basedOn w:val="8"/>
    <w:next w:val="8"/>
    <w:link w:val="40"/>
    <w:qFormat/>
    <w:uiPriority w:val="99"/>
    <w:rPr>
      <w:b/>
      <w:bCs/>
    </w:r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endnote reference"/>
    <w:unhideWhenUsed/>
    <w:qFormat/>
    <w:uiPriority w:val="99"/>
    <w:rPr>
      <w:vertAlign w:val="superscript"/>
    </w:rPr>
  </w:style>
  <w:style w:type="character" w:styleId="26">
    <w:name w:val="Hyperlink"/>
    <w:unhideWhenUsed/>
    <w:qFormat/>
    <w:uiPriority w:val="99"/>
    <w:rPr>
      <w:color w:val="0000FF"/>
      <w:u w:val="single"/>
    </w:rPr>
  </w:style>
  <w:style w:type="character" w:styleId="27">
    <w:name w:val="annotation reference"/>
    <w:qFormat/>
    <w:uiPriority w:val="99"/>
    <w:rPr>
      <w:sz w:val="21"/>
      <w:szCs w:val="21"/>
    </w:rPr>
  </w:style>
  <w:style w:type="character" w:customStyle="1" w:styleId="28">
    <w:name w:val="标题 1 字符"/>
    <w:link w:val="2"/>
    <w:qFormat/>
    <w:uiPriority w:val="9"/>
    <w:rPr>
      <w:b/>
      <w:bCs/>
      <w:kern w:val="44"/>
      <w:sz w:val="44"/>
      <w:szCs w:val="44"/>
    </w:rPr>
  </w:style>
  <w:style w:type="character" w:customStyle="1" w:styleId="29">
    <w:name w:val="标题 2 字符"/>
    <w:link w:val="3"/>
    <w:qFormat/>
    <w:uiPriority w:val="9"/>
    <w:rPr>
      <w:rFonts w:ascii="Cambria" w:hAnsi="Cambria" w:eastAsia="宋体" w:cs="Times New Roman"/>
      <w:b/>
      <w:bCs/>
      <w:kern w:val="2"/>
      <w:sz w:val="32"/>
      <w:szCs w:val="32"/>
    </w:rPr>
  </w:style>
  <w:style w:type="character" w:customStyle="1" w:styleId="30">
    <w:name w:val="标题 5 字符"/>
    <w:link w:val="4"/>
    <w:semiHidden/>
    <w:qFormat/>
    <w:uiPriority w:val="9"/>
    <w:rPr>
      <w:rFonts w:ascii="Times New Roman" w:hAnsi="Times New Roman"/>
      <w:b/>
      <w:bCs/>
      <w:kern w:val="2"/>
      <w:sz w:val="28"/>
      <w:szCs w:val="28"/>
    </w:rPr>
  </w:style>
  <w:style w:type="character" w:customStyle="1" w:styleId="31">
    <w:name w:val="标题 8 字符"/>
    <w:link w:val="6"/>
    <w:semiHidden/>
    <w:qFormat/>
    <w:uiPriority w:val="9"/>
    <w:rPr>
      <w:rFonts w:ascii="等线 Light" w:hAnsi="等线 Light" w:eastAsia="等线 Light" w:cs="Times New Roman"/>
      <w:kern w:val="2"/>
      <w:sz w:val="24"/>
      <w:szCs w:val="24"/>
    </w:rPr>
  </w:style>
  <w:style w:type="character" w:customStyle="1" w:styleId="32">
    <w:name w:val="批注文字 字符2"/>
    <w:link w:val="8"/>
    <w:qFormat/>
    <w:uiPriority w:val="0"/>
    <w:rPr>
      <w:rFonts w:ascii="Times New Roman" w:hAnsi="Times New Roman"/>
      <w:kern w:val="2"/>
      <w:sz w:val="21"/>
      <w:szCs w:val="24"/>
    </w:rPr>
  </w:style>
  <w:style w:type="character" w:customStyle="1" w:styleId="33">
    <w:name w:val="正文文本 3 字符"/>
    <w:link w:val="9"/>
    <w:semiHidden/>
    <w:qFormat/>
    <w:uiPriority w:val="99"/>
    <w:rPr>
      <w:kern w:val="2"/>
      <w:sz w:val="16"/>
      <w:szCs w:val="16"/>
    </w:rPr>
  </w:style>
  <w:style w:type="character" w:customStyle="1" w:styleId="34">
    <w:name w:val="正文文本 字符1"/>
    <w:link w:val="10"/>
    <w:qFormat/>
    <w:uiPriority w:val="0"/>
    <w:rPr>
      <w:rFonts w:ascii="Times New Roman" w:hAnsi="Times New Roman"/>
      <w:kern w:val="2"/>
      <w:sz w:val="21"/>
      <w:szCs w:val="24"/>
    </w:rPr>
  </w:style>
  <w:style w:type="character" w:customStyle="1" w:styleId="35">
    <w:name w:val="正文文本缩进 字符"/>
    <w:link w:val="11"/>
    <w:qFormat/>
    <w:uiPriority w:val="0"/>
    <w:rPr>
      <w:rFonts w:ascii="仿宋_GB2312" w:hAnsi="Times New Roman" w:eastAsia="仿宋_GB2312" w:cs="Times New Roman"/>
      <w:sz w:val="32"/>
      <w:szCs w:val="20"/>
    </w:rPr>
  </w:style>
  <w:style w:type="character" w:customStyle="1" w:styleId="36">
    <w:name w:val="纯文本 字符3"/>
    <w:link w:val="13"/>
    <w:qFormat/>
    <w:uiPriority w:val="0"/>
    <w:rPr>
      <w:rFonts w:ascii="宋体" w:hAnsi="Courier New" w:eastAsia="宋体" w:cs="Courier New"/>
      <w:szCs w:val="21"/>
    </w:rPr>
  </w:style>
  <w:style w:type="character" w:customStyle="1" w:styleId="37">
    <w:name w:val="日期 字符"/>
    <w:link w:val="14"/>
    <w:semiHidden/>
    <w:qFormat/>
    <w:uiPriority w:val="99"/>
    <w:rPr>
      <w:rFonts w:ascii="Times New Roman" w:hAnsi="Times New Roman"/>
      <w:kern w:val="2"/>
      <w:sz w:val="21"/>
      <w:szCs w:val="24"/>
    </w:rPr>
  </w:style>
  <w:style w:type="character" w:customStyle="1" w:styleId="38">
    <w:name w:val="页脚 字符"/>
    <w:link w:val="16"/>
    <w:qFormat/>
    <w:uiPriority w:val="99"/>
    <w:rPr>
      <w:sz w:val="18"/>
      <w:szCs w:val="18"/>
    </w:rPr>
  </w:style>
  <w:style w:type="character" w:customStyle="1" w:styleId="39">
    <w:name w:val="页眉 字符"/>
    <w:link w:val="17"/>
    <w:qFormat/>
    <w:uiPriority w:val="99"/>
    <w:rPr>
      <w:sz w:val="18"/>
      <w:szCs w:val="18"/>
    </w:rPr>
  </w:style>
  <w:style w:type="character" w:customStyle="1" w:styleId="40">
    <w:name w:val="批注主题 字符"/>
    <w:link w:val="21"/>
    <w:qFormat/>
    <w:uiPriority w:val="99"/>
    <w:rPr>
      <w:rFonts w:ascii="Times New Roman" w:hAnsi="Times New Roman"/>
      <w:b/>
      <w:bCs/>
      <w:kern w:val="2"/>
      <w:sz w:val="21"/>
      <w:szCs w:val="24"/>
    </w:rPr>
  </w:style>
  <w:style w:type="character" w:customStyle="1" w:styleId="41">
    <w:name w:val="标题 1 字符1"/>
    <w:qFormat/>
    <w:uiPriority w:val="0"/>
    <w:rPr>
      <w:b/>
      <w:bCs/>
      <w:kern w:val="44"/>
      <w:sz w:val="44"/>
      <w:szCs w:val="44"/>
    </w:rPr>
  </w:style>
  <w:style w:type="character" w:customStyle="1" w:styleId="42">
    <w:name w:val="textcontents"/>
    <w:qFormat/>
    <w:uiPriority w:val="0"/>
  </w:style>
  <w:style w:type="character" w:customStyle="1" w:styleId="43">
    <w:name w:val="批注文字 Char"/>
    <w:qFormat/>
    <w:uiPriority w:val="0"/>
    <w:rPr>
      <w:rFonts w:ascii="Times New Roman" w:hAnsi="Times New Roman"/>
      <w:kern w:val="2"/>
      <w:sz w:val="21"/>
      <w:szCs w:val="24"/>
    </w:rPr>
  </w:style>
  <w:style w:type="character" w:customStyle="1" w:styleId="44">
    <w:name w:val="纯文本 字符"/>
    <w:qFormat/>
    <w:uiPriority w:val="0"/>
    <w:rPr>
      <w:rFonts w:ascii="宋体" w:hAnsi="Courier New" w:eastAsia="宋体" w:cs="Courier New"/>
      <w:szCs w:val="21"/>
    </w:rPr>
  </w:style>
  <w:style w:type="character" w:customStyle="1" w:styleId="45">
    <w:name w:val="纯文本 Char"/>
    <w:qFormat/>
    <w:uiPriority w:val="0"/>
    <w:rPr>
      <w:rFonts w:ascii="宋体" w:hAnsi="Courier New" w:eastAsia="宋体" w:cs="Courier New"/>
      <w:szCs w:val="21"/>
    </w:rPr>
  </w:style>
  <w:style w:type="character" w:customStyle="1" w:styleId="46">
    <w:name w:val="纯文本 字符2"/>
    <w:qFormat/>
    <w:uiPriority w:val="0"/>
    <w:rPr>
      <w:rFonts w:ascii="宋体" w:hAnsi="Courier New" w:eastAsia="宋体" w:cs="Courier New"/>
      <w:szCs w:val="21"/>
    </w:rPr>
  </w:style>
  <w:style w:type="character" w:customStyle="1" w:styleId="47">
    <w:name w:val="批注文字 字符1"/>
    <w:qFormat/>
    <w:uiPriority w:val="0"/>
    <w:rPr>
      <w:rFonts w:ascii="Times New Roman" w:hAnsi="Times New Roman"/>
      <w:kern w:val="2"/>
      <w:sz w:val="21"/>
      <w:szCs w:val="24"/>
    </w:rPr>
  </w:style>
  <w:style w:type="character" w:customStyle="1" w:styleId="4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49">
    <w:name w:val="纯文本 字符1"/>
    <w:qFormat/>
    <w:uiPriority w:val="0"/>
    <w:rPr>
      <w:rFonts w:ascii="宋体" w:hAnsi="Courier New"/>
    </w:rPr>
  </w:style>
  <w:style w:type="character" w:customStyle="1" w:styleId="50">
    <w:name w:val="正文文本 Char"/>
    <w:qFormat/>
    <w:uiPriority w:val="0"/>
    <w:rPr>
      <w:rFonts w:ascii="Times New Roman" w:hAnsi="Times New Roman"/>
      <w:kern w:val="2"/>
      <w:sz w:val="21"/>
      <w:szCs w:val="24"/>
    </w:rPr>
  </w:style>
  <w:style w:type="character" w:customStyle="1" w:styleId="51">
    <w:name w:val="批注文字 字符"/>
    <w:qFormat/>
    <w:uiPriority w:val="0"/>
    <w:rPr>
      <w:rFonts w:ascii="Times New Roman" w:hAnsi="Times New Roman"/>
      <w:kern w:val="2"/>
      <w:sz w:val="21"/>
      <w:szCs w:val="24"/>
    </w:rPr>
  </w:style>
  <w:style w:type="character" w:customStyle="1" w:styleId="52">
    <w:name w:val="标题 2 Char"/>
    <w:qFormat/>
    <w:uiPriority w:val="9"/>
    <w:rPr>
      <w:rFonts w:ascii="Cambria" w:hAnsi="Cambria" w:eastAsia="宋体" w:cs="Times New Roman"/>
      <w:b/>
      <w:bCs/>
      <w:kern w:val="2"/>
      <w:sz w:val="32"/>
      <w:szCs w:val="32"/>
    </w:rPr>
  </w:style>
  <w:style w:type="character" w:customStyle="1" w:styleId="53">
    <w:name w:val="标题 8 Char"/>
    <w:qFormat/>
    <w:uiPriority w:val="0"/>
    <w:rPr>
      <w:rFonts w:ascii="Arial" w:hAnsi="Arial" w:eastAsia="黑体"/>
      <w:kern w:val="2"/>
      <w:sz w:val="24"/>
      <w:szCs w:val="24"/>
    </w:rPr>
  </w:style>
  <w:style w:type="character" w:customStyle="1" w:styleId="54">
    <w:name w:val="apple-style-span"/>
    <w:qFormat/>
    <w:uiPriority w:val="0"/>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paragraph" w:customStyle="1" w:styleId="5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57">
    <w:name w:val="List Paragraph"/>
    <w:basedOn w:val="1"/>
    <w:qFormat/>
    <w:uiPriority w:val="34"/>
    <w:pPr>
      <w:ind w:firstLine="420" w:firstLineChars="200"/>
    </w:pPr>
  </w:style>
  <w:style w:type="paragraph" w:customStyle="1" w:styleId="58">
    <w:name w:val="Table Paragraph"/>
    <w:basedOn w:val="1"/>
    <w:qFormat/>
    <w:uiPriority w:val="1"/>
    <w:pPr>
      <w:jc w:val="left"/>
    </w:pPr>
    <w:rPr>
      <w:rFonts w:ascii="Calibri" w:hAnsi="Calibri"/>
      <w:kern w:val="0"/>
      <w:sz w:val="22"/>
      <w:szCs w:val="22"/>
      <w:lang w:eastAsia="en-US"/>
    </w:rPr>
  </w:style>
  <w:style w:type="character" w:customStyle="1" w:styleId="59">
    <w:name w:val="正文文本 字符"/>
    <w:qFormat/>
    <w:uiPriority w:val="0"/>
    <w:rPr>
      <w:rFonts w:ascii="Times New Roman" w:hAnsi="Times New Roman"/>
      <w:kern w:val="2"/>
      <w:sz w:val="21"/>
      <w:szCs w:val="24"/>
    </w:rPr>
  </w:style>
  <w:style w:type="character" w:customStyle="1" w:styleId="60">
    <w:name w:val="批注文字 Char2"/>
    <w:qFormat/>
    <w:uiPriority w:val="0"/>
    <w:rPr>
      <w:rFonts w:ascii="Times New Roman" w:hAnsi="Times New Roman"/>
      <w:kern w:val="2"/>
      <w:sz w:val="21"/>
      <w:szCs w:val="24"/>
    </w:rPr>
  </w:style>
  <w:style w:type="character" w:customStyle="1" w:styleId="61">
    <w:name w:val="正文2 Char Char"/>
    <w:link w:val="62"/>
    <w:qFormat/>
    <w:uiPriority w:val="0"/>
    <w:rPr>
      <w:kern w:val="2"/>
      <w:sz w:val="24"/>
    </w:rPr>
  </w:style>
  <w:style w:type="paragraph" w:customStyle="1" w:styleId="62">
    <w:name w:val="正文2"/>
    <w:basedOn w:val="1"/>
    <w:link w:val="61"/>
    <w:qFormat/>
    <w:uiPriority w:val="0"/>
    <w:pPr>
      <w:adjustRightInd w:val="0"/>
      <w:spacing w:before="156" w:line="360" w:lineRule="auto"/>
      <w:ind w:firstLine="510" w:firstLineChars="200"/>
    </w:pPr>
    <w:rPr>
      <w:sz w:val="24"/>
      <w:szCs w:val="20"/>
    </w:rPr>
  </w:style>
  <w:style w:type="paragraph" w:customStyle="1" w:styleId="63">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FDC4D-6180-4E35-A0E3-D901690AACE0}">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29</Pages>
  <Words>11629</Words>
  <Characters>12106</Characters>
  <Lines>95</Lines>
  <Paragraphs>26</Paragraphs>
  <TotalTime>44</TotalTime>
  <ScaleCrop>false</ScaleCrop>
  <LinksUpToDate>false</LinksUpToDate>
  <CharactersWithSpaces>12473</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2022-09-09T05:06:00Z</dcterms:created>
  <dc:creator>唐冰</dc:creator>
  <cp:lastModifiedBy>李奎霖</cp:lastModifiedBy>
  <cp:lastPrinted>2020-04-02T08:20:00Z</cp:lastPrinted>
  <dcterms:modified xsi:type="dcterms:W3CDTF">2022-09-15T08:04:50Z</dcterms:modified>
  <dc:title>竞争性谈判文件规范</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B30560047A5243BA85886CC3D32604F4</vt:lpwstr>
  </property>
</Properties>
</file>