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C7002">
      <w:pPr>
        <w:jc w:val="left"/>
        <w:rPr>
          <w:rFonts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0C88CB21">
      <w:pPr>
        <w:spacing w:line="560" w:lineRule="exact"/>
        <w:jc w:val="center"/>
        <w:rPr>
          <w:rFonts w:ascii="宋体" w:hAnsi="宋体"/>
          <w:b/>
          <w:sz w:val="36"/>
          <w:szCs w:val="36"/>
        </w:rPr>
      </w:pPr>
      <w:r>
        <w:rPr>
          <w:rFonts w:hint="eastAsia" w:ascii="宋体" w:hAnsi="宋体"/>
          <w:b/>
          <w:sz w:val="36"/>
          <w:szCs w:val="36"/>
        </w:rPr>
        <w:t>广西财经学院相思湖校区教学楼J栋项目档案移交归档服务项目询价采购报价单</w:t>
      </w:r>
    </w:p>
    <w:tbl>
      <w:tblPr>
        <w:tblStyle w:val="5"/>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5B0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29827049">
            <w:pPr>
              <w:jc w:val="center"/>
              <w:rPr>
                <w:rFonts w:ascii="宋体" w:hAnsi="宋体"/>
                <w:sz w:val="28"/>
                <w:szCs w:val="36"/>
              </w:rPr>
            </w:pPr>
            <w:r>
              <w:rPr>
                <w:rFonts w:ascii="宋体" w:hAnsi="宋体"/>
                <w:b/>
                <w:sz w:val="28"/>
                <w:szCs w:val="36"/>
              </w:rPr>
              <w:t>项目名称</w:t>
            </w:r>
          </w:p>
        </w:tc>
        <w:tc>
          <w:tcPr>
            <w:tcW w:w="4055" w:type="pct"/>
            <w:vAlign w:val="center"/>
          </w:tcPr>
          <w:p w14:paraId="6020074A">
            <w:pPr>
              <w:jc w:val="center"/>
              <w:rPr>
                <w:rFonts w:ascii="宋体" w:hAnsi="宋体"/>
                <w:b/>
                <w:sz w:val="28"/>
                <w:szCs w:val="36"/>
              </w:rPr>
            </w:pPr>
            <w:r>
              <w:rPr>
                <w:rFonts w:ascii="宋体" w:hAnsi="宋体"/>
                <w:b/>
                <w:sz w:val="28"/>
                <w:szCs w:val="36"/>
              </w:rPr>
              <w:t>项目规模及服务内容</w:t>
            </w:r>
          </w:p>
        </w:tc>
      </w:tr>
      <w:tr w14:paraId="3678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64AA5A51">
            <w:pPr>
              <w:spacing w:line="560" w:lineRule="exact"/>
              <w:rPr>
                <w:rFonts w:ascii="宋体" w:hAnsi="宋体" w:eastAsia="仿宋"/>
                <w:b/>
                <w:sz w:val="28"/>
                <w:szCs w:val="36"/>
              </w:rPr>
            </w:pPr>
            <w:r>
              <w:rPr>
                <w:rFonts w:hint="eastAsia" w:ascii="仿宋" w:hAnsi="仿宋" w:eastAsia="仿宋" w:cs="仿宋"/>
                <w:bCs/>
                <w:sz w:val="24"/>
              </w:rPr>
              <w:t>广西财经学院相思湖校区教学楼J栋项目档案移交归档服务项目</w:t>
            </w:r>
          </w:p>
        </w:tc>
        <w:tc>
          <w:tcPr>
            <w:tcW w:w="4055" w:type="pct"/>
            <w:vAlign w:val="center"/>
          </w:tcPr>
          <w:p w14:paraId="41401487">
            <w:pPr>
              <w:spacing w:line="560" w:lineRule="exact"/>
              <w:ind w:firstLine="482" w:firstLineChars="200"/>
              <w:rPr>
                <w:rFonts w:ascii="仿宋" w:hAnsi="仿宋" w:eastAsia="仿宋" w:cs="仿宋"/>
                <w:b/>
                <w:sz w:val="24"/>
              </w:rPr>
            </w:pPr>
            <w:r>
              <w:rPr>
                <w:rFonts w:hint="eastAsia" w:ascii="仿宋" w:hAnsi="仿宋" w:eastAsia="仿宋" w:cs="仿宋"/>
                <w:b/>
                <w:sz w:val="24"/>
              </w:rPr>
              <w:t>（一）建设地点：</w:t>
            </w:r>
          </w:p>
          <w:p w14:paraId="3AC95E3F">
            <w:pPr>
              <w:spacing w:line="560" w:lineRule="exact"/>
              <w:ind w:firstLine="480" w:firstLineChars="200"/>
              <w:rPr>
                <w:rFonts w:ascii="仿宋" w:hAnsi="仿宋" w:eastAsia="仿宋" w:cs="仿宋"/>
                <w:bCs/>
                <w:sz w:val="24"/>
              </w:rPr>
            </w:pPr>
            <w:r>
              <w:rPr>
                <w:rFonts w:hint="eastAsia" w:ascii="仿宋" w:hAnsi="仿宋" w:eastAsia="仿宋" w:cs="仿宋"/>
                <w:bCs/>
                <w:sz w:val="24"/>
              </w:rPr>
              <w:t>南宁市西乡塘区大学西路189号，广西财经学院相思湖校区。</w:t>
            </w:r>
          </w:p>
          <w:p w14:paraId="3974894C">
            <w:pPr>
              <w:spacing w:line="560" w:lineRule="exact"/>
              <w:ind w:firstLine="482" w:firstLineChars="200"/>
              <w:rPr>
                <w:rFonts w:ascii="仿宋" w:hAnsi="仿宋" w:eastAsia="仿宋" w:cs="仿宋"/>
                <w:b/>
                <w:sz w:val="24"/>
              </w:rPr>
            </w:pPr>
            <w:r>
              <w:rPr>
                <w:rFonts w:hint="eastAsia" w:ascii="仿宋" w:hAnsi="仿宋" w:eastAsia="仿宋" w:cs="仿宋"/>
                <w:b/>
                <w:sz w:val="24"/>
              </w:rPr>
              <w:t>（二）建设规模：</w:t>
            </w:r>
          </w:p>
          <w:p w14:paraId="7B3AE78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总建筑面积：4083.75㎡。</w:t>
            </w:r>
          </w:p>
          <w:p w14:paraId="3B0612F4">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（三）服务内容：</w:t>
            </w:r>
          </w:p>
          <w:p w14:paraId="6327881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 工程纸质档案资料综合技术性整理及编制服务。按一系列规范化编制整理，电子目录录入，档案扫描数字化，电子数据挂接等。</w:t>
            </w:r>
          </w:p>
          <w:p w14:paraId="5B02F1EB">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2、 工程声像档案资料采编整理服务。按城建档案拍摄收集要求进行工程声像资料的拍摄 (含照相、录像)；后期声像档案编制、照片筛选处理；照片目录编制及说明；装册组卷、刻制照片数据光盘；录像视频采集，短片制作及刻制光盘，档案目录编制等。</w:t>
            </w:r>
          </w:p>
          <w:p w14:paraId="12F1CDF3">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3、 档案移交归档服务：业主委托服务供应商办理项目档案移交南宁城市城建档案馆行政管理部门的相关事宜，并确保项目档案顺利通过初审及复审的各项步骤并成功移交。</w:t>
            </w:r>
          </w:p>
          <w:p w14:paraId="3697C98E">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4、 后期档案馆消毒上架事宜由服务供应商负责 。</w:t>
            </w:r>
          </w:p>
          <w:p w14:paraId="2B044018">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档案整理后得到的电子目录、扫描文件、声像等数据光盘载体一式肆份，一份用于移交给各城建档案管理部门用于办理档案移交手续，叁份移交给业主方，服务期限结束后服务供应商不再保留任何业主的资料并将剩余的资料退回业主 。</w:t>
            </w:r>
          </w:p>
          <w:p w14:paraId="72B58940">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四</w:t>
            </w:r>
            <w:r>
              <w:rPr>
                <w:rFonts w:hint="eastAsia" w:ascii="仿宋" w:hAnsi="仿宋" w:eastAsia="仿宋" w:cs="仿宋"/>
                <w:b/>
                <w:sz w:val="24"/>
              </w:rPr>
              <w:t>）服务期限：</w:t>
            </w:r>
          </w:p>
          <w:p w14:paraId="24B7C49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服务供应商在档案移交完毕并将档案消毒上架且业主拿到南宁市城建档案馆出具的档案移交证明文书后结束。</w:t>
            </w:r>
          </w:p>
          <w:p w14:paraId="7FC61AA2">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五</w:t>
            </w:r>
            <w:r>
              <w:rPr>
                <w:rFonts w:hint="eastAsia" w:ascii="仿宋" w:hAnsi="仿宋" w:eastAsia="仿宋" w:cs="仿宋"/>
                <w:b/>
                <w:sz w:val="24"/>
              </w:rPr>
              <w:t>）服务要求：</w:t>
            </w:r>
          </w:p>
          <w:p w14:paraId="11247B7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1、在 30个工作日内完成纸质档案整理、声像档案编制、档案移交等。如因档案馆初审及复审时限而导致的工作期限延长除外。</w:t>
            </w:r>
          </w:p>
          <w:p w14:paraId="41C91F1E">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2、接受采购人的委托，代表采购人接收、审核施工单位的工程资料移交，依据国家现行标准规定、南宁城建档案馆现行要求，严格、细心审核施工单位工程资料的完整性、合规性，提出审核结论及整改要求。</w:t>
            </w:r>
          </w:p>
          <w:p w14:paraId="11C3894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3、档案整理：涵盖该建设工程项目从项目前期准备、工程建设实施到竣工验收等全过程所形成的各类文件资料的整理、数字化处理、声像资料的拍摄整理并移交南宁城建档案馆，取得档案存档证明，包括但不限于项目立项批复、可行性研究报告、设计文件、施工图纸、施工技术资料、工程变更资料、质量验收资料、安全管理资料、竣工图等。</w:t>
            </w:r>
          </w:p>
          <w:p w14:paraId="6C5211F4">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4、严格按照国家及地方现行的建设工程档案整理规范和标准进行整理，确保档案资料的完整性、准确性、系统性和规范性，满足档案归档及日后查阅利用的要求，以取得南宁城建档案馆出具的存档证明为准。</w:t>
            </w:r>
          </w:p>
          <w:p w14:paraId="37A4EF60">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5.整理内容</w:t>
            </w:r>
          </w:p>
          <w:p w14:paraId="398DE2F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5.1对各类档案资料进行分类、编号、编目、装订等工作，形成符合规范的档案案卷。</w:t>
            </w:r>
          </w:p>
          <w:p w14:paraId="05445F7E">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5.2建立电子档案目录，实现纸质档案与电子档案的关联，方便检索和查询。</w:t>
            </w:r>
          </w:p>
          <w:p w14:paraId="23490E29">
            <w:pPr>
              <w:widowControl/>
              <w:spacing w:line="560" w:lineRule="exact"/>
              <w:ind w:left="479" w:leftChars="228" w:firstLine="0" w:firstLineChars="0"/>
              <w:jc w:val="left"/>
              <w:rPr>
                <w:rFonts w:ascii="仿宋" w:hAnsi="仿宋" w:eastAsia="仿宋" w:cs="仿宋"/>
                <w:b/>
                <w:sz w:val="24"/>
              </w:rPr>
            </w:pPr>
            <w:r>
              <w:rPr>
                <w:rFonts w:hint="eastAsia" w:ascii="仿宋" w:hAnsi="仿宋" w:eastAsia="仿宋" w:cs="仿宋"/>
                <w:bCs/>
                <w:sz w:val="24"/>
              </w:rPr>
              <w:t>5.3协助进行档案的数字化处理，确保数字化档案的质量和存储安全。</w:t>
            </w:r>
            <w:r>
              <w:rPr>
                <w:rFonts w:hint="eastAsia" w:ascii="仿宋" w:hAnsi="仿宋" w:eastAsia="仿宋" w:cs="仿宋"/>
                <w:b/>
                <w:sz w:val="24"/>
              </w:rPr>
              <w:t>（</w:t>
            </w:r>
            <w:r>
              <w:rPr>
                <w:rFonts w:hint="eastAsia" w:ascii="仿宋" w:hAnsi="仿宋" w:eastAsia="仿宋" w:cs="仿宋"/>
                <w:b/>
                <w:sz w:val="24"/>
                <w:lang w:eastAsia="zh-CN"/>
              </w:rPr>
              <w:t>六</w:t>
            </w:r>
            <w:r>
              <w:rPr>
                <w:rFonts w:hint="eastAsia" w:ascii="仿宋" w:hAnsi="仿宋" w:eastAsia="仿宋" w:cs="仿宋"/>
                <w:b/>
                <w:sz w:val="24"/>
              </w:rPr>
              <w:t>）上限控制价：</w:t>
            </w:r>
          </w:p>
          <w:p w14:paraId="4B9088EE">
            <w:pPr>
              <w:widowControl/>
              <w:spacing w:line="560" w:lineRule="exact"/>
              <w:ind w:firstLine="480" w:firstLineChars="200"/>
              <w:jc w:val="left"/>
              <w:rPr>
                <w:rFonts w:ascii="仿宋" w:hAnsi="仿宋" w:eastAsia="仿宋" w:cs="仿宋"/>
                <w:bCs/>
                <w:sz w:val="24"/>
                <w:u w:val="single"/>
              </w:rPr>
            </w:pPr>
            <w:r>
              <w:rPr>
                <w:rFonts w:hint="eastAsia" w:ascii="仿宋" w:hAnsi="仿宋" w:eastAsia="仿宋" w:cs="仿宋"/>
                <w:bCs/>
                <w:sz w:val="24"/>
                <w:u w:val="single"/>
              </w:rPr>
              <w:t>人民币(大写) 伍仟柒佰壹拾柒元贰角伍分，（小写）¥5717.25元。供应商报价不得超过此金额，否则视为无效报价。</w:t>
            </w:r>
          </w:p>
          <w:p w14:paraId="2CFD20DA">
            <w:pPr>
              <w:widowControl/>
              <w:spacing w:line="560" w:lineRule="exact"/>
              <w:ind w:firstLine="482" w:firstLineChars="200"/>
              <w:jc w:val="left"/>
              <w:rPr>
                <w:rFonts w:ascii="仿宋" w:hAnsi="仿宋" w:eastAsia="仿宋" w:cs="仿宋"/>
                <w:b/>
                <w:sz w:val="24"/>
              </w:rPr>
            </w:pPr>
            <w:r>
              <w:rPr>
                <w:rFonts w:hint="eastAsia" w:ascii="仿宋" w:hAnsi="仿宋" w:eastAsia="仿宋" w:cs="仿宋"/>
                <w:b/>
                <w:sz w:val="24"/>
              </w:rPr>
              <w:t>（</w:t>
            </w:r>
            <w:r>
              <w:rPr>
                <w:rFonts w:hint="eastAsia" w:ascii="仿宋" w:hAnsi="仿宋" w:eastAsia="仿宋" w:cs="仿宋"/>
                <w:b/>
                <w:sz w:val="24"/>
                <w:lang w:eastAsia="zh-CN"/>
              </w:rPr>
              <w:t>七</w:t>
            </w:r>
            <w:r>
              <w:rPr>
                <w:rFonts w:hint="eastAsia" w:ascii="仿宋" w:hAnsi="仿宋" w:eastAsia="仿宋" w:cs="仿宋"/>
                <w:b/>
                <w:sz w:val="24"/>
              </w:rPr>
              <w:t>）供应商资格要求：</w:t>
            </w:r>
          </w:p>
          <w:p w14:paraId="5C7EC709">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（一）服务 供应商应当具备《中华人民共和国政府采购法》第二十二条规定条件，须具有独立的法人资格及其相应的经营范围。</w:t>
            </w:r>
          </w:p>
          <w:p w14:paraId="6CAF1FF2">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（二）提供在中华人民共和国境内注册的法人或其他组织的营业执照（或事业单位法人证书，或社会团体法人登记证书，或其他登记许可证明材料等）。</w:t>
            </w:r>
          </w:p>
          <w:p w14:paraId="21E6240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（三）在南宁市区设有固定经营场所。</w:t>
            </w:r>
          </w:p>
          <w:p w14:paraId="7C8A13B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（四）对在“信用中国”网站(www.creditchina.gov.cn)等渠道列入失信被执行人、重大税收违法案件当事人记录名单的供应商，不得参与本次采购活动。</w:t>
            </w:r>
          </w:p>
          <w:p w14:paraId="1CD5CEFD">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（五）参加本采购活动前三年内在经营活动中没有重大违法记录和不良信用记录。</w:t>
            </w:r>
          </w:p>
          <w:p w14:paraId="73040FF1">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（六）供应商的业绩要求：近4年来（指：2023年1月1日至竞标截止时间），竞标人须承接5个以上（含5个）项目档案整理工作（提交合同复印件，原件报名时备查）。</w:t>
            </w:r>
            <w:bookmarkStart w:id="3" w:name="_GoBack"/>
            <w:bookmarkEnd w:id="3"/>
          </w:p>
          <w:p w14:paraId="2FA3895F">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（七）供应商与广西财经学院没有发生过经济纠纷或违约记录。</w:t>
            </w:r>
          </w:p>
          <w:p w14:paraId="17173B2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（八）若供应商在本校有三个以上（含三个）在建工程或未完成竣工验收项目的，不得参与本次采购活动。</w:t>
            </w:r>
          </w:p>
          <w:p w14:paraId="71A25C3C">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（九）本项目不接受联合体报价。</w:t>
            </w:r>
          </w:p>
          <w:p w14:paraId="22577D28">
            <w:pPr>
              <w:widowControl/>
              <w:spacing w:line="560" w:lineRule="exact"/>
              <w:ind w:firstLine="482" w:firstLineChars="200"/>
              <w:jc w:val="left"/>
              <w:rPr>
                <w:rFonts w:hint="eastAsia" w:ascii="仿宋" w:hAnsi="仿宋" w:eastAsia="仿宋" w:cs="仿宋"/>
                <w:b/>
                <w:sz w:val="24"/>
              </w:rPr>
            </w:pPr>
            <w:r>
              <w:rPr>
                <w:rFonts w:hint="eastAsia" w:ascii="仿宋" w:hAnsi="仿宋" w:eastAsia="仿宋" w:cs="仿宋"/>
                <w:b/>
                <w:sz w:val="24"/>
              </w:rPr>
              <w:t>（</w:t>
            </w:r>
            <w:r>
              <w:rPr>
                <w:rFonts w:hint="eastAsia" w:ascii="仿宋" w:hAnsi="仿宋" w:eastAsia="仿宋" w:cs="仿宋"/>
                <w:b/>
                <w:lang w:eastAsia="zh-CN"/>
              </w:rPr>
              <w:t>八</w:t>
            </w:r>
            <w:r>
              <w:rPr>
                <w:rFonts w:hint="eastAsia" w:ascii="仿宋" w:hAnsi="仿宋" w:eastAsia="仿宋" w:cs="仿宋"/>
                <w:b/>
                <w:sz w:val="24"/>
              </w:rPr>
              <w:t>）报价要求：</w:t>
            </w:r>
          </w:p>
          <w:p w14:paraId="6116CEB4">
            <w:pPr>
              <w:pStyle w:val="4"/>
              <w:widowControl/>
              <w:wordWrap w:val="0"/>
              <w:spacing w:beforeAutospacing="0" w:afterAutospacing="0" w:line="400" w:lineRule="exact"/>
              <w:ind w:firstLine="480" w:firstLineChars="200"/>
              <w:jc w:val="both"/>
              <w:rPr>
                <w:rFonts w:hint="eastAsia" w:ascii="仿宋" w:hAnsi="仿宋" w:eastAsia="仿宋" w:cs="仿宋"/>
                <w:bCs/>
                <w:sz w:val="24"/>
              </w:rPr>
            </w:pPr>
            <w:r>
              <w:rPr>
                <w:rFonts w:hint="eastAsia" w:ascii="仿宋" w:hAnsi="仿宋" w:eastAsia="仿宋" w:cs="仿宋"/>
                <w:bCs/>
                <w:sz w:val="24"/>
              </w:rPr>
              <w:t>总价报价，报价不能超过本项目上限控制价。</w:t>
            </w:r>
          </w:p>
          <w:p w14:paraId="560AA64E">
            <w:pPr>
              <w:pStyle w:val="4"/>
              <w:widowControl/>
              <w:wordWrap w:val="0"/>
              <w:spacing w:beforeAutospacing="0" w:afterAutospacing="0" w:line="400" w:lineRule="exact"/>
              <w:ind w:firstLine="482" w:firstLineChars="200"/>
              <w:jc w:val="both"/>
              <w:rPr>
                <w:rFonts w:ascii="仿宋" w:hAnsi="仿宋" w:eastAsia="仿宋" w:cs="仿宋"/>
                <w:b/>
                <w:kern w:val="2"/>
              </w:rPr>
            </w:pPr>
            <w:r>
              <w:rPr>
                <w:rFonts w:hint="eastAsia" w:ascii="仿宋" w:hAnsi="仿宋" w:eastAsia="仿宋" w:cs="仿宋"/>
                <w:b/>
                <w:kern w:val="2"/>
              </w:rPr>
              <w:t>（</w:t>
            </w:r>
            <w:r>
              <w:rPr>
                <w:rFonts w:hint="eastAsia" w:ascii="仿宋" w:hAnsi="仿宋" w:eastAsia="仿宋" w:cs="仿宋"/>
                <w:b/>
                <w:lang w:eastAsia="zh-CN"/>
              </w:rPr>
              <w:t>九</w:t>
            </w:r>
            <w:r>
              <w:rPr>
                <w:rFonts w:hint="eastAsia" w:ascii="仿宋" w:hAnsi="仿宋" w:eastAsia="仿宋" w:cs="仿宋"/>
                <w:b/>
                <w:kern w:val="2"/>
              </w:rPr>
              <w:t>）付款方式</w:t>
            </w:r>
          </w:p>
          <w:p w14:paraId="13452321">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（一）本项目不设预付款。</w:t>
            </w:r>
          </w:p>
          <w:p w14:paraId="0376B164">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（二）服务供应商在档案移交完毕并提交相应移交证明文书后，请款申请经业主审核通过后，自收到成交供应商合格发票之日起14个工作日内支付成交金额的100%。</w:t>
            </w:r>
          </w:p>
          <w:p w14:paraId="3667A0BD">
            <w:pPr>
              <w:spacing w:line="560" w:lineRule="exact"/>
              <w:ind w:firstLine="482" w:firstLineChars="200"/>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w:t>
            </w:r>
            <w:r>
              <w:rPr>
                <w:rFonts w:ascii="仿宋" w:hAnsi="仿宋" w:eastAsia="仿宋" w:cs="仿宋"/>
                <w:b/>
                <w:sz w:val="24"/>
              </w:rPr>
              <w:t>）</w:t>
            </w:r>
            <w:r>
              <w:rPr>
                <w:rFonts w:hint="eastAsia" w:ascii="仿宋" w:hAnsi="仿宋" w:eastAsia="仿宋" w:cs="仿宋"/>
                <w:b/>
                <w:sz w:val="24"/>
              </w:rPr>
              <w:t>承包方式</w:t>
            </w:r>
            <w:r>
              <w:rPr>
                <w:rFonts w:ascii="仿宋" w:hAnsi="仿宋" w:eastAsia="仿宋" w:cs="仿宋"/>
                <w:b/>
                <w:sz w:val="24"/>
              </w:rPr>
              <w:t>：</w:t>
            </w:r>
          </w:p>
          <w:p w14:paraId="048B8635">
            <w:pPr>
              <w:widowControl/>
              <w:spacing w:line="560" w:lineRule="exact"/>
              <w:ind w:firstLine="480" w:firstLineChars="200"/>
              <w:jc w:val="left"/>
              <w:rPr>
                <w:rFonts w:hint="eastAsia" w:ascii="仿宋" w:hAnsi="仿宋" w:eastAsia="仿宋" w:cs="仿宋"/>
                <w:bCs/>
                <w:sz w:val="24"/>
              </w:rPr>
            </w:pPr>
            <w:r>
              <w:rPr>
                <w:rFonts w:hint="eastAsia" w:ascii="仿宋" w:hAnsi="仿宋" w:eastAsia="仿宋" w:cs="仿宋"/>
                <w:bCs/>
                <w:sz w:val="24"/>
              </w:rPr>
              <w:t>总价包干（报价包括但不限于完成本项目所需的各项成本、人工费、材料费、管理费、差旅费、专家评审费、开办费、税金及场地费、利润等所有费用）。</w:t>
            </w:r>
          </w:p>
          <w:p w14:paraId="2A990252">
            <w:pPr>
              <w:widowControl/>
              <w:spacing w:line="560" w:lineRule="exact"/>
              <w:ind w:firstLine="482" w:firstLineChars="200"/>
              <w:jc w:val="left"/>
              <w:rPr>
                <w:rFonts w:ascii="仿宋" w:hAnsi="仿宋" w:eastAsia="仿宋" w:cs="仿宋"/>
                <w:b/>
                <w:sz w:val="24"/>
              </w:rPr>
            </w:pPr>
            <w:r>
              <w:rPr>
                <w:rFonts w:ascii="仿宋" w:hAnsi="仿宋" w:eastAsia="仿宋" w:cs="仿宋"/>
                <w:b/>
                <w:sz w:val="24"/>
              </w:rPr>
              <w:t>（</w:t>
            </w:r>
            <w:r>
              <w:rPr>
                <w:rFonts w:hint="eastAsia" w:ascii="仿宋" w:hAnsi="仿宋" w:eastAsia="仿宋" w:cs="仿宋"/>
                <w:b/>
                <w:sz w:val="24"/>
                <w:lang w:eastAsia="zh-CN"/>
              </w:rPr>
              <w:t>十一</w:t>
            </w:r>
            <w:r>
              <w:rPr>
                <w:rFonts w:ascii="仿宋" w:hAnsi="仿宋" w:eastAsia="仿宋" w:cs="仿宋"/>
                <w:b/>
                <w:sz w:val="24"/>
              </w:rPr>
              <w:t>）</w:t>
            </w:r>
            <w:r>
              <w:rPr>
                <w:rFonts w:hint="eastAsia" w:ascii="仿宋" w:hAnsi="仿宋" w:eastAsia="仿宋" w:cs="仿宋"/>
                <w:b/>
                <w:sz w:val="24"/>
              </w:rPr>
              <w:t>报价要求：</w:t>
            </w:r>
          </w:p>
          <w:p w14:paraId="5EB6AE6E">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1、服务总费用包括：档案整理及数字化、声像档案采编每平米单价，工程纸质档案整理服务费、工程声像档案拍摄及编制、管理费、档案移交归档服务费、耗材、保险、利润、政策性文件规定费用等一切费用。</w:t>
            </w:r>
          </w:p>
          <w:p w14:paraId="22D03F6B">
            <w:pPr>
              <w:spacing w:line="560" w:lineRule="exact"/>
              <w:ind w:firstLine="480" w:firstLineChars="200"/>
              <w:rPr>
                <w:rFonts w:hint="eastAsia" w:ascii="仿宋" w:hAnsi="仿宋" w:eastAsia="仿宋" w:cs="仿宋"/>
                <w:bCs/>
                <w:sz w:val="24"/>
              </w:rPr>
            </w:pPr>
            <w:r>
              <w:rPr>
                <w:rFonts w:hint="eastAsia" w:ascii="仿宋" w:hAnsi="仿宋" w:eastAsia="仿宋" w:cs="仿宋"/>
                <w:bCs/>
                <w:sz w:val="24"/>
              </w:rPr>
              <w:t>2、服务供应商所提供的档案移交证明文书应真实有效。</w:t>
            </w:r>
          </w:p>
          <w:p w14:paraId="70EAFD51">
            <w:pPr>
              <w:spacing w:line="560" w:lineRule="exact"/>
              <w:ind w:firstLine="480" w:firstLineChars="200"/>
              <w:rPr>
                <w:rFonts w:ascii="仿宋" w:hAnsi="仿宋" w:eastAsia="仿宋" w:cs="仿宋"/>
                <w:bCs/>
                <w:sz w:val="24"/>
              </w:rPr>
            </w:pPr>
            <w:r>
              <w:rPr>
                <w:rFonts w:hint="eastAsia" w:ascii="仿宋" w:hAnsi="仿宋" w:eastAsia="仿宋" w:cs="仿宋"/>
                <w:bCs/>
                <w:sz w:val="24"/>
              </w:rPr>
              <w:t>3、供应商应保证针对货物或服务所涉及的知识产权和所提供的相关技术资料是合法取得，并享有完整的知识产权，不会因为采购人的使用而被责令停止使用、追偿或要求赔偿损失，如出现此情况，一切经济和法律责任均由供应商承担。</w:t>
            </w:r>
          </w:p>
          <w:p w14:paraId="547AF703">
            <w:pPr>
              <w:pStyle w:val="4"/>
              <w:widowControl/>
              <w:spacing w:beforeAutospacing="0" w:afterAutospacing="0" w:line="360" w:lineRule="auto"/>
              <w:ind w:firstLine="480" w:firstLineChars="200"/>
              <w:jc w:val="both"/>
              <w:rPr>
                <w:rFonts w:ascii="仿宋" w:hAnsi="仿宋" w:eastAsia="仿宋" w:cs="仿宋"/>
                <w:bCs/>
                <w:kern w:val="2"/>
              </w:rPr>
            </w:pPr>
          </w:p>
        </w:tc>
      </w:tr>
      <w:tr w14:paraId="62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162A14F4">
            <w:pPr>
              <w:rPr>
                <w:rFonts w:hint="eastAsia" w:ascii="宋体" w:hAnsi="宋体"/>
                <w:b/>
                <w:sz w:val="24"/>
                <w:szCs w:val="32"/>
              </w:rPr>
            </w:pPr>
          </w:p>
          <w:p w14:paraId="0777675D">
            <w:pPr>
              <w:rPr>
                <w:rFonts w:ascii="宋体" w:hAnsi="宋体"/>
                <w:b/>
                <w:sz w:val="24"/>
                <w:szCs w:val="32"/>
                <w:u w:val="single"/>
              </w:rPr>
            </w:pPr>
            <w:r>
              <w:rPr>
                <w:rFonts w:hint="eastAsia" w:ascii="宋体" w:hAnsi="宋体"/>
                <w:b/>
                <w:sz w:val="24"/>
                <w:szCs w:val="32"/>
              </w:rPr>
              <w:t>包干价（总价）：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tc>
      </w:tr>
      <w:tr w14:paraId="33A1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3678E3BD">
            <w:pPr>
              <w:numPr>
                <w:ilvl w:val="255"/>
                <w:numId w:val="0"/>
              </w:numPr>
              <w:rPr>
                <w:rFonts w:ascii="宋体" w:hAnsi="宋体"/>
                <w:bCs/>
                <w:sz w:val="24"/>
              </w:rPr>
            </w:pPr>
            <w:r>
              <w:rPr>
                <w:rFonts w:hint="eastAsia" w:ascii="宋体" w:hAnsi="宋体"/>
                <w:bCs/>
                <w:sz w:val="24"/>
              </w:rPr>
              <w:t>备注：</w:t>
            </w:r>
          </w:p>
          <w:p w14:paraId="04FA1B06">
            <w:pPr>
              <w:rPr>
                <w:rFonts w:ascii="宋体" w:hAnsi="宋体" w:eastAsia="宋体" w:cs="Times New Roman"/>
                <w:bCs/>
                <w:sz w:val="24"/>
              </w:rPr>
            </w:pPr>
            <w:r>
              <w:rPr>
                <w:rFonts w:hint="eastAsia" w:ascii="宋体" w:hAnsi="宋体"/>
                <w:bCs/>
                <w:sz w:val="24"/>
              </w:rPr>
              <w:t>1.报价人对服务内容已经完全知晓，本次报价包括但不限于材料费、人工费、机械费、管理费、税金及利润等一切费用，并应综合考虑到现场条件、人工、材料价格波动、法律、法规、条例所作规定以及按合同条件进行实施所包含的所有风险、责任等所有因素。</w:t>
            </w:r>
          </w:p>
          <w:p w14:paraId="1C0AEEBE">
            <w:pPr>
              <w:tabs>
                <w:tab w:val="left" w:pos="312"/>
              </w:tabs>
              <w:rPr>
                <w:rFonts w:ascii="宋体" w:hAnsi="宋体"/>
                <w:bCs/>
                <w:sz w:val="24"/>
              </w:rPr>
            </w:pPr>
            <w:r>
              <w:rPr>
                <w:rFonts w:hint="eastAsia" w:ascii="宋体" w:hAnsi="宋体"/>
                <w:bCs/>
                <w:sz w:val="24"/>
              </w:rPr>
              <w:t>2.本次报价为总价包干报价，期间不做任何价格调整。</w:t>
            </w:r>
          </w:p>
        </w:tc>
      </w:tr>
    </w:tbl>
    <w:p w14:paraId="61B11F8F">
      <w:pPr>
        <w:rPr>
          <w:rFonts w:ascii="宋体" w:hAnsi="宋体"/>
          <w:b/>
          <w:sz w:val="28"/>
          <w:szCs w:val="36"/>
        </w:rPr>
      </w:pPr>
      <w:r>
        <w:rPr>
          <w:rFonts w:hint="eastAsia" w:ascii="宋体" w:hAnsi="宋体"/>
          <w:b/>
          <w:sz w:val="28"/>
          <w:szCs w:val="36"/>
        </w:rPr>
        <w:t xml:space="preserve">法定代表人（或委托代理人）签字：   </w:t>
      </w:r>
    </w:p>
    <w:p w14:paraId="15DE86F5">
      <w:pPr>
        <w:rPr>
          <w:rFonts w:ascii="宋体" w:hAnsi="宋体"/>
          <w:b/>
          <w:sz w:val="28"/>
          <w:szCs w:val="36"/>
        </w:rPr>
      </w:pPr>
      <w:r>
        <w:rPr>
          <w:rFonts w:hint="eastAsia" w:ascii="宋体" w:hAnsi="宋体"/>
          <w:b/>
          <w:sz w:val="28"/>
          <w:szCs w:val="36"/>
        </w:rPr>
        <w:t xml:space="preserve">         </w:t>
      </w:r>
    </w:p>
    <w:p w14:paraId="1E789B82">
      <w:pPr>
        <w:rPr>
          <w:rFonts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1506A439">
      <w:pPr>
        <w:rPr>
          <w:rFonts w:ascii="宋体" w:hAnsi="宋体"/>
          <w:b/>
          <w:sz w:val="28"/>
          <w:szCs w:val="36"/>
        </w:rPr>
      </w:pPr>
    </w:p>
    <w:p w14:paraId="4DBE6F10">
      <w:pPr>
        <w:jc w:val="left"/>
        <w:rPr>
          <w:rFonts w:ascii="宋体" w:hAnsi="宋体"/>
          <w:b/>
          <w:sz w:val="28"/>
          <w:szCs w:val="36"/>
        </w:rPr>
      </w:pPr>
      <w:r>
        <w:rPr>
          <w:rFonts w:hint="eastAsia" w:ascii="宋体" w:hAnsi="宋体"/>
          <w:b/>
          <w:sz w:val="28"/>
          <w:szCs w:val="36"/>
        </w:rPr>
        <w:t>联系人及电话：</w:t>
      </w:r>
    </w:p>
    <w:p w14:paraId="228B6847">
      <w:pPr>
        <w:jc w:val="left"/>
        <w:rPr>
          <w:rFonts w:ascii="宋体" w:hAnsi="宋体"/>
          <w:b/>
          <w:sz w:val="28"/>
          <w:szCs w:val="36"/>
        </w:rPr>
      </w:pPr>
    </w:p>
    <w:p w14:paraId="6774C1D6">
      <w:pPr>
        <w:jc w:val="left"/>
      </w:pPr>
      <w:r>
        <w:rPr>
          <w:rFonts w:ascii="宋体" w:hAnsi="宋体"/>
          <w:b/>
          <w:sz w:val="28"/>
          <w:szCs w:val="36"/>
        </w:rPr>
        <w:t>日期：</w:t>
      </w:r>
      <w:bookmarkStart w:id="0" w:name="_Toc254970732"/>
      <w:bookmarkEnd w:id="0"/>
      <w:bookmarkStart w:id="1" w:name="_Toc254970729"/>
      <w:bookmarkEnd w:id="1"/>
      <w:bookmarkStart w:id="2" w:name="_Toc173211904"/>
      <w:bookmarkEnd w:id="2"/>
    </w:p>
    <w:sectPr>
      <w:pgSz w:w="11906" w:h="16838"/>
      <w:pgMar w:top="1134" w:right="1134" w:bottom="1134" w:left="1134" w:header="851" w:footer="992" w:gutter="0"/>
      <w:cols w:space="0" w:num="1"/>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77C"/>
    <w:rsid w:val="00182C67"/>
    <w:rsid w:val="0042277C"/>
    <w:rsid w:val="004E2360"/>
    <w:rsid w:val="00522A44"/>
    <w:rsid w:val="00702B56"/>
    <w:rsid w:val="007B45B3"/>
    <w:rsid w:val="008445E6"/>
    <w:rsid w:val="00924A83"/>
    <w:rsid w:val="00A32AC1"/>
    <w:rsid w:val="00C7093A"/>
    <w:rsid w:val="00E11546"/>
    <w:rsid w:val="03C52BEB"/>
    <w:rsid w:val="044E3E0A"/>
    <w:rsid w:val="07AC659B"/>
    <w:rsid w:val="0AC10F38"/>
    <w:rsid w:val="0FDA6D75"/>
    <w:rsid w:val="135C2A18"/>
    <w:rsid w:val="17657E11"/>
    <w:rsid w:val="184243B2"/>
    <w:rsid w:val="191C401F"/>
    <w:rsid w:val="1CEF742A"/>
    <w:rsid w:val="1D0327CF"/>
    <w:rsid w:val="1EBB6528"/>
    <w:rsid w:val="1EE46634"/>
    <w:rsid w:val="222C71A7"/>
    <w:rsid w:val="24CC7E73"/>
    <w:rsid w:val="25C119DF"/>
    <w:rsid w:val="25C36217"/>
    <w:rsid w:val="28E75A13"/>
    <w:rsid w:val="2D39797E"/>
    <w:rsid w:val="2FAD5147"/>
    <w:rsid w:val="32456B21"/>
    <w:rsid w:val="390818C6"/>
    <w:rsid w:val="3AFE7B03"/>
    <w:rsid w:val="3F3A089F"/>
    <w:rsid w:val="3F791767"/>
    <w:rsid w:val="40B14CDF"/>
    <w:rsid w:val="417A37DF"/>
    <w:rsid w:val="43C46774"/>
    <w:rsid w:val="47816B62"/>
    <w:rsid w:val="49FD67BC"/>
    <w:rsid w:val="4A6873F9"/>
    <w:rsid w:val="4AE7513B"/>
    <w:rsid w:val="4AFB026D"/>
    <w:rsid w:val="4B1024D9"/>
    <w:rsid w:val="4DB83818"/>
    <w:rsid w:val="4DCE31F6"/>
    <w:rsid w:val="50B47E13"/>
    <w:rsid w:val="552A2393"/>
    <w:rsid w:val="575B3FCB"/>
    <w:rsid w:val="57BB18D1"/>
    <w:rsid w:val="5A8318F9"/>
    <w:rsid w:val="5CC91C79"/>
    <w:rsid w:val="5D5C7F59"/>
    <w:rsid w:val="5FC20152"/>
    <w:rsid w:val="5FFF268C"/>
    <w:rsid w:val="61B56FEA"/>
    <w:rsid w:val="65231C0C"/>
    <w:rsid w:val="65744A4C"/>
    <w:rsid w:val="68D93544"/>
    <w:rsid w:val="6E5056F0"/>
    <w:rsid w:val="6FC75B1F"/>
    <w:rsid w:val="718906D9"/>
    <w:rsid w:val="71F02BFB"/>
    <w:rsid w:val="73652530"/>
    <w:rsid w:val="77112A42"/>
    <w:rsid w:val="7733744E"/>
    <w:rsid w:val="777F5BFE"/>
    <w:rsid w:val="7A5A39E8"/>
    <w:rsid w:val="7C2914F4"/>
    <w:rsid w:val="7D7F4C76"/>
    <w:rsid w:val="7E3961FC"/>
    <w:rsid w:val="7EFA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4</Pages>
  <Words>2995</Words>
  <Characters>3105</Characters>
  <Lines>14</Lines>
  <Paragraphs>3</Paragraphs>
  <TotalTime>6</TotalTime>
  <ScaleCrop>false</ScaleCrop>
  <LinksUpToDate>false</LinksUpToDate>
  <CharactersWithSpaces>3148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2026-01-07T02:25:00Z</dcterms:created>
  <dc:creator>Admin</dc:creator>
  <cp:lastModifiedBy>红雨</cp:lastModifiedBy>
  <dcterms:modified xsi:type="dcterms:W3CDTF">2026-07-21T09:44:14Z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A68D2866F0AD4018BF27768F7F1AE11E_13</vt:lpwstr>
  </property>
</Properties>
</file>